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D8363">
      <w:pPr>
        <w:rPr>
          <w:rFonts w:eastAsia="仿宋_GB2312" w:cs="仿宋_GB2312" w:asciiTheme="minorHAnsi" w:hAnsiTheme="minorHAnsi"/>
          <w:color w:val="000000" w:themeColor="text1"/>
          <w:sz w:val="36"/>
          <w:szCs w:val="36"/>
          <w:highlight w:val="none"/>
          <w14:textFill>
            <w14:solidFill>
              <w14:schemeClr w14:val="tx1"/>
            </w14:solidFill>
          </w14:textFill>
        </w:rPr>
      </w:pPr>
    </w:p>
    <w:p w14:paraId="47B6511B">
      <w:pPr>
        <w:rPr>
          <w:rFonts w:ascii="仿宋_GB2312" w:hAnsi="仿宋_GB2312" w:eastAsia="仿宋_GB2312" w:cs="仿宋_GB2312"/>
          <w:color w:val="000000" w:themeColor="text1"/>
          <w:sz w:val="36"/>
          <w:szCs w:val="36"/>
          <w:highlight w:val="none"/>
          <w14:textFill>
            <w14:solidFill>
              <w14:schemeClr w14:val="tx1"/>
            </w14:solidFill>
          </w14:textFill>
        </w:rPr>
      </w:pPr>
    </w:p>
    <w:p w14:paraId="38525CC4">
      <w:pPr>
        <w:rPr>
          <w:rFonts w:ascii="仿宋_GB2312" w:hAnsi="仿宋_GB2312" w:eastAsia="仿宋_GB2312" w:cs="仿宋_GB2312"/>
          <w:color w:val="000000" w:themeColor="text1"/>
          <w:sz w:val="36"/>
          <w:szCs w:val="36"/>
          <w:highlight w:val="none"/>
          <w14:textFill>
            <w14:solidFill>
              <w14:schemeClr w14:val="tx1"/>
            </w14:solidFill>
          </w14:textFill>
        </w:rPr>
      </w:pPr>
    </w:p>
    <w:p w14:paraId="4ABD8A84">
      <w:pPr>
        <w:rPr>
          <w:rFonts w:ascii="仿宋_GB2312" w:hAnsi="仿宋_GB2312" w:eastAsia="仿宋_GB2312" w:cs="仿宋_GB2312"/>
          <w:color w:val="000000" w:themeColor="text1"/>
          <w:sz w:val="36"/>
          <w:szCs w:val="36"/>
          <w:highlight w:val="none"/>
          <w14:textFill>
            <w14:solidFill>
              <w14:schemeClr w14:val="tx1"/>
            </w14:solidFill>
          </w14:textFill>
        </w:rPr>
      </w:pPr>
    </w:p>
    <w:p w14:paraId="6477D673">
      <w:pPr>
        <w:rPr>
          <w:rFonts w:ascii="仿宋_GB2312" w:hAnsi="仿宋_GB2312" w:eastAsia="仿宋_GB2312" w:cs="仿宋_GB2312"/>
          <w:color w:val="000000" w:themeColor="text1"/>
          <w:sz w:val="36"/>
          <w:szCs w:val="36"/>
          <w:highlight w:val="none"/>
          <w14:textFill>
            <w14:solidFill>
              <w14:schemeClr w14:val="tx1"/>
            </w14:solidFill>
          </w14:textFill>
        </w:rPr>
      </w:pPr>
    </w:p>
    <w:p w14:paraId="646AD437">
      <w:pPr>
        <w:adjustRightInd w:val="0"/>
        <w:snapToGrid w:val="0"/>
        <w:jc w:val="center"/>
        <w:outlineLvl w:val="9"/>
        <w:rPr>
          <w:rFonts w:ascii="方正小标宋_GBK" w:eastAsia="方正小标宋_GBK"/>
          <w:bCs/>
          <w:color w:val="000000" w:themeColor="text1"/>
          <w:sz w:val="72"/>
          <w:szCs w:val="72"/>
          <w:highlight w:val="none"/>
          <w14:textFill>
            <w14:solidFill>
              <w14:schemeClr w14:val="tx1"/>
            </w14:solidFill>
          </w14:textFill>
        </w:rPr>
      </w:pPr>
      <w:bookmarkStart w:id="0" w:name="_Toc157420305"/>
      <w:bookmarkStart w:id="1" w:name="_Toc156761737"/>
      <w:bookmarkStart w:id="2" w:name="_Toc160740661"/>
      <w:bookmarkStart w:id="3" w:name="_Toc156760325"/>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bookmarkEnd w:id="0"/>
      <w:bookmarkEnd w:id="1"/>
      <w:bookmarkEnd w:id="2"/>
      <w:bookmarkEnd w:id="3"/>
    </w:p>
    <w:p w14:paraId="715C2508">
      <w:pPr>
        <w:adjustRightInd w:val="0"/>
        <w:snapToGrid w:val="0"/>
        <w:spacing w:before="192" w:beforeLines="80"/>
        <w:jc w:val="center"/>
        <w:rPr>
          <w:rFonts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（污染影响类）</w:t>
      </w:r>
    </w:p>
    <w:p w14:paraId="7705A90D">
      <w:pPr>
        <w:adjustRightInd w:val="0"/>
        <w:snapToGrid w:val="0"/>
        <w:spacing w:before="192" w:beforeLines="80"/>
        <w:jc w:val="center"/>
        <w:rPr>
          <w:rFonts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w:t>
      </w:r>
      <w:r>
        <w:rPr>
          <w:rFonts w:hint="eastAsia" w:ascii="楷体_GB2312" w:eastAsia="楷体_GB2312"/>
          <w:bCs/>
          <w:color w:val="000000" w:themeColor="text1"/>
          <w:sz w:val="48"/>
          <w:szCs w:val="48"/>
          <w:highlight w:val="none"/>
          <w:lang w:val="en-US" w:eastAsia="zh-CN"/>
          <w14:textFill>
            <w14:solidFill>
              <w14:schemeClr w14:val="tx1"/>
            </w14:solidFill>
          </w14:textFill>
        </w:rPr>
        <w:t>公示版</w:t>
      </w:r>
      <w:r>
        <w:rPr>
          <w:rFonts w:hint="eastAsia" w:ascii="楷体_GB2312" w:eastAsia="楷体_GB2312"/>
          <w:bCs/>
          <w:color w:val="000000" w:themeColor="text1"/>
          <w:sz w:val="48"/>
          <w:szCs w:val="48"/>
          <w:highlight w:val="none"/>
          <w14:textFill>
            <w14:solidFill>
              <w14:schemeClr w14:val="tx1"/>
            </w14:solidFill>
          </w14:textFill>
        </w:rPr>
        <w:t>）</w:t>
      </w:r>
    </w:p>
    <w:p w14:paraId="2F334F62">
      <w:pPr>
        <w:jc w:val="center"/>
        <w:rPr>
          <w:rFonts w:eastAsia="仿宋"/>
          <w:color w:val="000000" w:themeColor="text1"/>
          <w:sz w:val="52"/>
          <w:szCs w:val="52"/>
          <w:highlight w:val="none"/>
          <w14:textFill>
            <w14:solidFill>
              <w14:schemeClr w14:val="tx1"/>
            </w14:solidFill>
          </w14:textFill>
        </w:rPr>
      </w:pPr>
    </w:p>
    <w:p w14:paraId="5E793F96">
      <w:pPr>
        <w:ind w:firstLine="1040"/>
        <w:rPr>
          <w:rFonts w:eastAsia="仿宋"/>
          <w:color w:val="000000" w:themeColor="text1"/>
          <w:sz w:val="44"/>
          <w:szCs w:val="44"/>
          <w:highlight w:val="none"/>
          <w14:textFill>
            <w14:solidFill>
              <w14:schemeClr w14:val="tx1"/>
            </w14:solidFill>
          </w14:textFill>
        </w:rPr>
      </w:pPr>
    </w:p>
    <w:p w14:paraId="6C89474A">
      <w:pPr>
        <w:ind w:firstLine="1040"/>
        <w:rPr>
          <w:rFonts w:eastAsia="仿宋"/>
          <w:color w:val="000000" w:themeColor="text1"/>
          <w:sz w:val="44"/>
          <w:szCs w:val="44"/>
          <w:highlight w:val="none"/>
          <w14:textFill>
            <w14:solidFill>
              <w14:schemeClr w14:val="tx1"/>
            </w14:solidFill>
          </w14:textFill>
        </w:rPr>
      </w:pPr>
    </w:p>
    <w:p w14:paraId="6980CE01">
      <w:pPr>
        <w:ind w:firstLine="1040"/>
        <w:rPr>
          <w:rFonts w:eastAsia="仿宋"/>
          <w:color w:val="000000" w:themeColor="text1"/>
          <w:sz w:val="44"/>
          <w:szCs w:val="44"/>
          <w:highlight w:val="none"/>
          <w14:textFill>
            <w14:solidFill>
              <w14:schemeClr w14:val="tx1"/>
            </w14:solidFill>
          </w14:textFill>
        </w:rPr>
      </w:pPr>
    </w:p>
    <w:p w14:paraId="0D6BDA67">
      <w:pPr>
        <w:ind w:firstLine="1040"/>
        <w:rPr>
          <w:rFonts w:eastAsia="仿宋"/>
          <w:color w:val="000000" w:themeColor="text1"/>
          <w:sz w:val="44"/>
          <w:szCs w:val="44"/>
          <w:highlight w:val="none"/>
          <w14:textFill>
            <w14:solidFill>
              <w14:schemeClr w14:val="tx1"/>
            </w14:solidFill>
          </w14:textFill>
        </w:rPr>
      </w:pPr>
    </w:p>
    <w:p w14:paraId="7DA65351">
      <w:pPr>
        <w:adjustRightInd w:val="0"/>
        <w:snapToGrid w:val="0"/>
        <w:spacing w:line="288" w:lineRule="auto"/>
        <w:rPr>
          <w:rFonts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color w:val="000000" w:themeColor="text1"/>
          <w:spacing w:val="-11"/>
          <w:sz w:val="36"/>
          <w:szCs w:val="36"/>
          <w:highlight w:val="none"/>
          <w14:textFill>
            <w14:solidFill>
              <w14:schemeClr w14:val="tx1"/>
            </w14:solidFill>
          </w14:textFill>
        </w:rPr>
        <w:t>项目名称：</w:t>
      </w:r>
      <w:r>
        <w:rPr>
          <w:rFonts w:hint="eastAsia" w:ascii="仿宋_GB2312" w:eastAsia="仿宋_GB2312"/>
          <w:color w:val="000000" w:themeColor="text1"/>
          <w:spacing w:val="-11"/>
          <w:sz w:val="36"/>
          <w:szCs w:val="36"/>
          <w:highlight w:val="none"/>
          <w:u w:val="single"/>
          <w:lang w:eastAsia="zh-CN"/>
          <w14:textFill>
            <w14:solidFill>
              <w14:schemeClr w14:val="tx1"/>
            </w14:solidFill>
          </w14:textFill>
        </w:rPr>
        <w:t>至期超精密光学元器件研发生产基地项目(三期)</w:t>
      </w:r>
    </w:p>
    <w:p w14:paraId="70D74994">
      <w:pPr>
        <w:adjustRightInd w:val="0"/>
        <w:snapToGrid w:val="0"/>
        <w:spacing w:line="288" w:lineRule="auto"/>
        <w:rPr>
          <w:rFonts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建设单位（盖章）：</w:t>
      </w:r>
      <w:r>
        <w:rPr>
          <w:rFonts w:hint="eastAsia" w:ascii="仿宋_GB2312" w:eastAsia="仿宋_GB2312"/>
          <w:color w:val="000000" w:themeColor="text1"/>
          <w:sz w:val="36"/>
          <w:szCs w:val="36"/>
          <w:highlight w:val="none"/>
          <w:u w:val="single"/>
          <w:lang w:eastAsia="zh-CN"/>
          <w14:textFill>
            <w14:solidFill>
              <w14:schemeClr w14:val="tx1"/>
            </w14:solidFill>
          </w14:textFill>
        </w:rPr>
        <w:t>福建至期光子科技有限公司</w:t>
      </w:r>
      <w:r>
        <w:rPr>
          <w:rFonts w:hint="eastAsia" w:ascii="仿宋_GB2312" w:eastAsia="仿宋_GB2312"/>
          <w:color w:val="000000" w:themeColor="text1"/>
          <w:sz w:val="36"/>
          <w:szCs w:val="36"/>
          <w:highlight w:val="none"/>
          <w:u w:val="single"/>
          <w14:textFill>
            <w14:solidFill>
              <w14:schemeClr w14:val="tx1"/>
            </w14:solidFill>
          </w14:textFill>
        </w:rPr>
        <w:t xml:space="preserve">    </w:t>
      </w:r>
    </w:p>
    <w:p w14:paraId="0E2E960D">
      <w:pPr>
        <w:adjustRightInd w:val="0"/>
        <w:snapToGrid w:val="0"/>
        <w:spacing w:line="288" w:lineRule="auto"/>
        <w:rPr>
          <w:rFonts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编制日期：</w:t>
      </w:r>
      <w:r>
        <w:rPr>
          <w:rFonts w:hint="eastAsia" w:ascii="仿宋_GB2312" w:eastAsia="仿宋_GB2312"/>
          <w:color w:val="000000" w:themeColor="text1"/>
          <w:sz w:val="36"/>
          <w:szCs w:val="36"/>
          <w:highlight w:val="none"/>
          <w:u w:val="single"/>
          <w14:textFill>
            <w14:solidFill>
              <w14:schemeClr w14:val="tx1"/>
            </w14:solidFill>
          </w14:textFill>
        </w:rPr>
        <w:t xml:space="preserve"> </w:t>
      </w:r>
      <w:r>
        <w:rPr>
          <w:rFonts w:ascii="仿宋_GB2312" w:eastAsia="仿宋_GB2312"/>
          <w:color w:val="000000" w:themeColor="text1"/>
          <w:sz w:val="36"/>
          <w:szCs w:val="36"/>
          <w:highlight w:val="none"/>
          <w:u w:val="single"/>
          <w14:textFill>
            <w14:solidFill>
              <w14:schemeClr w14:val="tx1"/>
            </w14:solidFill>
          </w14:textFill>
        </w:rPr>
        <w:t xml:space="preserve">   202</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6</w:t>
      </w:r>
      <w:r>
        <w:rPr>
          <w:rFonts w:hint="eastAsia" w:ascii="仿宋_GB2312" w:eastAsia="仿宋_GB2312"/>
          <w:color w:val="000000" w:themeColor="text1"/>
          <w:sz w:val="36"/>
          <w:szCs w:val="36"/>
          <w:highlight w:val="none"/>
          <w:u w:val="single"/>
          <w14:textFill>
            <w14:solidFill>
              <w14:schemeClr w14:val="tx1"/>
            </w14:solidFill>
          </w14:textFill>
        </w:rPr>
        <w:t>年</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5</w:t>
      </w:r>
      <w:r>
        <w:rPr>
          <w:rFonts w:hint="eastAsia" w:ascii="仿宋_GB2312" w:eastAsia="仿宋_GB2312"/>
          <w:color w:val="000000" w:themeColor="text1"/>
          <w:sz w:val="36"/>
          <w:szCs w:val="36"/>
          <w:highlight w:val="none"/>
          <w:u w:val="single"/>
          <w14:textFill>
            <w14:solidFill>
              <w14:schemeClr w14:val="tx1"/>
            </w14:solidFill>
          </w14:textFill>
        </w:rPr>
        <w:t>月</w:t>
      </w:r>
      <w:r>
        <w:rPr>
          <w:rFonts w:ascii="仿宋_GB2312" w:eastAsia="仿宋_GB2312"/>
          <w:color w:val="000000" w:themeColor="text1"/>
          <w:sz w:val="36"/>
          <w:szCs w:val="36"/>
          <w:highlight w:val="none"/>
          <w:u w:val="single"/>
          <w14:textFill>
            <w14:solidFill>
              <w14:schemeClr w14:val="tx1"/>
            </w14:solidFill>
          </w14:textFill>
        </w:rPr>
        <w:t xml:space="preserve">     </w:t>
      </w:r>
      <w:r>
        <w:rPr>
          <w:rFonts w:hint="eastAsia" w:ascii="仿宋_GB2312" w:eastAsia="仿宋_GB2312"/>
          <w:color w:val="000000" w:themeColor="text1"/>
          <w:sz w:val="36"/>
          <w:szCs w:val="36"/>
          <w:highlight w:val="none"/>
          <w:u w:val="single"/>
          <w14:textFill>
            <w14:solidFill>
              <w14:schemeClr w14:val="tx1"/>
            </w14:solidFill>
          </w14:textFill>
        </w:rPr>
        <w:t xml:space="preserve"> </w:t>
      </w:r>
    </w:p>
    <w:p w14:paraId="2C3F17C3">
      <w:pPr>
        <w:adjustRightInd w:val="0"/>
        <w:snapToGrid w:val="0"/>
        <w:spacing w:line="288" w:lineRule="auto"/>
        <w:ind w:firstLine="1040"/>
        <w:rPr>
          <w:rFonts w:ascii="仿宋_GB2312" w:eastAsia="仿宋_GB2312"/>
          <w:color w:val="000000" w:themeColor="text1"/>
          <w:sz w:val="36"/>
          <w:szCs w:val="36"/>
          <w:highlight w:val="none"/>
          <w:u w:val="single"/>
          <w14:textFill>
            <w14:solidFill>
              <w14:schemeClr w14:val="tx1"/>
            </w14:solidFill>
          </w14:textFill>
        </w:rPr>
      </w:pPr>
      <w:bookmarkStart w:id="4" w:name="_Hlk57884087"/>
    </w:p>
    <w:p w14:paraId="0B7F5FAC">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bookmarkEnd w:id="4"/>
    <w:p w14:paraId="235AA958">
      <w:pPr>
        <w:adjustRightInd w:val="0"/>
        <w:snapToGrid w:val="0"/>
        <w:spacing w:line="288" w:lineRule="auto"/>
        <w:jc w:val="center"/>
        <w:rPr>
          <w:rFonts w:hint="eastAsia" w:ascii="楷体_GB2312" w:eastAsia="楷体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_GB2312" w:eastAsia="楷体_GB2312"/>
          <w:color w:val="000000" w:themeColor="text1"/>
          <w:sz w:val="36"/>
          <w:szCs w:val="36"/>
          <w:highlight w:val="none"/>
          <w14:textFill>
            <w14:solidFill>
              <w14:schemeClr w14:val="tx1"/>
            </w14:solidFill>
          </w14:textFill>
        </w:rPr>
        <w:t>中华人民共和国生态环境部制</w:t>
      </w:r>
    </w:p>
    <w:sdt>
      <w:sdtPr>
        <w:rPr>
          <w:rFonts w:ascii="Times New Roman" w:hAnsi="Times New Roman" w:eastAsia="宋体" w:cs="Times New Roman"/>
          <w:color w:val="000000" w:themeColor="text1"/>
          <w:kern w:val="2"/>
          <w:sz w:val="28"/>
          <w:szCs w:val="36"/>
          <w:highlight w:val="none"/>
          <w:lang w:val="zh-CN"/>
          <w14:textFill>
            <w14:solidFill>
              <w14:schemeClr w14:val="tx1"/>
            </w14:solidFill>
          </w14:textFill>
        </w:rPr>
        <w:id w:val="-834525711"/>
        <w:docPartObj>
          <w:docPartGallery w:val="Table of Contents"/>
          <w:docPartUnique/>
        </w:docPartObj>
      </w:sdtPr>
      <w:sdtEndPr>
        <w:rPr>
          <w:rFonts w:ascii="Times New Roman" w:hAnsi="Times New Roman" w:eastAsia="宋体" w:cs="Times New Roman"/>
          <w:b/>
          <w:bCs/>
          <w:color w:val="000000" w:themeColor="text1"/>
          <w:kern w:val="2"/>
          <w:sz w:val="21"/>
          <w:szCs w:val="24"/>
          <w:highlight w:val="none"/>
          <w:lang w:val="zh-CN"/>
          <w14:textFill>
            <w14:solidFill>
              <w14:schemeClr w14:val="tx1"/>
            </w14:solidFill>
          </w14:textFill>
        </w:rPr>
      </w:sdtEndPr>
      <w:sdtContent>
        <w:p w14:paraId="798ABE71">
          <w:pPr>
            <w:pStyle w:val="24"/>
            <w:tabs>
              <w:tab w:val="right" w:leader="dot" w:pos="8844"/>
            </w:tabs>
            <w:jc w:val="center"/>
            <w:rPr>
              <w:rFonts w:ascii="黑体" w:hAnsi="黑体" w:eastAsia="黑体"/>
              <w:color w:val="000000" w:themeColor="text1"/>
              <w:sz w:val="28"/>
              <w:szCs w:val="36"/>
              <w:highlight w:val="none"/>
              <w:lang w:val="zh-CN"/>
              <w14:textFill>
                <w14:solidFill>
                  <w14:schemeClr w14:val="tx1"/>
                </w14:solidFill>
              </w14:textFill>
            </w:rPr>
          </w:pPr>
          <w:r>
            <w:rPr>
              <w:rFonts w:ascii="黑体" w:hAnsi="黑体" w:eastAsia="黑体"/>
              <w:color w:val="000000" w:themeColor="text1"/>
              <w:sz w:val="28"/>
              <w:szCs w:val="36"/>
              <w:highlight w:val="none"/>
              <w:lang w:val="zh-CN"/>
              <w14:textFill>
                <w14:solidFill>
                  <w14:schemeClr w14:val="tx1"/>
                </w14:solidFill>
              </w14:textFill>
            </w:rPr>
            <w:t>目</w:t>
          </w:r>
          <w:r>
            <w:rPr>
              <w:rFonts w:hint="eastAsia" w:ascii="黑体" w:hAnsi="黑体" w:eastAsia="黑体"/>
              <w:color w:val="000000" w:themeColor="text1"/>
              <w:sz w:val="28"/>
              <w:szCs w:val="36"/>
              <w:highlight w:val="none"/>
              <w:lang w:val="zh-CN"/>
              <w14:textFill>
                <w14:solidFill>
                  <w14:schemeClr w14:val="tx1"/>
                </w14:solidFill>
              </w14:textFill>
            </w:rPr>
            <w:t xml:space="preserve"> </w:t>
          </w:r>
          <w:r>
            <w:rPr>
              <w:rFonts w:ascii="黑体" w:hAnsi="黑体" w:eastAsia="黑体"/>
              <w:color w:val="000000" w:themeColor="text1"/>
              <w:sz w:val="28"/>
              <w:szCs w:val="36"/>
              <w:highlight w:val="none"/>
              <w:lang w:val="zh-CN"/>
              <w14:textFill>
                <w14:solidFill>
                  <w14:schemeClr w14:val="tx1"/>
                </w14:solidFill>
              </w14:textFill>
            </w:rPr>
            <w:t xml:space="preserve"> 录</w:t>
          </w:r>
          <w:bookmarkStart w:id="28" w:name="_GoBack"/>
          <w:bookmarkEnd w:id="28"/>
        </w:p>
        <w:p w14:paraId="3DF70DCB">
          <w:pPr>
            <w:pStyle w:val="21"/>
            <w:tabs>
              <w:tab w:val="right" w:leader="dot" w:pos="8844"/>
            </w:tabs>
          </w:pPr>
          <w:r>
            <w:rPr>
              <w:b/>
              <w:bCs/>
              <w:color w:val="000000" w:themeColor="text1"/>
              <w:highlight w:val="none"/>
              <w:lang w:val="zh-CN"/>
              <w14:textFill>
                <w14:solidFill>
                  <w14:schemeClr w14:val="tx1"/>
                </w14:solidFill>
              </w14:textFill>
            </w:rPr>
            <w:fldChar w:fldCharType="begin"/>
          </w:r>
          <w:r>
            <w:rPr>
              <w:b/>
              <w:bCs/>
              <w:color w:val="000000" w:themeColor="text1"/>
              <w:highlight w:val="none"/>
              <w:lang w:val="zh-CN"/>
              <w14:textFill>
                <w14:solidFill>
                  <w14:schemeClr w14:val="tx1"/>
                </w14:solidFill>
              </w14:textFill>
            </w:rPr>
            <w:instrText xml:space="preserve"> TOC \o "1-2" \h \z \u </w:instrText>
          </w:r>
          <w:r>
            <w:rPr>
              <w:b/>
              <w:bCs/>
              <w:color w:val="000000" w:themeColor="text1"/>
              <w:highlight w:val="none"/>
              <w:lang w:val="zh-CN"/>
              <w14:textFill>
                <w14:solidFill>
                  <w14:schemeClr w14:val="tx1"/>
                </w14:solidFill>
              </w14:textFill>
            </w:rPr>
            <w:fldChar w:fldCharType="separate"/>
          </w:r>
          <w:r>
            <w:rPr>
              <w:bCs/>
              <w:color w:val="000000" w:themeColor="text1"/>
              <w:highlight w:val="none"/>
              <w:lang w:val="zh-CN"/>
              <w14:textFill>
                <w14:solidFill>
                  <w14:schemeClr w14:val="tx1"/>
                </w14:solidFill>
              </w14:textFill>
            </w:rPr>
            <w:fldChar w:fldCharType="begin"/>
          </w:r>
          <w:r>
            <w:rPr>
              <w:bCs/>
              <w:highlight w:val="none"/>
              <w:lang w:val="zh-CN"/>
            </w:rPr>
            <w:instrText xml:space="preserve"> HYPERLINK \l _Toc27926 </w:instrText>
          </w:r>
          <w:r>
            <w:rPr>
              <w:bCs/>
              <w:highlight w:val="none"/>
              <w:lang w:val="zh-CN"/>
            </w:rPr>
            <w:fldChar w:fldCharType="separate"/>
          </w:r>
          <w:r>
            <w:rPr>
              <w:rFonts w:hint="eastAsia" w:ascii="黑体" w:hAnsi="黑体" w:eastAsia="黑体"/>
              <w:snapToGrid w:val="0"/>
              <w:szCs w:val="30"/>
              <w:highlight w:val="none"/>
            </w:rPr>
            <w:t>一、建设项目基本情况</w:t>
          </w:r>
          <w:r>
            <w:tab/>
          </w:r>
          <w:r>
            <w:fldChar w:fldCharType="begin"/>
          </w:r>
          <w:r>
            <w:instrText xml:space="preserve"> PAGEREF _Toc27926 \h </w:instrText>
          </w:r>
          <w:r>
            <w:fldChar w:fldCharType="separate"/>
          </w:r>
          <w:r>
            <w:t>1</w:t>
          </w:r>
          <w:r>
            <w:fldChar w:fldCharType="end"/>
          </w:r>
          <w:r>
            <w:rPr>
              <w:bCs/>
              <w:color w:val="000000" w:themeColor="text1"/>
              <w:highlight w:val="none"/>
              <w:lang w:val="zh-CN"/>
              <w14:textFill>
                <w14:solidFill>
                  <w14:schemeClr w14:val="tx1"/>
                </w14:solidFill>
              </w14:textFill>
            </w:rPr>
            <w:fldChar w:fldCharType="end"/>
          </w:r>
        </w:p>
        <w:p w14:paraId="7F62B227">
          <w:pPr>
            <w:pStyle w:val="21"/>
            <w:tabs>
              <w:tab w:val="right" w:leader="dot" w:pos="8844"/>
            </w:tabs>
          </w:pPr>
          <w:r>
            <w:rPr>
              <w:bCs/>
              <w:color w:val="000000" w:themeColor="text1"/>
              <w:highlight w:val="none"/>
              <w:lang w:val="zh-CN"/>
              <w14:textFill>
                <w14:solidFill>
                  <w14:schemeClr w14:val="tx1"/>
                </w14:solidFill>
              </w14:textFill>
            </w:rPr>
            <w:fldChar w:fldCharType="begin"/>
          </w:r>
          <w:r>
            <w:rPr>
              <w:bCs/>
              <w:highlight w:val="none"/>
              <w:lang w:val="zh-CN"/>
            </w:rPr>
            <w:instrText xml:space="preserve"> HYPERLINK \l _Toc12109 </w:instrText>
          </w:r>
          <w:r>
            <w:rPr>
              <w:bCs/>
              <w:highlight w:val="none"/>
              <w:lang w:val="zh-CN"/>
            </w:rPr>
            <w:fldChar w:fldCharType="separate"/>
          </w:r>
          <w:r>
            <w:rPr>
              <w:rFonts w:hint="eastAsia" w:ascii="黑体" w:hAnsi="黑体" w:eastAsia="黑体"/>
              <w:snapToGrid w:val="0"/>
              <w:szCs w:val="30"/>
              <w:highlight w:val="none"/>
            </w:rPr>
            <w:t>二、建设项目工程分析</w:t>
          </w:r>
          <w:r>
            <w:tab/>
          </w:r>
          <w:r>
            <w:fldChar w:fldCharType="begin"/>
          </w:r>
          <w:r>
            <w:instrText xml:space="preserve"> PAGEREF _Toc12109 \h </w:instrText>
          </w:r>
          <w:r>
            <w:fldChar w:fldCharType="separate"/>
          </w:r>
          <w:r>
            <w:t>20</w:t>
          </w:r>
          <w:r>
            <w:fldChar w:fldCharType="end"/>
          </w:r>
          <w:r>
            <w:rPr>
              <w:bCs/>
              <w:color w:val="000000" w:themeColor="text1"/>
              <w:highlight w:val="none"/>
              <w:lang w:val="zh-CN"/>
              <w14:textFill>
                <w14:solidFill>
                  <w14:schemeClr w14:val="tx1"/>
                </w14:solidFill>
              </w14:textFill>
            </w:rPr>
            <w:fldChar w:fldCharType="end"/>
          </w:r>
        </w:p>
        <w:p w14:paraId="1FBD37C2">
          <w:pPr>
            <w:pStyle w:val="21"/>
            <w:tabs>
              <w:tab w:val="right" w:leader="dot" w:pos="8844"/>
            </w:tabs>
          </w:pPr>
          <w:r>
            <w:rPr>
              <w:bCs/>
              <w:color w:val="000000" w:themeColor="text1"/>
              <w:highlight w:val="none"/>
              <w:lang w:val="zh-CN"/>
              <w14:textFill>
                <w14:solidFill>
                  <w14:schemeClr w14:val="tx1"/>
                </w14:solidFill>
              </w14:textFill>
            </w:rPr>
            <w:fldChar w:fldCharType="begin"/>
          </w:r>
          <w:r>
            <w:rPr>
              <w:bCs/>
              <w:highlight w:val="none"/>
              <w:lang w:val="zh-CN"/>
            </w:rPr>
            <w:instrText xml:space="preserve"> HYPERLINK \l _Toc483 </w:instrText>
          </w:r>
          <w:r>
            <w:rPr>
              <w:bCs/>
              <w:highlight w:val="none"/>
              <w:lang w:val="zh-CN"/>
            </w:rPr>
            <w:fldChar w:fldCharType="separate"/>
          </w:r>
          <w:r>
            <w:rPr>
              <w:rFonts w:hint="eastAsia" w:ascii="黑体" w:hAnsi="黑体" w:eastAsia="黑体"/>
              <w:snapToGrid w:val="0"/>
              <w:szCs w:val="30"/>
              <w:highlight w:val="none"/>
            </w:rPr>
            <w:t>三、区域环境质量现状、环境保护目标及评价标准</w:t>
          </w:r>
          <w:r>
            <w:tab/>
          </w:r>
          <w:r>
            <w:fldChar w:fldCharType="begin"/>
          </w:r>
          <w:r>
            <w:instrText xml:space="preserve"> PAGEREF _Toc483 \h </w:instrText>
          </w:r>
          <w:r>
            <w:fldChar w:fldCharType="separate"/>
          </w:r>
          <w:r>
            <w:t>48</w:t>
          </w:r>
          <w:r>
            <w:fldChar w:fldCharType="end"/>
          </w:r>
          <w:r>
            <w:rPr>
              <w:bCs/>
              <w:color w:val="000000" w:themeColor="text1"/>
              <w:highlight w:val="none"/>
              <w:lang w:val="zh-CN"/>
              <w14:textFill>
                <w14:solidFill>
                  <w14:schemeClr w14:val="tx1"/>
                </w14:solidFill>
              </w14:textFill>
            </w:rPr>
            <w:fldChar w:fldCharType="end"/>
          </w:r>
        </w:p>
        <w:p w14:paraId="22F50F81">
          <w:pPr>
            <w:pStyle w:val="21"/>
            <w:tabs>
              <w:tab w:val="right" w:leader="dot" w:pos="8844"/>
            </w:tabs>
          </w:pPr>
          <w:r>
            <w:rPr>
              <w:bCs/>
              <w:color w:val="000000" w:themeColor="text1"/>
              <w:highlight w:val="none"/>
              <w:lang w:val="zh-CN"/>
              <w14:textFill>
                <w14:solidFill>
                  <w14:schemeClr w14:val="tx1"/>
                </w14:solidFill>
              </w14:textFill>
            </w:rPr>
            <w:fldChar w:fldCharType="begin"/>
          </w:r>
          <w:r>
            <w:rPr>
              <w:bCs/>
              <w:highlight w:val="none"/>
              <w:lang w:val="zh-CN"/>
            </w:rPr>
            <w:instrText xml:space="preserve"> HYPERLINK \l _Toc5854 </w:instrText>
          </w:r>
          <w:r>
            <w:rPr>
              <w:bCs/>
              <w:highlight w:val="none"/>
              <w:lang w:val="zh-CN"/>
            </w:rPr>
            <w:fldChar w:fldCharType="separate"/>
          </w:r>
          <w:r>
            <w:rPr>
              <w:rFonts w:hint="eastAsia" w:ascii="黑体" w:hAnsi="黑体" w:eastAsia="黑体"/>
              <w:snapToGrid w:val="0"/>
              <w:szCs w:val="30"/>
              <w:highlight w:val="none"/>
            </w:rPr>
            <w:t>四、主要环境影响和保护措施</w:t>
          </w:r>
          <w:r>
            <w:tab/>
          </w:r>
          <w:r>
            <w:fldChar w:fldCharType="begin"/>
          </w:r>
          <w:r>
            <w:instrText xml:space="preserve"> PAGEREF _Toc5854 \h </w:instrText>
          </w:r>
          <w:r>
            <w:fldChar w:fldCharType="separate"/>
          </w:r>
          <w:r>
            <w:t>60</w:t>
          </w:r>
          <w:r>
            <w:fldChar w:fldCharType="end"/>
          </w:r>
          <w:r>
            <w:rPr>
              <w:bCs/>
              <w:color w:val="000000" w:themeColor="text1"/>
              <w:highlight w:val="none"/>
              <w:lang w:val="zh-CN"/>
              <w14:textFill>
                <w14:solidFill>
                  <w14:schemeClr w14:val="tx1"/>
                </w14:solidFill>
              </w14:textFill>
            </w:rPr>
            <w:fldChar w:fldCharType="end"/>
          </w:r>
        </w:p>
        <w:p w14:paraId="0B24309A">
          <w:pPr>
            <w:pStyle w:val="21"/>
            <w:tabs>
              <w:tab w:val="right" w:leader="dot" w:pos="8844"/>
            </w:tabs>
          </w:pPr>
          <w:r>
            <w:rPr>
              <w:bCs/>
              <w:color w:val="000000" w:themeColor="text1"/>
              <w:highlight w:val="none"/>
              <w:lang w:val="zh-CN"/>
              <w14:textFill>
                <w14:solidFill>
                  <w14:schemeClr w14:val="tx1"/>
                </w14:solidFill>
              </w14:textFill>
            </w:rPr>
            <w:fldChar w:fldCharType="begin"/>
          </w:r>
          <w:r>
            <w:rPr>
              <w:bCs/>
              <w:highlight w:val="none"/>
              <w:lang w:val="zh-CN"/>
            </w:rPr>
            <w:instrText xml:space="preserve"> HYPERLINK \l _Toc26724 </w:instrText>
          </w:r>
          <w:r>
            <w:rPr>
              <w:bCs/>
              <w:highlight w:val="none"/>
              <w:lang w:val="zh-CN"/>
            </w:rPr>
            <w:fldChar w:fldCharType="separate"/>
          </w:r>
          <w:r>
            <w:rPr>
              <w:rFonts w:hint="eastAsia" w:ascii="黑体" w:hAnsi="黑体" w:eastAsia="黑体"/>
              <w:snapToGrid w:val="0"/>
              <w:szCs w:val="30"/>
              <w:highlight w:val="none"/>
            </w:rPr>
            <w:t>五、环境保护措施监督检查清单</w:t>
          </w:r>
          <w:r>
            <w:tab/>
          </w:r>
          <w:r>
            <w:fldChar w:fldCharType="begin"/>
          </w:r>
          <w:r>
            <w:instrText xml:space="preserve"> PAGEREF _Toc26724 \h </w:instrText>
          </w:r>
          <w:r>
            <w:fldChar w:fldCharType="separate"/>
          </w:r>
          <w:r>
            <w:t>109</w:t>
          </w:r>
          <w:r>
            <w:fldChar w:fldCharType="end"/>
          </w:r>
          <w:r>
            <w:rPr>
              <w:bCs/>
              <w:color w:val="000000" w:themeColor="text1"/>
              <w:highlight w:val="none"/>
              <w:lang w:val="zh-CN"/>
              <w14:textFill>
                <w14:solidFill>
                  <w14:schemeClr w14:val="tx1"/>
                </w14:solidFill>
              </w14:textFill>
            </w:rPr>
            <w:fldChar w:fldCharType="end"/>
          </w:r>
        </w:p>
        <w:p w14:paraId="654BFCD0">
          <w:pPr>
            <w:pStyle w:val="21"/>
            <w:tabs>
              <w:tab w:val="right" w:leader="dot" w:pos="8844"/>
            </w:tabs>
          </w:pPr>
          <w:r>
            <w:rPr>
              <w:bCs/>
              <w:color w:val="000000" w:themeColor="text1"/>
              <w:highlight w:val="none"/>
              <w:lang w:val="zh-CN"/>
              <w14:textFill>
                <w14:solidFill>
                  <w14:schemeClr w14:val="tx1"/>
                </w14:solidFill>
              </w14:textFill>
            </w:rPr>
            <w:fldChar w:fldCharType="begin"/>
          </w:r>
          <w:r>
            <w:rPr>
              <w:bCs/>
              <w:highlight w:val="none"/>
              <w:lang w:val="zh-CN"/>
            </w:rPr>
            <w:instrText xml:space="preserve"> HYPERLINK \l _Toc24160 </w:instrText>
          </w:r>
          <w:r>
            <w:rPr>
              <w:bCs/>
              <w:highlight w:val="none"/>
              <w:lang w:val="zh-CN"/>
            </w:rPr>
            <w:fldChar w:fldCharType="separate"/>
          </w:r>
          <w:r>
            <w:rPr>
              <w:rFonts w:hint="eastAsia" w:ascii="黑体" w:hAnsi="黑体" w:eastAsia="黑体"/>
              <w:snapToGrid w:val="0"/>
              <w:szCs w:val="30"/>
              <w:highlight w:val="none"/>
            </w:rPr>
            <w:t>六、结论</w:t>
          </w:r>
          <w:r>
            <w:tab/>
          </w:r>
          <w:r>
            <w:fldChar w:fldCharType="begin"/>
          </w:r>
          <w:r>
            <w:instrText xml:space="preserve"> PAGEREF _Toc24160 \h </w:instrText>
          </w:r>
          <w:r>
            <w:fldChar w:fldCharType="separate"/>
          </w:r>
          <w:r>
            <w:t>113</w:t>
          </w:r>
          <w:r>
            <w:fldChar w:fldCharType="end"/>
          </w:r>
          <w:r>
            <w:rPr>
              <w:bCs/>
              <w:color w:val="000000" w:themeColor="text1"/>
              <w:highlight w:val="none"/>
              <w:lang w:val="zh-CN"/>
              <w14:textFill>
                <w14:solidFill>
                  <w14:schemeClr w14:val="tx1"/>
                </w14:solidFill>
              </w14:textFill>
            </w:rPr>
            <w:fldChar w:fldCharType="end"/>
          </w:r>
        </w:p>
        <w:p w14:paraId="12CBC326">
          <w:pPr>
            <w:pStyle w:val="21"/>
            <w:tabs>
              <w:tab w:val="right" w:leader="dot" w:pos="8844"/>
            </w:tabs>
          </w:pPr>
          <w:r>
            <w:rPr>
              <w:bCs/>
              <w:color w:val="000000" w:themeColor="text1"/>
              <w:highlight w:val="none"/>
              <w:lang w:val="zh-CN"/>
              <w14:textFill>
                <w14:solidFill>
                  <w14:schemeClr w14:val="tx1"/>
                </w14:solidFill>
              </w14:textFill>
            </w:rPr>
            <w:fldChar w:fldCharType="begin"/>
          </w:r>
          <w:r>
            <w:rPr>
              <w:bCs/>
              <w:highlight w:val="none"/>
              <w:lang w:val="zh-CN"/>
            </w:rPr>
            <w:instrText xml:space="preserve"> HYPERLINK \l _Toc10484 </w:instrText>
          </w:r>
          <w:r>
            <w:rPr>
              <w:bCs/>
              <w:highlight w:val="none"/>
              <w:lang w:val="zh-CN"/>
            </w:rPr>
            <w:fldChar w:fldCharType="separate"/>
          </w:r>
          <w:r>
            <w:rPr>
              <w:rFonts w:hint="eastAsia" w:ascii="黑体" w:hAnsi="黑体" w:eastAsia="黑体"/>
              <w:snapToGrid w:val="0"/>
              <w:szCs w:val="32"/>
              <w:highlight w:val="none"/>
            </w:rPr>
            <w:t>附图</w:t>
          </w:r>
          <w:r>
            <w:tab/>
          </w:r>
          <w:r>
            <w:fldChar w:fldCharType="begin"/>
          </w:r>
          <w:r>
            <w:instrText xml:space="preserve"> PAGEREF _Toc10484 \h </w:instrText>
          </w:r>
          <w:r>
            <w:fldChar w:fldCharType="separate"/>
          </w:r>
          <w:r>
            <w:t>116</w:t>
          </w:r>
          <w:r>
            <w:fldChar w:fldCharType="end"/>
          </w:r>
          <w:r>
            <w:rPr>
              <w:bCs/>
              <w:color w:val="000000" w:themeColor="text1"/>
              <w:highlight w:val="none"/>
              <w:lang w:val="zh-CN"/>
              <w14:textFill>
                <w14:solidFill>
                  <w14:schemeClr w14:val="tx1"/>
                </w14:solidFill>
              </w14:textFill>
            </w:rPr>
            <w:fldChar w:fldCharType="end"/>
          </w:r>
        </w:p>
        <w:p w14:paraId="5C595977">
          <w:pPr>
            <w:pStyle w:val="24"/>
            <w:tabs>
              <w:tab w:val="right" w:leader="dot" w:pos="8844"/>
            </w:tabs>
          </w:pPr>
          <w:r>
            <w:rPr>
              <w:bCs/>
              <w:color w:val="000000" w:themeColor="text1"/>
              <w:highlight w:val="none"/>
              <w:lang w:val="zh-CN"/>
              <w14:textFill>
                <w14:solidFill>
                  <w14:schemeClr w14:val="tx1"/>
                </w14:solidFill>
              </w14:textFill>
            </w:rPr>
            <w:fldChar w:fldCharType="begin"/>
          </w:r>
          <w:r>
            <w:rPr>
              <w:bCs/>
              <w:highlight w:val="none"/>
              <w:lang w:val="zh-CN"/>
            </w:rPr>
            <w:instrText xml:space="preserve"> HYPERLINK \l _Toc16143 </w:instrText>
          </w:r>
          <w:r>
            <w:rPr>
              <w:bCs/>
              <w:highlight w:val="none"/>
              <w:lang w:val="zh-CN"/>
            </w:rPr>
            <w:fldChar w:fldCharType="separate"/>
          </w:r>
          <w:r>
            <w:rPr>
              <w:bCs w:val="0"/>
              <w:highlight w:val="none"/>
            </w:rPr>
            <w:t xml:space="preserve">附图1  </w:t>
          </w:r>
          <w:r>
            <w:rPr>
              <w:rFonts w:hint="eastAsia"/>
              <w:bCs w:val="0"/>
              <w:highlight w:val="none"/>
            </w:rPr>
            <w:t>项目地理位置布</w:t>
          </w:r>
          <w:r>
            <w:rPr>
              <w:bCs w:val="0"/>
              <w:highlight w:val="none"/>
            </w:rPr>
            <w:t>图</w:t>
          </w:r>
          <w:r>
            <w:tab/>
          </w:r>
          <w:r>
            <w:fldChar w:fldCharType="begin"/>
          </w:r>
          <w:r>
            <w:instrText xml:space="preserve"> PAGEREF _Toc16143 \h </w:instrText>
          </w:r>
          <w:r>
            <w:fldChar w:fldCharType="separate"/>
          </w:r>
          <w:r>
            <w:t>116</w:t>
          </w:r>
          <w:r>
            <w:fldChar w:fldCharType="end"/>
          </w:r>
          <w:r>
            <w:rPr>
              <w:bCs/>
              <w:color w:val="000000" w:themeColor="text1"/>
              <w:highlight w:val="none"/>
              <w:lang w:val="zh-CN"/>
              <w14:textFill>
                <w14:solidFill>
                  <w14:schemeClr w14:val="tx1"/>
                </w14:solidFill>
              </w14:textFill>
            </w:rPr>
            <w:fldChar w:fldCharType="end"/>
          </w:r>
        </w:p>
        <w:p w14:paraId="524DBCDC">
          <w:pPr>
            <w:tabs>
              <w:tab w:val="right" w:leader="dot" w:pos="8844"/>
            </w:tabs>
            <w:spacing w:line="360" w:lineRule="auto"/>
            <w:jc w:val="center"/>
            <w:rPr>
              <w:color w:val="000000" w:themeColor="text1"/>
              <w:highlight w:val="none"/>
              <w14:textFill>
                <w14:solidFill>
                  <w14:schemeClr w14:val="tx1"/>
                </w14:solidFill>
              </w14:textFill>
            </w:rPr>
          </w:pPr>
          <w:r>
            <w:rPr>
              <w:bCs/>
              <w:color w:val="000000" w:themeColor="text1"/>
              <w:highlight w:val="none"/>
              <w:lang w:val="zh-CN"/>
              <w14:textFill>
                <w14:solidFill>
                  <w14:schemeClr w14:val="tx1"/>
                </w14:solidFill>
              </w14:textFill>
            </w:rPr>
            <w:fldChar w:fldCharType="end"/>
          </w:r>
        </w:p>
      </w:sdtContent>
    </w:sdt>
    <w:p w14:paraId="7D16DAD6">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305BA15">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5" w:name="_Toc27926"/>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bookmarkEnd w:id="5"/>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2"/>
        <w:gridCol w:w="282"/>
        <w:gridCol w:w="2820"/>
        <w:gridCol w:w="1677"/>
        <w:gridCol w:w="3369"/>
      </w:tblGrid>
      <w:tr w14:paraId="0F9FC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004" w:type="dxa"/>
            <w:gridSpan w:val="2"/>
            <w:tcMar>
              <w:top w:w="16" w:type="dxa"/>
              <w:left w:w="16" w:type="dxa"/>
              <w:right w:w="16" w:type="dxa"/>
            </w:tcMar>
            <w:vAlign w:val="center"/>
          </w:tcPr>
          <w:p w14:paraId="4DC089C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建设项目名称</w:t>
            </w:r>
          </w:p>
        </w:tc>
        <w:tc>
          <w:tcPr>
            <w:tcW w:w="7866" w:type="dxa"/>
            <w:gridSpan w:val="3"/>
            <w:vAlign w:val="center"/>
          </w:tcPr>
          <w:p w14:paraId="6E716795">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至期超精密光学元器件研发生产基地项目(三期)</w:t>
            </w:r>
          </w:p>
        </w:tc>
      </w:tr>
      <w:tr w14:paraId="566EA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4" w:type="dxa"/>
            <w:gridSpan w:val="2"/>
            <w:tcMar>
              <w:top w:w="16" w:type="dxa"/>
              <w:left w:w="16" w:type="dxa"/>
              <w:right w:w="16" w:type="dxa"/>
            </w:tcMar>
            <w:vAlign w:val="center"/>
          </w:tcPr>
          <w:p w14:paraId="7EC98E3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项目代码</w:t>
            </w:r>
          </w:p>
        </w:tc>
        <w:tc>
          <w:tcPr>
            <w:tcW w:w="7866" w:type="dxa"/>
            <w:gridSpan w:val="3"/>
            <w:vAlign w:val="center"/>
          </w:tcPr>
          <w:p w14:paraId="12ED7297">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2512-350169-07-01-904457</w:t>
            </w:r>
          </w:p>
        </w:tc>
      </w:tr>
      <w:tr w14:paraId="017D56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4" w:type="dxa"/>
            <w:gridSpan w:val="2"/>
            <w:tcMar>
              <w:top w:w="16" w:type="dxa"/>
              <w:left w:w="16" w:type="dxa"/>
              <w:right w:w="16" w:type="dxa"/>
            </w:tcMar>
            <w:vAlign w:val="center"/>
          </w:tcPr>
          <w:p w14:paraId="6E6FCD3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建设单位联系人</w:t>
            </w:r>
          </w:p>
        </w:tc>
        <w:tc>
          <w:tcPr>
            <w:tcW w:w="2820" w:type="dxa"/>
            <w:vAlign w:val="center"/>
          </w:tcPr>
          <w:p w14:paraId="522013B0">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郑</w:t>
            </w:r>
            <w:r>
              <w:rPr>
                <w:rFonts w:hint="eastAsia"/>
                <w:color w:val="000000" w:themeColor="text1"/>
                <w:szCs w:val="21"/>
                <w:highlight w:val="none"/>
                <w:lang w:val="en-US" w:eastAsia="zh-CN"/>
                <w14:textFill>
                  <w14:solidFill>
                    <w14:schemeClr w14:val="tx1"/>
                  </w14:solidFill>
                </w14:textFill>
              </w:rPr>
              <w:t>**</w:t>
            </w:r>
          </w:p>
        </w:tc>
        <w:tc>
          <w:tcPr>
            <w:tcW w:w="1677" w:type="dxa"/>
            <w:vAlign w:val="center"/>
          </w:tcPr>
          <w:p w14:paraId="33A0320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联系方式</w:t>
            </w:r>
          </w:p>
        </w:tc>
        <w:tc>
          <w:tcPr>
            <w:tcW w:w="3369" w:type="dxa"/>
            <w:vAlign w:val="center"/>
          </w:tcPr>
          <w:p w14:paraId="23AB6639">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1ACE9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4" w:type="dxa"/>
            <w:gridSpan w:val="2"/>
            <w:tcMar>
              <w:top w:w="16" w:type="dxa"/>
              <w:left w:w="16" w:type="dxa"/>
              <w:right w:w="16" w:type="dxa"/>
            </w:tcMar>
            <w:vAlign w:val="center"/>
          </w:tcPr>
          <w:p w14:paraId="407E662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建设地点</w:t>
            </w:r>
          </w:p>
        </w:tc>
        <w:tc>
          <w:tcPr>
            <w:tcW w:w="7866" w:type="dxa"/>
            <w:gridSpan w:val="3"/>
            <w:vAlign w:val="center"/>
          </w:tcPr>
          <w:p w14:paraId="78E10374">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u w:val="single"/>
                <w14:textFill>
                  <w14:solidFill>
                    <w14:schemeClr w14:val="tx1"/>
                  </w14:solidFill>
                </w14:textFill>
              </w:rPr>
              <w:t xml:space="preserve"> 福建 </w:t>
            </w:r>
            <w:r>
              <w:rPr>
                <w:color w:val="000000" w:themeColor="text1"/>
                <w:szCs w:val="21"/>
                <w:highlight w:val="none"/>
                <w14:textFill>
                  <w14:solidFill>
                    <w14:schemeClr w14:val="tx1"/>
                  </w14:solidFill>
                </w14:textFill>
              </w:rPr>
              <w:t>省（自治区）</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福州</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市</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高新</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县（区）</w:t>
            </w:r>
            <w:r>
              <w:rPr>
                <w:rFonts w:hint="eastAsia"/>
                <w:color w:val="000000" w:themeColor="text1"/>
                <w:szCs w:val="21"/>
                <w:highlight w:val="none"/>
                <w:u w:val="single"/>
                <w:lang w:val="en-US" w:eastAsia="zh-CN"/>
                <w14:textFill>
                  <w14:solidFill>
                    <w14:schemeClr w14:val="tx1"/>
                  </w14:solidFill>
                </w14:textFill>
              </w:rPr>
              <w:t>南屿</w:t>
            </w:r>
            <w:r>
              <w:rPr>
                <w:rFonts w:hint="eastAsia"/>
                <w:color w:val="000000" w:themeColor="text1"/>
                <w:szCs w:val="21"/>
                <w:highlight w:val="none"/>
                <w:u w:val="single"/>
                <w:lang w:eastAsia="zh-CN"/>
                <w14:textFill>
                  <w14:solidFill>
                    <w14:schemeClr w14:val="tx1"/>
                  </w14:solidFill>
                </w14:textFill>
              </w:rPr>
              <w:t>镇</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乡（街道）</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eastAsia="zh-CN"/>
                <w14:textFill>
                  <w14:solidFill>
                    <w14:schemeClr w14:val="tx1"/>
                  </w14:solidFill>
                </w14:textFill>
              </w:rPr>
              <w:t>尧溪路3号1#厂房</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（具体地址）</w:t>
            </w:r>
          </w:p>
        </w:tc>
      </w:tr>
      <w:tr w14:paraId="5BA8A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4" w:type="dxa"/>
            <w:gridSpan w:val="2"/>
            <w:tcMar>
              <w:top w:w="16" w:type="dxa"/>
              <w:left w:w="16" w:type="dxa"/>
              <w:right w:w="16" w:type="dxa"/>
            </w:tcMar>
            <w:vAlign w:val="center"/>
          </w:tcPr>
          <w:p w14:paraId="02D75B6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地理坐标</w:t>
            </w:r>
          </w:p>
        </w:tc>
        <w:tc>
          <w:tcPr>
            <w:tcW w:w="7866" w:type="dxa"/>
            <w:gridSpan w:val="3"/>
            <w:vAlign w:val="center"/>
          </w:tcPr>
          <w:p w14:paraId="1ADAEC5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u w:val="single"/>
                <w14:textFill>
                  <w14:solidFill>
                    <w14:schemeClr w14:val="tx1"/>
                  </w14:solidFill>
                </w14:textFill>
              </w:rPr>
              <w:t xml:space="preserve"> </w:t>
            </w:r>
            <w:r>
              <w:rPr>
                <w:color w:val="000000" w:themeColor="text1"/>
                <w:szCs w:val="21"/>
                <w:highlight w:val="none"/>
                <w:u w:val="single"/>
                <w14:textFill>
                  <w14:solidFill>
                    <w14:schemeClr w14:val="tx1"/>
                  </w14:solidFill>
                </w14:textFill>
              </w:rPr>
              <w:t xml:space="preserve">119 </w:t>
            </w:r>
            <w:r>
              <w:rPr>
                <w:color w:val="000000" w:themeColor="text1"/>
                <w:szCs w:val="21"/>
                <w:highlight w:val="none"/>
                <w14:textFill>
                  <w14:solidFill>
                    <w14:schemeClr w14:val="tx1"/>
                  </w14:solidFill>
                </w14:textFill>
              </w:rPr>
              <w:t>度</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13</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分</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34.450</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秒，</w:t>
            </w:r>
            <w:r>
              <w:rPr>
                <w:color w:val="000000" w:themeColor="text1"/>
                <w:szCs w:val="21"/>
                <w:highlight w:val="none"/>
                <w:u w:val="single"/>
                <w14:textFill>
                  <w14:solidFill>
                    <w14:schemeClr w14:val="tx1"/>
                  </w14:solidFill>
                </w14:textFill>
              </w:rPr>
              <w:t xml:space="preserve"> 2</w:t>
            </w:r>
            <w:r>
              <w:rPr>
                <w:rFonts w:hint="eastAsia"/>
                <w:color w:val="000000" w:themeColor="text1"/>
                <w:szCs w:val="21"/>
                <w:highlight w:val="none"/>
                <w:u w:val="single"/>
                <w:lang w:val="en-US" w:eastAsia="zh-CN"/>
                <w14:textFill>
                  <w14:solidFill>
                    <w14:schemeClr w14:val="tx1"/>
                  </w14:solidFill>
                </w14:textFill>
              </w:rPr>
              <w:t>5</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度</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56</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分</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33.030</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秒）</w:t>
            </w:r>
          </w:p>
        </w:tc>
      </w:tr>
      <w:tr w14:paraId="6656F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04" w:type="dxa"/>
            <w:gridSpan w:val="2"/>
            <w:tcMar>
              <w:top w:w="16" w:type="dxa"/>
              <w:left w:w="16" w:type="dxa"/>
              <w:right w:w="16" w:type="dxa"/>
            </w:tcMar>
            <w:vAlign w:val="center"/>
          </w:tcPr>
          <w:p w14:paraId="712C01A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国民经济</w:t>
            </w:r>
          </w:p>
          <w:p w14:paraId="40480DD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p>
        </w:tc>
        <w:tc>
          <w:tcPr>
            <w:tcW w:w="2820" w:type="dxa"/>
            <w:vAlign w:val="center"/>
          </w:tcPr>
          <w:p w14:paraId="2748483A">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lang w:val="en-US" w:eastAsia="zh-CN"/>
                <w14:textFill>
                  <w14:solidFill>
                    <w14:schemeClr w14:val="tx1"/>
                  </w14:solidFill>
                </w14:textFill>
              </w:rPr>
              <w:t>C3989 其他电子元件制造</w:t>
            </w:r>
          </w:p>
        </w:tc>
        <w:tc>
          <w:tcPr>
            <w:tcW w:w="1677" w:type="dxa"/>
            <w:vAlign w:val="center"/>
          </w:tcPr>
          <w:p w14:paraId="1B079F5B">
            <w:pPr>
              <w:adjustRightInd w:val="0"/>
              <w:snapToGrid w:val="0"/>
              <w:jc w:val="center"/>
              <w:rPr>
                <w:color w:val="000000" w:themeColor="text1"/>
                <w:szCs w:val="21"/>
                <w:highlight w:val="none"/>
                <w14:textFill>
                  <w14:solidFill>
                    <w14:schemeClr w14:val="tx1"/>
                  </w14:solidFill>
                </w14:textFill>
              </w:rPr>
            </w:pPr>
            <w:bookmarkStart w:id="6" w:name="_Hlk49843745"/>
            <w:r>
              <w:rPr>
                <w:color w:val="000000" w:themeColor="text1"/>
                <w:szCs w:val="21"/>
                <w:highlight w:val="none"/>
                <w14:textFill>
                  <w14:solidFill>
                    <w14:schemeClr w14:val="tx1"/>
                  </w14:solidFill>
                </w14:textFill>
              </w:rPr>
              <w:t>建设项目</w:t>
            </w:r>
          </w:p>
          <w:p w14:paraId="0E79281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bookmarkEnd w:id="6"/>
          </w:p>
        </w:tc>
        <w:tc>
          <w:tcPr>
            <w:tcW w:w="3369" w:type="dxa"/>
            <w:vAlign w:val="center"/>
          </w:tcPr>
          <w:p w14:paraId="4A01A52F">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三十六、计算机、通信和其他电子设备制造39</w:t>
            </w:r>
            <w:r>
              <w:rPr>
                <w:rFonts w:hint="eastAsia"/>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14:textFill>
                  <w14:solidFill>
                    <w14:schemeClr w14:val="tx1"/>
                  </w14:solidFill>
                </w14:textFill>
              </w:rPr>
              <w:t>81电子元件及电子专用材料制造398</w:t>
            </w:r>
            <w:r>
              <w:rPr>
                <w:rFonts w:hint="eastAsia"/>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印刷电路板制造；电子专用材料制造（电子化工材料制造除外）；使用有机溶剂的；有酸洗的</w:t>
            </w:r>
          </w:p>
          <w:p w14:paraId="5903155A">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以上均不含仅分割、焊接、组装的</w:t>
            </w:r>
          </w:p>
        </w:tc>
      </w:tr>
      <w:tr w14:paraId="4B9AD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04" w:type="dxa"/>
            <w:gridSpan w:val="2"/>
            <w:tcMar>
              <w:top w:w="16" w:type="dxa"/>
              <w:left w:w="16" w:type="dxa"/>
              <w:right w:w="16" w:type="dxa"/>
            </w:tcMar>
            <w:vAlign w:val="center"/>
          </w:tcPr>
          <w:p w14:paraId="323D8A9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建设性质</w:t>
            </w:r>
          </w:p>
        </w:tc>
        <w:tc>
          <w:tcPr>
            <w:tcW w:w="2820" w:type="dxa"/>
            <w:vAlign w:val="center"/>
          </w:tcPr>
          <w:p w14:paraId="7DFB7C21">
            <w:pPr>
              <w:jc w:val="left"/>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新建（迁建）</w:t>
            </w:r>
          </w:p>
          <w:p w14:paraId="33D5E8B0">
            <w:pPr>
              <w:jc w:val="left"/>
              <w:rPr>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改建</w:t>
            </w:r>
          </w:p>
          <w:p w14:paraId="304C7497">
            <w:pPr>
              <w:jc w:val="left"/>
              <w:rPr>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sym w:font="Wingdings 2" w:char="0052"/>
            </w:r>
            <w:r>
              <w:rPr>
                <w:color w:val="000000" w:themeColor="text1"/>
                <w:szCs w:val="21"/>
                <w:highlight w:val="none"/>
                <w14:textFill>
                  <w14:solidFill>
                    <w14:schemeClr w14:val="tx1"/>
                  </w14:solidFill>
                </w14:textFill>
              </w:rPr>
              <w:t>扩建</w:t>
            </w:r>
          </w:p>
          <w:p w14:paraId="002197BB">
            <w:pPr>
              <w:jc w:val="left"/>
              <w:rPr>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技术改造</w:t>
            </w:r>
          </w:p>
        </w:tc>
        <w:tc>
          <w:tcPr>
            <w:tcW w:w="1677" w:type="dxa"/>
            <w:vAlign w:val="center"/>
          </w:tcPr>
          <w:p w14:paraId="23C6905E">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建设项目</w:t>
            </w:r>
          </w:p>
          <w:p w14:paraId="139D18CE">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申报情形</w:t>
            </w:r>
          </w:p>
        </w:tc>
        <w:tc>
          <w:tcPr>
            <w:tcW w:w="3369" w:type="dxa"/>
            <w:vAlign w:val="center"/>
          </w:tcPr>
          <w:p w14:paraId="0CCD509C">
            <w:pPr>
              <w:jc w:val="left"/>
              <w:rPr>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 xml:space="preserve">首次申报项目             </w:t>
            </w:r>
          </w:p>
          <w:p w14:paraId="3B9A25DF">
            <w:pPr>
              <w:jc w:val="left"/>
              <w:rPr>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不予批准后再次申报项目</w:t>
            </w:r>
          </w:p>
          <w:p w14:paraId="23ABB481">
            <w:pPr>
              <w:jc w:val="left"/>
              <w:rPr>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 xml:space="preserve">超五年重新审核项目     </w:t>
            </w:r>
          </w:p>
          <w:p w14:paraId="0D388033">
            <w:pPr>
              <w:jc w:val="left"/>
              <w:rPr>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重大变动重新报批项目</w:t>
            </w:r>
          </w:p>
        </w:tc>
      </w:tr>
      <w:tr w14:paraId="45592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04" w:type="dxa"/>
            <w:gridSpan w:val="2"/>
            <w:tcMar>
              <w:top w:w="16" w:type="dxa"/>
              <w:left w:w="16" w:type="dxa"/>
              <w:right w:w="16" w:type="dxa"/>
            </w:tcMar>
            <w:vAlign w:val="center"/>
          </w:tcPr>
          <w:p w14:paraId="0DEA753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项目审批（核准/</w:t>
            </w:r>
          </w:p>
          <w:p w14:paraId="769F570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备案）部门（选填）</w:t>
            </w:r>
          </w:p>
        </w:tc>
        <w:tc>
          <w:tcPr>
            <w:tcW w:w="2820" w:type="dxa"/>
            <w:vAlign w:val="center"/>
          </w:tcPr>
          <w:p w14:paraId="59DAB382">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福州高新区经济发展局</w:t>
            </w:r>
          </w:p>
        </w:tc>
        <w:tc>
          <w:tcPr>
            <w:tcW w:w="1677" w:type="dxa"/>
            <w:vAlign w:val="center"/>
          </w:tcPr>
          <w:p w14:paraId="362567C1">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项目审批（核准/</w:t>
            </w:r>
          </w:p>
          <w:p w14:paraId="540A35A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备案）文号（选填）</w:t>
            </w:r>
          </w:p>
        </w:tc>
        <w:tc>
          <w:tcPr>
            <w:tcW w:w="3369" w:type="dxa"/>
            <w:vAlign w:val="center"/>
          </w:tcPr>
          <w:p w14:paraId="26B9EA2B">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闽工信备[2025]A140209号</w:t>
            </w:r>
          </w:p>
        </w:tc>
      </w:tr>
      <w:tr w14:paraId="6ABFE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4" w:type="dxa"/>
            <w:gridSpan w:val="2"/>
            <w:tcMar>
              <w:top w:w="16" w:type="dxa"/>
              <w:left w:w="16" w:type="dxa"/>
              <w:right w:w="16" w:type="dxa"/>
            </w:tcMar>
            <w:vAlign w:val="center"/>
          </w:tcPr>
          <w:p w14:paraId="09828D2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总投资（万元）</w:t>
            </w:r>
          </w:p>
        </w:tc>
        <w:tc>
          <w:tcPr>
            <w:tcW w:w="2820" w:type="dxa"/>
            <w:vAlign w:val="center"/>
          </w:tcPr>
          <w:p w14:paraId="706D7225">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677" w:type="dxa"/>
            <w:tcMar>
              <w:top w:w="16" w:type="dxa"/>
              <w:left w:w="16" w:type="dxa"/>
              <w:right w:w="16" w:type="dxa"/>
            </w:tcMar>
            <w:vAlign w:val="center"/>
          </w:tcPr>
          <w:p w14:paraId="31C0EE01">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环保投资（万元）</w:t>
            </w:r>
          </w:p>
        </w:tc>
        <w:tc>
          <w:tcPr>
            <w:tcW w:w="3369" w:type="dxa"/>
            <w:vAlign w:val="center"/>
          </w:tcPr>
          <w:p w14:paraId="517759E1">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4CE81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4" w:type="dxa"/>
            <w:gridSpan w:val="2"/>
            <w:tcMar>
              <w:top w:w="16" w:type="dxa"/>
              <w:left w:w="16" w:type="dxa"/>
              <w:right w:w="16" w:type="dxa"/>
            </w:tcMar>
            <w:vAlign w:val="center"/>
          </w:tcPr>
          <w:p w14:paraId="5FB8650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环保投资占比（%）</w:t>
            </w:r>
          </w:p>
        </w:tc>
        <w:tc>
          <w:tcPr>
            <w:tcW w:w="2820" w:type="dxa"/>
            <w:vAlign w:val="center"/>
          </w:tcPr>
          <w:p w14:paraId="4008BDF8">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677" w:type="dxa"/>
            <w:tcMar>
              <w:top w:w="16" w:type="dxa"/>
              <w:left w:w="16" w:type="dxa"/>
              <w:right w:w="16" w:type="dxa"/>
            </w:tcMar>
            <w:vAlign w:val="center"/>
          </w:tcPr>
          <w:p w14:paraId="2A6CB9A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施工工期</w:t>
            </w:r>
          </w:p>
        </w:tc>
        <w:tc>
          <w:tcPr>
            <w:tcW w:w="3369" w:type="dxa"/>
            <w:vAlign w:val="center"/>
          </w:tcPr>
          <w:p w14:paraId="281BC883">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24</w:t>
            </w:r>
            <w:r>
              <w:rPr>
                <w:rFonts w:hint="eastAsia"/>
                <w:color w:val="000000" w:themeColor="text1"/>
                <w:szCs w:val="21"/>
                <w:highlight w:val="none"/>
                <w14:textFill>
                  <w14:solidFill>
                    <w14:schemeClr w14:val="tx1"/>
                  </w14:solidFill>
                </w14:textFill>
              </w:rPr>
              <w:t>个月</w:t>
            </w:r>
          </w:p>
        </w:tc>
      </w:tr>
      <w:tr w14:paraId="1AF84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4" w:type="dxa"/>
            <w:gridSpan w:val="2"/>
            <w:tcMar>
              <w:top w:w="16" w:type="dxa"/>
              <w:left w:w="16" w:type="dxa"/>
              <w:right w:w="16" w:type="dxa"/>
            </w:tcMar>
            <w:vAlign w:val="center"/>
          </w:tcPr>
          <w:p w14:paraId="7F1196B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是否开工建设</w:t>
            </w:r>
          </w:p>
        </w:tc>
        <w:tc>
          <w:tcPr>
            <w:tcW w:w="2820" w:type="dxa"/>
            <w:vAlign w:val="center"/>
          </w:tcPr>
          <w:p w14:paraId="60D0AB8C">
            <w:pPr>
              <w:adjustRightInd w:val="0"/>
              <w:snapToGrid w:val="0"/>
              <w:rPr>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sym w:font="Wingdings 2" w:char="0052"/>
            </w:r>
            <w:r>
              <w:rPr>
                <w:color w:val="000000" w:themeColor="text1"/>
                <w:szCs w:val="21"/>
                <w:highlight w:val="none"/>
                <w14:textFill>
                  <w14:solidFill>
                    <w14:schemeClr w14:val="tx1"/>
                  </w14:solidFill>
                </w14:textFill>
              </w:rPr>
              <w:t>否</w:t>
            </w:r>
          </w:p>
          <w:p w14:paraId="40520070">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是：</w:t>
            </w:r>
            <w:r>
              <w:rPr>
                <w:color w:val="000000" w:themeColor="text1"/>
                <w:szCs w:val="21"/>
                <w:highlight w:val="none"/>
                <w:u w:val="single"/>
                <w14:textFill>
                  <w14:solidFill>
                    <w14:schemeClr w14:val="tx1"/>
                  </w14:solidFill>
                </w14:textFill>
              </w:rPr>
              <w:t xml:space="preserve">           </w:t>
            </w:r>
          </w:p>
        </w:tc>
        <w:tc>
          <w:tcPr>
            <w:tcW w:w="1677" w:type="dxa"/>
            <w:tcMar>
              <w:top w:w="16" w:type="dxa"/>
              <w:left w:w="16" w:type="dxa"/>
              <w:right w:w="16" w:type="dxa"/>
            </w:tcMar>
            <w:vAlign w:val="center"/>
          </w:tcPr>
          <w:p w14:paraId="24E795B7">
            <w:pPr>
              <w:adjustRightInd w:val="0"/>
              <w:snapToGrid w:val="0"/>
              <w:jc w:val="center"/>
              <w:rPr>
                <w:color w:val="000000" w:themeColor="text1"/>
                <w:spacing w:val="-6"/>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用地（用海）</w:t>
            </w:r>
          </w:p>
          <w:p w14:paraId="63675CD4">
            <w:pPr>
              <w:adjustRightInd w:val="0"/>
              <w:snapToGrid w:val="0"/>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面积（m</w:t>
            </w:r>
            <w:r>
              <w:rPr>
                <w:color w:val="000000" w:themeColor="text1"/>
                <w:spacing w:val="-6"/>
                <w:szCs w:val="21"/>
                <w:highlight w:val="none"/>
                <w:vertAlign w:val="superscript"/>
                <w14:textFill>
                  <w14:solidFill>
                    <w14:schemeClr w14:val="tx1"/>
                  </w14:solidFill>
                </w14:textFill>
              </w:rPr>
              <w:t>2</w:t>
            </w:r>
            <w:r>
              <w:rPr>
                <w:color w:val="000000" w:themeColor="text1"/>
                <w:spacing w:val="-6"/>
                <w:szCs w:val="21"/>
                <w:highlight w:val="none"/>
                <w14:textFill>
                  <w14:solidFill>
                    <w14:schemeClr w14:val="tx1"/>
                  </w14:solidFill>
                </w14:textFill>
              </w:rPr>
              <w:t>）</w:t>
            </w:r>
          </w:p>
        </w:tc>
        <w:tc>
          <w:tcPr>
            <w:tcW w:w="3369" w:type="dxa"/>
            <w:vAlign w:val="center"/>
          </w:tcPr>
          <w:p w14:paraId="0F611892">
            <w:pPr>
              <w:adjustRightInd w:val="0"/>
              <w:snapToGrid w:val="0"/>
              <w:jc w:val="center"/>
              <w:rPr>
                <w:color w:val="000000" w:themeColor="text1"/>
                <w:szCs w:val="21"/>
                <w:highlight w:val="none"/>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租用</w:t>
            </w:r>
            <w:r>
              <w:rPr>
                <w:bCs/>
                <w:color w:val="000000" w:themeColor="text1"/>
                <w:kern w:val="0"/>
                <w:sz w:val="21"/>
                <w:szCs w:val="21"/>
                <w:highlight w:val="none"/>
                <w14:textFill>
                  <w14:solidFill>
                    <w14:schemeClr w14:val="tx1"/>
                  </w14:solidFill>
                </w14:textFill>
              </w:rPr>
              <w:t>面积</w:t>
            </w:r>
            <w:r>
              <w:rPr>
                <w:rFonts w:hint="eastAsia"/>
                <w:bCs/>
                <w:color w:val="000000" w:themeColor="text1"/>
                <w:kern w:val="0"/>
                <w:sz w:val="21"/>
                <w:szCs w:val="21"/>
                <w:highlight w:val="none"/>
                <w:lang w:val="en-US" w:eastAsia="zh-CN"/>
                <w14:textFill>
                  <w14:solidFill>
                    <w14:schemeClr w14:val="tx1"/>
                  </w14:solidFill>
                </w14:textFill>
              </w:rPr>
              <w:t>约11858.28</w:t>
            </w:r>
            <w:r>
              <w:rPr>
                <w:bCs/>
                <w:color w:val="000000" w:themeColor="text1"/>
                <w:kern w:val="0"/>
                <w:sz w:val="21"/>
                <w:szCs w:val="21"/>
                <w:highlight w:val="none"/>
                <w14:textFill>
                  <w14:solidFill>
                    <w14:schemeClr w14:val="tx1"/>
                  </w14:solidFill>
                </w14:textFill>
              </w:rPr>
              <w:t>m</w:t>
            </w:r>
            <w:r>
              <w:rPr>
                <w:bCs/>
                <w:color w:val="000000" w:themeColor="text1"/>
                <w:kern w:val="0"/>
                <w:sz w:val="21"/>
                <w:szCs w:val="21"/>
                <w:highlight w:val="none"/>
                <w:vertAlign w:val="superscript"/>
                <w14:textFill>
                  <w14:solidFill>
                    <w14:schemeClr w14:val="tx1"/>
                  </w14:solidFill>
                </w14:textFill>
              </w:rPr>
              <w:t>2</w:t>
            </w:r>
          </w:p>
        </w:tc>
      </w:tr>
      <w:tr w14:paraId="0C52A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9" w:hRule="atLeast"/>
          <w:jc w:val="center"/>
        </w:trPr>
        <w:tc>
          <w:tcPr>
            <w:tcW w:w="722" w:type="dxa"/>
            <w:vAlign w:val="center"/>
          </w:tcPr>
          <w:p w14:paraId="42C473D1">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专项评价设置情况</w:t>
            </w:r>
          </w:p>
        </w:tc>
        <w:tc>
          <w:tcPr>
            <w:tcW w:w="8148" w:type="dxa"/>
            <w:gridSpan w:val="4"/>
            <w:vAlign w:val="center"/>
          </w:tcPr>
          <w:p w14:paraId="059BDEFD">
            <w:pPr>
              <w:autoSpaceDE w:val="0"/>
              <w:autoSpaceDN w:val="0"/>
              <w:adjustRightInd w:val="0"/>
              <w:snapToGrid w:val="0"/>
              <w:spacing w:before="120" w:beforeLines="50" w:line="360" w:lineRule="auto"/>
              <w:jc w:val="center"/>
              <w:rPr>
                <w:b/>
                <w:color w:val="000000" w:themeColor="text1"/>
                <w:kern w:val="0"/>
                <w:sz w:val="24"/>
                <w:szCs w:val="24"/>
                <w:highlight w:val="none"/>
                <w14:textFill>
                  <w14:solidFill>
                    <w14:schemeClr w14:val="tx1"/>
                  </w14:solidFill>
                </w14:textFill>
              </w:rPr>
            </w:pPr>
            <w:r>
              <w:rPr>
                <w:b/>
                <w:color w:val="000000" w:themeColor="text1"/>
                <w:kern w:val="0"/>
                <w:sz w:val="24"/>
                <w:szCs w:val="24"/>
                <w:highlight w:val="none"/>
                <w14:textFill>
                  <w14:solidFill>
                    <w14:schemeClr w14:val="tx1"/>
                  </w14:solidFill>
                </w14:textFill>
              </w:rPr>
              <w:t>表</w:t>
            </w:r>
            <w:r>
              <w:rPr>
                <w:rFonts w:hint="eastAsia"/>
                <w:b/>
                <w:color w:val="000000" w:themeColor="text1"/>
                <w:kern w:val="0"/>
                <w:sz w:val="24"/>
                <w:szCs w:val="24"/>
                <w:highlight w:val="none"/>
                <w14:textFill>
                  <w14:solidFill>
                    <w14:schemeClr w14:val="tx1"/>
                  </w14:solidFill>
                </w14:textFill>
              </w:rPr>
              <w:t xml:space="preserve"> </w:t>
            </w:r>
            <w:r>
              <w:rPr>
                <w:b/>
                <w:color w:val="000000" w:themeColor="text1"/>
                <w:kern w:val="0"/>
                <w:sz w:val="24"/>
                <w:szCs w:val="24"/>
                <w:highlight w:val="none"/>
                <w14:textFill>
                  <w14:solidFill>
                    <w14:schemeClr w14:val="tx1"/>
                  </w14:solidFill>
                </w14:textFill>
              </w:rPr>
              <w:t xml:space="preserve">1-1  </w:t>
            </w:r>
            <w:r>
              <w:rPr>
                <w:rFonts w:hint="eastAsia"/>
                <w:b/>
                <w:color w:val="000000" w:themeColor="text1"/>
                <w:kern w:val="0"/>
                <w:sz w:val="24"/>
                <w:szCs w:val="24"/>
                <w:highlight w:val="none"/>
                <w14:textFill>
                  <w14:solidFill>
                    <w14:schemeClr w14:val="tx1"/>
                  </w14:solidFill>
                </w14:textFill>
              </w:rPr>
              <w:t>专项评价设置原则及本项目情况</w:t>
            </w:r>
          </w:p>
          <w:tbl>
            <w:tblPr>
              <w:tblStyle w:val="30"/>
              <w:tblW w:w="788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6"/>
              <w:gridCol w:w="2686"/>
              <w:gridCol w:w="2359"/>
              <w:gridCol w:w="1559"/>
            </w:tblGrid>
            <w:tr w14:paraId="30C6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trPr>
              <w:tc>
                <w:tcPr>
                  <w:tcW w:w="810" w:type="pct"/>
                  <w:shd w:val="clear" w:color="auto" w:fill="auto"/>
                  <w:vAlign w:val="center"/>
                </w:tcPr>
                <w:p w14:paraId="47C63D04">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专项评价类别</w:t>
                  </w:r>
                </w:p>
              </w:tc>
              <w:tc>
                <w:tcPr>
                  <w:tcW w:w="1704" w:type="pct"/>
                  <w:shd w:val="clear" w:color="auto" w:fill="auto"/>
                  <w:vAlign w:val="center"/>
                </w:tcPr>
                <w:p w14:paraId="1B1FA9A2">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设置原则</w:t>
                  </w:r>
                </w:p>
              </w:tc>
              <w:tc>
                <w:tcPr>
                  <w:tcW w:w="1497" w:type="pct"/>
                  <w:shd w:val="clear" w:color="auto" w:fill="auto"/>
                  <w:vAlign w:val="center"/>
                </w:tcPr>
                <w:p w14:paraId="28BB63E6">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本项目情况</w:t>
                  </w:r>
                </w:p>
              </w:tc>
              <w:tc>
                <w:tcPr>
                  <w:tcW w:w="989" w:type="pct"/>
                  <w:shd w:val="clear" w:color="auto" w:fill="auto"/>
                  <w:vAlign w:val="center"/>
                </w:tcPr>
                <w:p w14:paraId="37F4434D">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8"/>
                      <w:highlight w:val="none"/>
                      <w:lang w:eastAsia="zh-CN"/>
                      <w14:textFill>
                        <w14:solidFill>
                          <w14:schemeClr w14:val="tx1"/>
                        </w14:solidFill>
                      </w14:textFill>
                    </w:rPr>
                    <w:t>专项评价设置情况</w:t>
                  </w:r>
                </w:p>
              </w:tc>
            </w:tr>
            <w:tr w14:paraId="0476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810" w:type="pct"/>
                  <w:shd w:val="clear" w:color="auto" w:fill="auto"/>
                  <w:vAlign w:val="center"/>
                </w:tcPr>
                <w:p w14:paraId="4FBAD49C">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大气</w:t>
                  </w:r>
                </w:p>
              </w:tc>
              <w:tc>
                <w:tcPr>
                  <w:tcW w:w="1704" w:type="pct"/>
                  <w:shd w:val="clear" w:color="auto" w:fill="auto"/>
                  <w:vAlign w:val="center"/>
                </w:tcPr>
                <w:p w14:paraId="4D7B3FC9">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排放废气含有毒有害污染物</w:t>
                  </w:r>
                  <w:r>
                    <w:rPr>
                      <w:rFonts w:ascii="Times New Roman" w:hAnsi="Times New Roman" w:cs="Times New Roman"/>
                      <w:color w:val="000000" w:themeColor="text1"/>
                      <w:kern w:val="2"/>
                      <w:sz w:val="21"/>
                      <w:szCs w:val="28"/>
                      <w:highlight w:val="none"/>
                      <w:vertAlign w:val="superscript"/>
                      <w:lang w:eastAsia="zh-CN"/>
                      <w14:textFill>
                        <w14:solidFill>
                          <w14:schemeClr w14:val="tx1"/>
                        </w14:solidFill>
                      </w14:textFill>
                    </w:rPr>
                    <w:t>1</w:t>
                  </w:r>
                  <w:r>
                    <w:rPr>
                      <w:rFonts w:ascii="Times New Roman" w:hAnsi="Times New Roman" w:cs="Times New Roman"/>
                      <w:color w:val="000000" w:themeColor="text1"/>
                      <w:kern w:val="2"/>
                      <w:sz w:val="21"/>
                      <w:szCs w:val="28"/>
                      <w:highlight w:val="none"/>
                      <w:lang w:eastAsia="zh-CN"/>
                      <w14:textFill>
                        <w14:solidFill>
                          <w14:schemeClr w14:val="tx1"/>
                        </w14:solidFill>
                      </w14:textFill>
                    </w:rPr>
                    <w:t>、二噁英、苯并[a]芘、氰化物、氯气且厂界外500米范围内有环境空气保护目标</w:t>
                  </w:r>
                  <w:r>
                    <w:rPr>
                      <w:rFonts w:ascii="Times New Roman" w:hAnsi="Times New Roman" w:cs="Times New Roman"/>
                      <w:color w:val="000000" w:themeColor="text1"/>
                      <w:kern w:val="2"/>
                      <w:sz w:val="21"/>
                      <w:szCs w:val="28"/>
                      <w:highlight w:val="none"/>
                      <w:vertAlign w:val="superscript"/>
                      <w:lang w:eastAsia="zh-CN"/>
                      <w14:textFill>
                        <w14:solidFill>
                          <w14:schemeClr w14:val="tx1"/>
                        </w14:solidFill>
                      </w14:textFill>
                    </w:rPr>
                    <w:t>2</w:t>
                  </w:r>
                  <w:r>
                    <w:rPr>
                      <w:rFonts w:ascii="Times New Roman" w:hAnsi="Times New Roman" w:cs="Times New Roman"/>
                      <w:color w:val="000000" w:themeColor="text1"/>
                      <w:kern w:val="2"/>
                      <w:sz w:val="21"/>
                      <w:szCs w:val="28"/>
                      <w:highlight w:val="none"/>
                      <w:lang w:eastAsia="zh-CN"/>
                      <w14:textFill>
                        <w14:solidFill>
                          <w14:schemeClr w14:val="tx1"/>
                        </w14:solidFill>
                      </w14:textFill>
                    </w:rPr>
                    <w:t>的建设项目</w:t>
                  </w:r>
                </w:p>
              </w:tc>
              <w:tc>
                <w:tcPr>
                  <w:tcW w:w="1497" w:type="pct"/>
                  <w:shd w:val="clear" w:color="auto" w:fill="auto"/>
                  <w:vAlign w:val="center"/>
                </w:tcPr>
                <w:p w14:paraId="0C4AD711">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项目不涉及，因此</w:t>
                  </w:r>
                  <w:r>
                    <w:rPr>
                      <w:rFonts w:hint="eastAsia" w:ascii="Times New Roman" w:hAnsi="Times New Roman" w:cs="Times New Roman"/>
                      <w:color w:val="000000" w:themeColor="text1"/>
                      <w:kern w:val="2"/>
                      <w:sz w:val="21"/>
                      <w:szCs w:val="28"/>
                      <w:highlight w:val="none"/>
                      <w:lang w:val="en-US" w:eastAsia="zh-CN"/>
                      <w14:textFill>
                        <w14:solidFill>
                          <w14:schemeClr w14:val="tx1"/>
                        </w14:solidFill>
                      </w14:textFill>
                    </w:rPr>
                    <w:t>不需要</w:t>
                  </w:r>
                  <w:r>
                    <w:rPr>
                      <w:rFonts w:ascii="Times New Roman" w:hAnsi="Times New Roman" w:cs="Times New Roman"/>
                      <w:color w:val="000000" w:themeColor="text1"/>
                      <w:kern w:val="2"/>
                      <w:sz w:val="21"/>
                      <w:szCs w:val="28"/>
                      <w:highlight w:val="none"/>
                      <w:lang w:eastAsia="zh-CN"/>
                      <w14:textFill>
                        <w14:solidFill>
                          <w14:schemeClr w14:val="tx1"/>
                        </w14:solidFill>
                      </w14:textFill>
                    </w:rPr>
                    <w:t>开展大气专项评价。</w:t>
                  </w:r>
                </w:p>
              </w:tc>
              <w:tc>
                <w:tcPr>
                  <w:tcW w:w="989" w:type="pct"/>
                  <w:shd w:val="clear" w:color="auto" w:fill="auto"/>
                  <w:vAlign w:val="center"/>
                </w:tcPr>
                <w:p w14:paraId="2E2960DF">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8"/>
                      <w:highlight w:val="none"/>
                      <w:lang w:eastAsia="zh-CN"/>
                      <w14:textFill>
                        <w14:solidFill>
                          <w14:schemeClr w14:val="tx1"/>
                        </w14:solidFill>
                      </w14:textFill>
                    </w:rPr>
                    <w:t>无</w:t>
                  </w:r>
                </w:p>
              </w:tc>
            </w:tr>
            <w:tr w14:paraId="5C01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rPr>
              <w:tc>
                <w:tcPr>
                  <w:tcW w:w="810" w:type="pct"/>
                  <w:shd w:val="clear" w:color="auto" w:fill="auto"/>
                  <w:vAlign w:val="center"/>
                </w:tcPr>
                <w:p w14:paraId="42A759EC">
                  <w:pPr>
                    <w:pStyle w:val="36"/>
                    <w:autoSpaceDE/>
                    <w:autoSpaceDN/>
                    <w:spacing w:before="0"/>
                    <w:ind w:left="0"/>
                    <w:jc w:val="center"/>
                    <w:rPr>
                      <w:rFonts w:ascii="Times New Roman" w:hAnsi="Times New Roman" w:cs="Times New Roman"/>
                      <w:color w:val="000000" w:themeColor="text1"/>
                      <w:kern w:val="2"/>
                      <w:sz w:val="21"/>
                      <w:szCs w:val="28"/>
                      <w:highlight w:val="none"/>
                      <w14:textFill>
                        <w14:solidFill>
                          <w14:schemeClr w14:val="tx1"/>
                        </w14:solidFill>
                      </w14:textFill>
                    </w:rPr>
                  </w:pPr>
                  <w:r>
                    <w:rPr>
                      <w:rFonts w:ascii="Times New Roman" w:hAnsi="Times New Roman" w:cs="Times New Roman"/>
                      <w:color w:val="000000" w:themeColor="text1"/>
                      <w:kern w:val="2"/>
                      <w:sz w:val="21"/>
                      <w:szCs w:val="28"/>
                      <w:highlight w:val="none"/>
                      <w14:textFill>
                        <w14:solidFill>
                          <w14:schemeClr w14:val="tx1"/>
                        </w14:solidFill>
                      </w14:textFill>
                    </w:rPr>
                    <w:t>地表水</w:t>
                  </w:r>
                </w:p>
              </w:tc>
              <w:tc>
                <w:tcPr>
                  <w:tcW w:w="1704" w:type="pct"/>
                  <w:shd w:val="clear" w:color="auto" w:fill="auto"/>
                  <w:vAlign w:val="center"/>
                </w:tcPr>
                <w:p w14:paraId="293179B1">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新增工业废水直排建设项目（槽罐车外送污水处理厂的除外）；新增废水直排的污水集中处理厂</w:t>
                  </w:r>
                </w:p>
              </w:tc>
              <w:tc>
                <w:tcPr>
                  <w:tcW w:w="1497" w:type="pct"/>
                  <w:shd w:val="clear" w:color="auto" w:fill="auto"/>
                  <w:vAlign w:val="center"/>
                </w:tcPr>
                <w:p w14:paraId="6A1655A9">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项目无新增废水直排，</w:t>
                  </w:r>
                  <w:r>
                    <w:rPr>
                      <w:rFonts w:hint="eastAsia" w:ascii="Times New Roman" w:hAnsi="Times New Roman" w:cs="Times New Roman"/>
                      <w:color w:val="000000" w:themeColor="text1"/>
                      <w:kern w:val="2"/>
                      <w:sz w:val="21"/>
                      <w:szCs w:val="28"/>
                      <w:highlight w:val="none"/>
                      <w:lang w:val="en-US" w:eastAsia="zh-CN"/>
                      <w14:textFill>
                        <w14:solidFill>
                          <w14:schemeClr w14:val="tx1"/>
                        </w14:solidFill>
                      </w14:textFill>
                    </w:rPr>
                    <w:t>不需要</w:t>
                  </w:r>
                  <w:r>
                    <w:rPr>
                      <w:rFonts w:ascii="Times New Roman" w:hAnsi="Times New Roman" w:cs="Times New Roman"/>
                      <w:color w:val="000000" w:themeColor="text1"/>
                      <w:kern w:val="2"/>
                      <w:sz w:val="21"/>
                      <w:szCs w:val="28"/>
                      <w:highlight w:val="none"/>
                      <w:lang w:eastAsia="zh-CN"/>
                      <w14:textFill>
                        <w14:solidFill>
                          <w14:schemeClr w14:val="tx1"/>
                        </w14:solidFill>
                      </w14:textFill>
                    </w:rPr>
                    <w:t>开展地表水专项评价。</w:t>
                  </w:r>
                </w:p>
              </w:tc>
              <w:tc>
                <w:tcPr>
                  <w:tcW w:w="989" w:type="pct"/>
                  <w:shd w:val="clear" w:color="auto" w:fill="auto"/>
                  <w:vAlign w:val="center"/>
                </w:tcPr>
                <w:p w14:paraId="75E136D7">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8"/>
                      <w:highlight w:val="none"/>
                      <w:lang w:eastAsia="zh-CN"/>
                      <w14:textFill>
                        <w14:solidFill>
                          <w14:schemeClr w14:val="tx1"/>
                        </w14:solidFill>
                      </w14:textFill>
                    </w:rPr>
                    <w:t>无</w:t>
                  </w:r>
                </w:p>
              </w:tc>
            </w:tr>
            <w:tr w14:paraId="557B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trPr>
              <w:tc>
                <w:tcPr>
                  <w:tcW w:w="810" w:type="pct"/>
                  <w:shd w:val="clear" w:color="auto" w:fill="auto"/>
                  <w:vAlign w:val="center"/>
                </w:tcPr>
                <w:p w14:paraId="4EE336B9">
                  <w:pPr>
                    <w:pStyle w:val="36"/>
                    <w:autoSpaceDE/>
                    <w:autoSpaceDN/>
                    <w:spacing w:before="0"/>
                    <w:ind w:left="0"/>
                    <w:jc w:val="center"/>
                    <w:rPr>
                      <w:rFonts w:ascii="Times New Roman" w:hAnsi="Times New Roman" w:cs="Times New Roman"/>
                      <w:color w:val="000000" w:themeColor="text1"/>
                      <w:kern w:val="2"/>
                      <w:sz w:val="21"/>
                      <w:szCs w:val="28"/>
                      <w:highlight w:val="none"/>
                      <w14:textFill>
                        <w14:solidFill>
                          <w14:schemeClr w14:val="tx1"/>
                        </w14:solidFill>
                      </w14:textFill>
                    </w:rPr>
                  </w:pPr>
                  <w:r>
                    <w:rPr>
                      <w:rFonts w:ascii="Times New Roman" w:hAnsi="Times New Roman" w:cs="Times New Roman"/>
                      <w:color w:val="000000" w:themeColor="text1"/>
                      <w:kern w:val="2"/>
                      <w:sz w:val="21"/>
                      <w:szCs w:val="28"/>
                      <w:highlight w:val="none"/>
                      <w14:textFill>
                        <w14:solidFill>
                          <w14:schemeClr w14:val="tx1"/>
                        </w14:solidFill>
                      </w14:textFill>
                    </w:rPr>
                    <w:t>环境风险</w:t>
                  </w:r>
                </w:p>
              </w:tc>
              <w:tc>
                <w:tcPr>
                  <w:tcW w:w="1704" w:type="pct"/>
                  <w:shd w:val="clear" w:color="auto" w:fill="auto"/>
                  <w:vAlign w:val="center"/>
                </w:tcPr>
                <w:p w14:paraId="7DB730AB">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有毒有害和易燃易爆危险物质存储量超过临界量</w:t>
                  </w:r>
                  <w:r>
                    <w:rPr>
                      <w:rFonts w:ascii="Times New Roman" w:hAnsi="Times New Roman" w:cs="Times New Roman"/>
                      <w:color w:val="000000" w:themeColor="text1"/>
                      <w:kern w:val="2"/>
                      <w:sz w:val="21"/>
                      <w:szCs w:val="28"/>
                      <w:highlight w:val="none"/>
                      <w:vertAlign w:val="superscript"/>
                      <w:lang w:eastAsia="zh-CN"/>
                      <w14:textFill>
                        <w14:solidFill>
                          <w14:schemeClr w14:val="tx1"/>
                        </w14:solidFill>
                      </w14:textFill>
                    </w:rPr>
                    <w:t>3</w:t>
                  </w:r>
                  <w:r>
                    <w:rPr>
                      <w:rFonts w:ascii="Times New Roman" w:hAnsi="Times New Roman" w:cs="Times New Roman"/>
                      <w:color w:val="000000" w:themeColor="text1"/>
                      <w:kern w:val="2"/>
                      <w:sz w:val="21"/>
                      <w:szCs w:val="28"/>
                      <w:highlight w:val="none"/>
                      <w:lang w:eastAsia="zh-CN"/>
                      <w14:textFill>
                        <w14:solidFill>
                          <w14:schemeClr w14:val="tx1"/>
                        </w14:solidFill>
                      </w14:textFill>
                    </w:rPr>
                    <w:t>的建设项目</w:t>
                  </w:r>
                </w:p>
              </w:tc>
              <w:tc>
                <w:tcPr>
                  <w:tcW w:w="1497" w:type="pct"/>
                  <w:shd w:val="clear" w:color="auto" w:fill="auto"/>
                  <w:vAlign w:val="center"/>
                </w:tcPr>
                <w:p w14:paraId="77D30BAD">
                  <w:pPr>
                    <w:pStyle w:val="36"/>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8"/>
                      <w:highlight w:val="none"/>
                      <w:lang w:val="en-US" w:eastAsia="zh-CN"/>
                      <w14:textFill>
                        <w14:solidFill>
                          <w14:schemeClr w14:val="tx1"/>
                        </w14:solidFill>
                      </w14:textFill>
                    </w:rPr>
                    <w:t>项目不涉及有毒有害和易燃易爆危险物质存储量超过临界量的情况，</w:t>
                  </w:r>
                  <w:r>
                    <w:rPr>
                      <w:rFonts w:hint="eastAsia" w:ascii="Times New Roman" w:hAnsi="Times New Roman" w:cs="Times New Roman"/>
                      <w:color w:val="000000" w:themeColor="text1"/>
                      <w:kern w:val="2"/>
                      <w:sz w:val="21"/>
                      <w:szCs w:val="28"/>
                      <w:highlight w:val="none"/>
                      <w:lang w:eastAsia="zh-CN"/>
                      <w14:textFill>
                        <w14:solidFill>
                          <w14:schemeClr w14:val="tx1"/>
                        </w14:solidFill>
                      </w14:textFill>
                    </w:rPr>
                    <w:t>因此</w:t>
                  </w:r>
                  <w:r>
                    <w:rPr>
                      <w:rFonts w:hint="eastAsia" w:ascii="Times New Roman" w:hAnsi="Times New Roman" w:cs="Times New Roman"/>
                      <w:color w:val="000000" w:themeColor="text1"/>
                      <w:kern w:val="2"/>
                      <w:sz w:val="21"/>
                      <w:szCs w:val="28"/>
                      <w:highlight w:val="none"/>
                      <w:lang w:val="en-US" w:eastAsia="zh-CN"/>
                      <w14:textFill>
                        <w14:solidFill>
                          <w14:schemeClr w14:val="tx1"/>
                        </w14:solidFill>
                      </w14:textFill>
                    </w:rPr>
                    <w:t>不需要开展</w:t>
                  </w:r>
                  <w:r>
                    <w:rPr>
                      <w:rFonts w:hint="eastAsia" w:ascii="Times New Roman" w:hAnsi="Times New Roman" w:cs="Times New Roman"/>
                      <w:color w:val="000000" w:themeColor="text1"/>
                      <w:kern w:val="2"/>
                      <w:sz w:val="21"/>
                      <w:szCs w:val="28"/>
                      <w:highlight w:val="none"/>
                      <w:lang w:eastAsia="zh-CN"/>
                      <w14:textFill>
                        <w14:solidFill>
                          <w14:schemeClr w14:val="tx1"/>
                        </w14:solidFill>
                      </w14:textFill>
                    </w:rPr>
                    <w:t>环境风险专项评价</w:t>
                  </w:r>
                  <w:r>
                    <w:rPr>
                      <w:rFonts w:ascii="Times New Roman" w:hAnsi="Times New Roman" w:cs="Times New Roman"/>
                      <w:color w:val="000000" w:themeColor="text1"/>
                      <w:kern w:val="2"/>
                      <w:sz w:val="21"/>
                      <w:szCs w:val="28"/>
                      <w:highlight w:val="none"/>
                      <w:lang w:eastAsia="zh-CN"/>
                      <w14:textFill>
                        <w14:solidFill>
                          <w14:schemeClr w14:val="tx1"/>
                        </w14:solidFill>
                      </w14:textFill>
                    </w:rPr>
                    <w:t>。</w:t>
                  </w:r>
                </w:p>
              </w:tc>
              <w:tc>
                <w:tcPr>
                  <w:tcW w:w="989" w:type="pct"/>
                  <w:shd w:val="clear" w:color="auto" w:fill="auto"/>
                  <w:vAlign w:val="center"/>
                </w:tcPr>
                <w:p w14:paraId="7673D9EA">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8"/>
                      <w:highlight w:val="none"/>
                      <w:lang w:val="en-US" w:eastAsia="zh-CN"/>
                      <w14:textFill>
                        <w14:solidFill>
                          <w14:schemeClr w14:val="tx1"/>
                        </w14:solidFill>
                      </w14:textFill>
                    </w:rPr>
                    <w:t>无</w:t>
                  </w:r>
                </w:p>
              </w:tc>
            </w:tr>
            <w:tr w14:paraId="611A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 w:hRule="atLeast"/>
              </w:trPr>
              <w:tc>
                <w:tcPr>
                  <w:tcW w:w="810" w:type="pct"/>
                  <w:shd w:val="clear" w:color="auto" w:fill="auto"/>
                  <w:vAlign w:val="center"/>
                </w:tcPr>
                <w:p w14:paraId="0C44427D">
                  <w:pPr>
                    <w:pStyle w:val="36"/>
                    <w:autoSpaceDE/>
                    <w:autoSpaceDN/>
                    <w:spacing w:before="0"/>
                    <w:ind w:left="0"/>
                    <w:jc w:val="center"/>
                    <w:rPr>
                      <w:rFonts w:ascii="Times New Roman" w:hAnsi="Times New Roman" w:cs="Times New Roman"/>
                      <w:color w:val="000000" w:themeColor="text1"/>
                      <w:kern w:val="2"/>
                      <w:sz w:val="21"/>
                      <w:szCs w:val="28"/>
                      <w:highlight w:val="none"/>
                      <w14:textFill>
                        <w14:solidFill>
                          <w14:schemeClr w14:val="tx1"/>
                        </w14:solidFill>
                      </w14:textFill>
                    </w:rPr>
                  </w:pPr>
                  <w:r>
                    <w:rPr>
                      <w:rFonts w:ascii="Times New Roman" w:hAnsi="Times New Roman" w:cs="Times New Roman"/>
                      <w:color w:val="000000" w:themeColor="text1"/>
                      <w:kern w:val="2"/>
                      <w:sz w:val="21"/>
                      <w:szCs w:val="28"/>
                      <w:highlight w:val="none"/>
                      <w14:textFill>
                        <w14:solidFill>
                          <w14:schemeClr w14:val="tx1"/>
                        </w14:solidFill>
                      </w14:textFill>
                    </w:rPr>
                    <w:t>生态</w:t>
                  </w:r>
                </w:p>
              </w:tc>
              <w:tc>
                <w:tcPr>
                  <w:tcW w:w="1704" w:type="pct"/>
                  <w:shd w:val="clear" w:color="auto" w:fill="auto"/>
                  <w:vAlign w:val="center"/>
                </w:tcPr>
                <w:p w14:paraId="31B7788C">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取水口下游500米范围内有重要水生生物的自然产卵场、索饵场、越冬场和洄游通道的新增河道取水的污染类建设项目</w:t>
                  </w:r>
                </w:p>
              </w:tc>
              <w:tc>
                <w:tcPr>
                  <w:tcW w:w="1497" w:type="pct"/>
                  <w:shd w:val="clear" w:color="auto" w:fill="auto"/>
                  <w:vAlign w:val="center"/>
                </w:tcPr>
                <w:p w14:paraId="6698631B">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项目不涉及，因此无需开展生态专项评价。</w:t>
                  </w:r>
                </w:p>
              </w:tc>
              <w:tc>
                <w:tcPr>
                  <w:tcW w:w="989" w:type="pct"/>
                  <w:shd w:val="clear" w:color="auto" w:fill="auto"/>
                  <w:vAlign w:val="center"/>
                </w:tcPr>
                <w:p w14:paraId="7F1EF140">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8"/>
                      <w:highlight w:val="none"/>
                      <w:lang w:eastAsia="zh-CN"/>
                      <w14:textFill>
                        <w14:solidFill>
                          <w14:schemeClr w14:val="tx1"/>
                        </w14:solidFill>
                      </w14:textFill>
                    </w:rPr>
                    <w:t>无</w:t>
                  </w:r>
                </w:p>
              </w:tc>
            </w:tr>
            <w:tr w14:paraId="5146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trPr>
              <w:tc>
                <w:tcPr>
                  <w:tcW w:w="810" w:type="pct"/>
                  <w:shd w:val="clear" w:color="auto" w:fill="auto"/>
                  <w:vAlign w:val="center"/>
                </w:tcPr>
                <w:p w14:paraId="41741938">
                  <w:pPr>
                    <w:pStyle w:val="36"/>
                    <w:autoSpaceDE/>
                    <w:autoSpaceDN/>
                    <w:spacing w:before="0"/>
                    <w:ind w:left="0"/>
                    <w:jc w:val="center"/>
                    <w:rPr>
                      <w:rFonts w:ascii="Times New Roman" w:hAnsi="Times New Roman" w:cs="Times New Roman"/>
                      <w:color w:val="000000" w:themeColor="text1"/>
                      <w:kern w:val="2"/>
                      <w:sz w:val="21"/>
                      <w:szCs w:val="28"/>
                      <w:highlight w:val="none"/>
                      <w14:textFill>
                        <w14:solidFill>
                          <w14:schemeClr w14:val="tx1"/>
                        </w14:solidFill>
                      </w14:textFill>
                    </w:rPr>
                  </w:pPr>
                  <w:r>
                    <w:rPr>
                      <w:rFonts w:ascii="Times New Roman" w:hAnsi="Times New Roman" w:cs="Times New Roman"/>
                      <w:color w:val="000000" w:themeColor="text1"/>
                      <w:kern w:val="2"/>
                      <w:sz w:val="21"/>
                      <w:szCs w:val="28"/>
                      <w:highlight w:val="none"/>
                      <w14:textFill>
                        <w14:solidFill>
                          <w14:schemeClr w14:val="tx1"/>
                        </w14:solidFill>
                      </w14:textFill>
                    </w:rPr>
                    <w:t>海洋</w:t>
                  </w:r>
                </w:p>
              </w:tc>
              <w:tc>
                <w:tcPr>
                  <w:tcW w:w="1704" w:type="pct"/>
                  <w:shd w:val="clear" w:color="auto" w:fill="auto"/>
                  <w:vAlign w:val="center"/>
                </w:tcPr>
                <w:p w14:paraId="1DF8427A">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直接向海排放污染物的海洋工程建设项目</w:t>
                  </w:r>
                </w:p>
              </w:tc>
              <w:tc>
                <w:tcPr>
                  <w:tcW w:w="1497" w:type="pct"/>
                  <w:shd w:val="clear" w:color="auto" w:fill="auto"/>
                  <w:vAlign w:val="center"/>
                </w:tcPr>
                <w:p w14:paraId="581B0096">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8"/>
                      <w:highlight w:val="none"/>
                      <w:lang w:eastAsia="zh-CN"/>
                      <w14:textFill>
                        <w14:solidFill>
                          <w14:schemeClr w14:val="tx1"/>
                        </w14:solidFill>
                      </w14:textFill>
                    </w:rPr>
                    <w:t>项目不属于海洋工程建设项目</w:t>
                  </w:r>
                </w:p>
              </w:tc>
              <w:tc>
                <w:tcPr>
                  <w:tcW w:w="989" w:type="pct"/>
                  <w:shd w:val="clear" w:color="auto" w:fill="auto"/>
                  <w:vAlign w:val="center"/>
                </w:tcPr>
                <w:p w14:paraId="1EF25229">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8"/>
                      <w:highlight w:val="none"/>
                      <w:lang w:eastAsia="zh-CN"/>
                      <w14:textFill>
                        <w14:solidFill>
                          <w14:schemeClr w14:val="tx1"/>
                        </w14:solidFill>
                      </w14:textFill>
                    </w:rPr>
                    <w:t>无</w:t>
                  </w:r>
                </w:p>
              </w:tc>
            </w:tr>
            <w:tr w14:paraId="30D1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trPr>
              <w:tc>
                <w:tcPr>
                  <w:tcW w:w="810" w:type="pct"/>
                  <w:shd w:val="clear" w:color="auto" w:fill="auto"/>
                  <w:vAlign w:val="center"/>
                </w:tcPr>
                <w:p w14:paraId="20CC85C9">
                  <w:pPr>
                    <w:pStyle w:val="63"/>
                    <w:autoSpaceDE/>
                    <w:autoSpaceDN/>
                    <w:adjustRightInd/>
                    <w:jc w:val="center"/>
                    <w:rPr>
                      <w:rFonts w:ascii="Times New Roman" w:cs="Times New Roman"/>
                      <w:color w:val="000000" w:themeColor="text1"/>
                      <w:kern w:val="2"/>
                      <w:sz w:val="21"/>
                      <w:szCs w:val="24"/>
                      <w:highlight w:val="none"/>
                      <w14:textFill>
                        <w14:solidFill>
                          <w14:schemeClr w14:val="tx1"/>
                        </w14:solidFill>
                      </w14:textFill>
                    </w:rPr>
                  </w:pPr>
                  <w:r>
                    <w:rPr>
                      <w:rFonts w:ascii="Times New Roman" w:cs="Times New Roman"/>
                      <w:color w:val="000000" w:themeColor="text1"/>
                      <w:kern w:val="2"/>
                      <w:sz w:val="21"/>
                      <w:szCs w:val="24"/>
                      <w:highlight w:val="none"/>
                      <w14:textFill>
                        <w14:solidFill>
                          <w14:schemeClr w14:val="tx1"/>
                        </w14:solidFill>
                      </w14:textFill>
                    </w:rPr>
                    <w:t>声环境、土壤</w:t>
                  </w:r>
                </w:p>
              </w:tc>
              <w:tc>
                <w:tcPr>
                  <w:tcW w:w="1704" w:type="pct"/>
                  <w:shd w:val="clear" w:color="auto" w:fill="auto"/>
                  <w:vAlign w:val="center"/>
                </w:tcPr>
                <w:p w14:paraId="61353361">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4"/>
                      <w:highlight w:val="none"/>
                      <w:lang w:eastAsia="zh-CN"/>
                      <w14:textFill>
                        <w14:solidFill>
                          <w14:schemeClr w14:val="tx1"/>
                        </w14:solidFill>
                      </w14:textFill>
                    </w:rPr>
                    <w:t>不开展专项评价</w:t>
                  </w:r>
                </w:p>
              </w:tc>
              <w:tc>
                <w:tcPr>
                  <w:tcW w:w="1497" w:type="pct"/>
                  <w:shd w:val="clear" w:color="auto" w:fill="auto"/>
                  <w:vAlign w:val="center"/>
                </w:tcPr>
                <w:p w14:paraId="5100F564">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4"/>
                      <w:highlight w:val="none"/>
                      <w:lang w:eastAsia="zh-CN"/>
                      <w14:textFill>
                        <w14:solidFill>
                          <w14:schemeClr w14:val="tx1"/>
                        </w14:solidFill>
                      </w14:textFill>
                    </w:rPr>
                    <w:t>/</w:t>
                  </w:r>
                </w:p>
              </w:tc>
              <w:tc>
                <w:tcPr>
                  <w:tcW w:w="989" w:type="pct"/>
                  <w:shd w:val="clear" w:color="auto" w:fill="auto"/>
                  <w:vAlign w:val="center"/>
                </w:tcPr>
                <w:p w14:paraId="2CD2DF69">
                  <w:pPr>
                    <w:pStyle w:val="36"/>
                    <w:autoSpaceDE/>
                    <w:autoSpaceDN/>
                    <w:spacing w:before="0"/>
                    <w:ind w:left="0"/>
                    <w:jc w:val="center"/>
                    <w:rPr>
                      <w:rFonts w:ascii="Times New Roman" w:hAnsi="Times New Roman" w:cs="Times New Roman"/>
                      <w:color w:val="000000" w:themeColor="text1"/>
                      <w:kern w:val="2"/>
                      <w:sz w:val="21"/>
                      <w:szCs w:val="24"/>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4"/>
                      <w:highlight w:val="none"/>
                      <w:lang w:eastAsia="zh-CN"/>
                      <w14:textFill>
                        <w14:solidFill>
                          <w14:schemeClr w14:val="tx1"/>
                        </w14:solidFill>
                      </w14:textFill>
                    </w:rPr>
                    <w:t>无</w:t>
                  </w:r>
                </w:p>
              </w:tc>
            </w:tr>
            <w:tr w14:paraId="280B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trPr>
              <w:tc>
                <w:tcPr>
                  <w:tcW w:w="810" w:type="pct"/>
                  <w:shd w:val="clear" w:color="auto" w:fill="auto"/>
                  <w:vAlign w:val="center"/>
                </w:tcPr>
                <w:p w14:paraId="7290BC9B">
                  <w:pPr>
                    <w:pStyle w:val="36"/>
                    <w:autoSpaceDE/>
                    <w:autoSpaceDN/>
                    <w:spacing w:before="0"/>
                    <w:ind w:left="0"/>
                    <w:jc w:val="center"/>
                    <w:rPr>
                      <w:rFonts w:ascii="Times New Roman" w:hAnsi="Times New Roman" w:cs="Times New Roman"/>
                      <w:color w:val="000000" w:themeColor="text1"/>
                      <w:kern w:val="2"/>
                      <w:sz w:val="21"/>
                      <w:szCs w:val="28"/>
                      <w:highlight w:val="none"/>
                      <w:lang w:eastAsia="zh-CN"/>
                      <w14:textFill>
                        <w14:solidFill>
                          <w14:schemeClr w14:val="tx1"/>
                        </w14:solidFill>
                      </w14:textFill>
                    </w:rPr>
                  </w:pPr>
                  <w:r>
                    <w:rPr>
                      <w:rFonts w:ascii="Times New Roman" w:hAnsi="Times New Roman" w:cs="Times New Roman"/>
                      <w:color w:val="000000" w:themeColor="text1"/>
                      <w:kern w:val="2"/>
                      <w:sz w:val="21"/>
                      <w:szCs w:val="24"/>
                      <w:highlight w:val="none"/>
                      <w:lang w:eastAsia="zh-CN"/>
                      <w14:textFill>
                        <w14:solidFill>
                          <w14:schemeClr w14:val="tx1"/>
                        </w14:solidFill>
                      </w14:textFill>
                    </w:rPr>
                    <w:t>地下水</w:t>
                  </w:r>
                </w:p>
              </w:tc>
              <w:tc>
                <w:tcPr>
                  <w:tcW w:w="1704" w:type="pct"/>
                  <w:shd w:val="clear" w:color="auto" w:fill="auto"/>
                  <w:vAlign w:val="center"/>
                </w:tcPr>
                <w:p w14:paraId="35A07DBF">
                  <w:pPr>
                    <w:pStyle w:val="63"/>
                    <w:autoSpaceDE/>
                    <w:autoSpaceDN/>
                    <w:adjustRightInd/>
                    <w:jc w:val="center"/>
                    <w:rPr>
                      <w:rFonts w:ascii="Times New Roman" w:cs="Times New Roman"/>
                      <w:color w:val="000000" w:themeColor="text1"/>
                      <w:kern w:val="2"/>
                      <w:sz w:val="21"/>
                      <w:szCs w:val="24"/>
                      <w:highlight w:val="none"/>
                      <w14:textFill>
                        <w14:solidFill>
                          <w14:schemeClr w14:val="tx1"/>
                        </w14:solidFill>
                      </w14:textFill>
                    </w:rPr>
                  </w:pPr>
                  <w:r>
                    <w:rPr>
                      <w:rFonts w:ascii="Times New Roman" w:cs="Times New Roman"/>
                      <w:color w:val="000000" w:themeColor="text1"/>
                      <w:kern w:val="2"/>
                      <w:sz w:val="21"/>
                      <w:szCs w:val="24"/>
                      <w:highlight w:val="none"/>
                      <w14:textFill>
                        <w14:solidFill>
                          <w14:schemeClr w14:val="tx1"/>
                        </w14:solidFill>
                      </w14:textFill>
                    </w:rPr>
                    <w:t>地下水原则上不开展专项评价，涉及集中式饮用水水源和热水、矿泉水、温泉等特殊地下水资源保护区的开展专项评价工作。</w:t>
                  </w:r>
                </w:p>
              </w:tc>
              <w:tc>
                <w:tcPr>
                  <w:tcW w:w="1497" w:type="pct"/>
                  <w:shd w:val="clear" w:color="auto" w:fill="auto"/>
                  <w:vAlign w:val="center"/>
                </w:tcPr>
                <w:p w14:paraId="6904D08A">
                  <w:pPr>
                    <w:pStyle w:val="63"/>
                    <w:autoSpaceDE/>
                    <w:autoSpaceDN/>
                    <w:adjustRightInd/>
                    <w:jc w:val="center"/>
                    <w:rPr>
                      <w:rFonts w:ascii="Times New Roman" w:cs="Times New Roman"/>
                      <w:color w:val="000000" w:themeColor="text1"/>
                      <w:kern w:val="2"/>
                      <w:sz w:val="21"/>
                      <w:szCs w:val="24"/>
                      <w:highlight w:val="none"/>
                      <w14:textFill>
                        <w14:solidFill>
                          <w14:schemeClr w14:val="tx1"/>
                        </w14:solidFill>
                      </w14:textFill>
                    </w:rPr>
                  </w:pPr>
                  <w:r>
                    <w:rPr>
                      <w:rFonts w:ascii="Times New Roman" w:cs="Times New Roman"/>
                      <w:color w:val="000000" w:themeColor="text1"/>
                      <w:kern w:val="2"/>
                      <w:sz w:val="21"/>
                      <w:szCs w:val="24"/>
                      <w:highlight w:val="none"/>
                      <w14:textFill>
                        <w14:solidFill>
                          <w14:schemeClr w14:val="tx1"/>
                        </w14:solidFill>
                      </w14:textFill>
                    </w:rPr>
                    <w:t>项目不涉及地下水敏感区</w:t>
                  </w:r>
                </w:p>
              </w:tc>
              <w:tc>
                <w:tcPr>
                  <w:tcW w:w="989" w:type="pct"/>
                  <w:shd w:val="clear" w:color="auto" w:fill="auto"/>
                  <w:vAlign w:val="center"/>
                </w:tcPr>
                <w:p w14:paraId="78C13B43">
                  <w:pPr>
                    <w:pStyle w:val="63"/>
                    <w:autoSpaceDE/>
                    <w:autoSpaceDN/>
                    <w:adjustRightInd/>
                    <w:jc w:val="center"/>
                    <w:rPr>
                      <w:rFonts w:ascii="Times New Roman" w:cs="Times New Roman"/>
                      <w:color w:val="000000" w:themeColor="text1"/>
                      <w:kern w:val="2"/>
                      <w:sz w:val="21"/>
                      <w:szCs w:val="24"/>
                      <w:highlight w:val="none"/>
                      <w14:textFill>
                        <w14:solidFill>
                          <w14:schemeClr w14:val="tx1"/>
                        </w14:solidFill>
                      </w14:textFill>
                    </w:rPr>
                  </w:pPr>
                  <w:r>
                    <w:rPr>
                      <w:rFonts w:hint="eastAsia" w:ascii="Times New Roman" w:cs="Times New Roman"/>
                      <w:color w:val="000000" w:themeColor="text1"/>
                      <w:kern w:val="2"/>
                      <w:sz w:val="21"/>
                      <w:szCs w:val="24"/>
                      <w:highlight w:val="none"/>
                      <w14:textFill>
                        <w14:solidFill>
                          <w14:schemeClr w14:val="tx1"/>
                        </w14:solidFill>
                      </w14:textFill>
                    </w:rPr>
                    <w:t>无</w:t>
                  </w:r>
                </w:p>
              </w:tc>
            </w:tr>
          </w:tbl>
          <w:p w14:paraId="577706F4">
            <w:pPr>
              <w:autoSpaceDE w:val="0"/>
              <w:autoSpaceDN w:val="0"/>
              <w:adjustRightInd w:val="0"/>
              <w:snapToGrid w:val="0"/>
              <w:spacing w:before="120" w:beforeLines="50" w:line="360" w:lineRule="auto"/>
              <w:rPr>
                <w:rFonts w:hint="eastAsia"/>
                <w:color w:val="000000" w:themeColor="text1"/>
                <w:kern w:val="0"/>
                <w:sz w:val="21"/>
                <w:szCs w:val="24"/>
                <w:highlight w:val="none"/>
                <w14:textFill>
                  <w14:solidFill>
                    <w14:schemeClr w14:val="tx1"/>
                  </w14:solidFill>
                </w14:textFill>
              </w:rPr>
            </w:pPr>
            <w:r>
              <w:rPr>
                <w:rFonts w:hint="eastAsia"/>
                <w:color w:val="000000" w:themeColor="text1"/>
                <w:kern w:val="0"/>
                <w:sz w:val="21"/>
                <w:szCs w:val="24"/>
                <w:highlight w:val="none"/>
                <w14:textFill>
                  <w14:solidFill>
                    <w14:schemeClr w14:val="tx1"/>
                  </w14:solidFill>
                </w14:textFill>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p w14:paraId="542F4F94">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textAlignment w:val="auto"/>
              <w:rPr>
                <w:rFonts w:hint="eastAsia"/>
                <w:color w:val="000000" w:themeColor="text1"/>
                <w:kern w:val="0"/>
                <w:sz w:val="21"/>
                <w:szCs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综上所述，本项目无需开展专项评价工作。</w:t>
            </w:r>
          </w:p>
        </w:tc>
      </w:tr>
      <w:tr w14:paraId="16457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722" w:type="dxa"/>
            <w:vAlign w:val="center"/>
          </w:tcPr>
          <w:p w14:paraId="5A70B8AB">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规划情况</w:t>
            </w:r>
          </w:p>
        </w:tc>
        <w:tc>
          <w:tcPr>
            <w:tcW w:w="8148" w:type="dxa"/>
            <w:gridSpan w:val="4"/>
            <w:vAlign w:val="center"/>
          </w:tcPr>
          <w:p w14:paraId="38A90BC0">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①《福州市生物医药和机电产业园区控制性详细规划》，福州市规划设计研究院，2010年9月</w:t>
            </w:r>
          </w:p>
          <w:p w14:paraId="141E4DAD">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审批机关：福州市人民政府审批文件名称及文号：无</w:t>
            </w:r>
          </w:p>
          <w:p w14:paraId="66481DF9">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②《福州高新区两园南单元控制性详细规划》，福州市规划设计研究院集团有限公司，2022年9月</w:t>
            </w:r>
          </w:p>
          <w:p w14:paraId="42D28ABF">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审批机关：福州市人民政府</w:t>
            </w:r>
          </w:p>
          <w:p w14:paraId="6C775639">
            <w:pPr>
              <w:autoSpaceDE w:val="0"/>
              <w:autoSpaceDN w:val="0"/>
              <w:adjustRightInd w:val="0"/>
              <w:snapToGrid w:val="0"/>
              <w:spacing w:line="360" w:lineRule="auto"/>
              <w:rPr>
                <w:rFonts w:hint="eastAsia"/>
                <w:b w:val="0"/>
                <w:bCs/>
                <w:color w:val="000000" w:themeColor="text1"/>
                <w:kern w:val="0"/>
                <w:szCs w:val="21"/>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审批文件名称及文号：无</w:t>
            </w:r>
          </w:p>
        </w:tc>
      </w:tr>
      <w:tr w14:paraId="4EDF3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22" w:type="dxa"/>
            <w:vAlign w:val="center"/>
          </w:tcPr>
          <w:p w14:paraId="028AC21A">
            <w:pPr>
              <w:adjustRightInd w:val="0"/>
              <w:snapToGrid w:val="0"/>
              <w:jc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规划环境影响评价情况</w:t>
            </w:r>
          </w:p>
        </w:tc>
        <w:tc>
          <w:tcPr>
            <w:tcW w:w="8148" w:type="dxa"/>
            <w:gridSpan w:val="4"/>
            <w:vAlign w:val="center"/>
          </w:tcPr>
          <w:p w14:paraId="60DF7297">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①《福州市生物医药和机电产业园规划环境影响报告书》，福州市环境科学研究院，2011年4月</w:t>
            </w:r>
          </w:p>
          <w:p w14:paraId="5741EFF6">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审批机关：福州市环境保护局</w:t>
            </w:r>
          </w:p>
          <w:p w14:paraId="058FAB4C">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审批文件名称及文号：《福州市生物医药和机电产业园规划环境影响报告书的审查意见》（榕环保〔2011〕204号）；</w:t>
            </w:r>
          </w:p>
          <w:p w14:paraId="40AEBAA3">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②《福州市生物医药和机电产业园区地块用地性质和产业规划调整环境影响补充报告》，福州市环境科学研究院，201</w:t>
            </w:r>
            <w:r>
              <w:rPr>
                <w:rFonts w:hint="eastAsia"/>
                <w:b w:val="0"/>
                <w:bCs/>
                <w:color w:val="000000" w:themeColor="text1"/>
                <w:kern w:val="0"/>
                <w:sz w:val="24"/>
                <w:szCs w:val="24"/>
                <w:highlight w:val="none"/>
                <w:lang w:val="en-US" w:eastAsia="zh-CN"/>
                <w14:textFill>
                  <w14:solidFill>
                    <w14:schemeClr w14:val="tx1"/>
                  </w14:solidFill>
                </w14:textFill>
              </w:rPr>
              <w:t>4</w:t>
            </w:r>
            <w:r>
              <w:rPr>
                <w:rFonts w:hint="eastAsia"/>
                <w:b w:val="0"/>
                <w:bCs/>
                <w:color w:val="000000" w:themeColor="text1"/>
                <w:kern w:val="0"/>
                <w:sz w:val="24"/>
                <w:szCs w:val="24"/>
                <w:highlight w:val="none"/>
                <w14:textFill>
                  <w14:solidFill>
                    <w14:schemeClr w14:val="tx1"/>
                  </w14:solidFill>
                </w14:textFill>
              </w:rPr>
              <w:t>年11月</w:t>
            </w:r>
          </w:p>
          <w:p w14:paraId="5DA30474">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审批机关：福州市环境保护局</w:t>
            </w:r>
          </w:p>
          <w:p w14:paraId="6EC3BCB9">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审批文件名称及文号：《福州市生物医药和机电产业园区地块用地性质和产业规划调整环境影响补充报告的审查意见》（榕环保综〔2014〕435号）。</w:t>
            </w:r>
          </w:p>
          <w:p w14:paraId="15703DD6">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③《福州市生物医药和机电产业园规划环境影响跟踪评价报告书》，福建省环境保护设计院有限公司，2023年12月</w:t>
            </w:r>
          </w:p>
          <w:p w14:paraId="6E3830D0">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审批机关：福州市生态环境局</w:t>
            </w:r>
          </w:p>
          <w:p w14:paraId="097CA98A">
            <w:pPr>
              <w:autoSpaceDE w:val="0"/>
              <w:autoSpaceDN w:val="0"/>
              <w:adjustRightInd w:val="0"/>
              <w:snapToGrid w:val="0"/>
              <w:spacing w:line="360" w:lineRule="auto"/>
              <w:rPr>
                <w:rFonts w:hint="eastAsia"/>
                <w:b w:val="0"/>
                <w:bCs/>
                <w:color w:val="000000" w:themeColor="text1"/>
                <w:kern w:val="0"/>
                <w:sz w:val="24"/>
                <w:szCs w:val="24"/>
                <w:highlight w:val="none"/>
                <w14:textFill>
                  <w14:solidFill>
                    <w14:schemeClr w14:val="tx1"/>
                  </w14:solidFill>
                </w14:textFill>
              </w:rPr>
            </w:pPr>
            <w:r>
              <w:rPr>
                <w:rFonts w:hint="eastAsia"/>
                <w:b w:val="0"/>
                <w:bCs/>
                <w:color w:val="000000" w:themeColor="text1"/>
                <w:kern w:val="0"/>
                <w:sz w:val="24"/>
                <w:szCs w:val="24"/>
                <w:highlight w:val="none"/>
                <w14:textFill>
                  <w14:solidFill>
                    <w14:schemeClr w14:val="tx1"/>
                  </w14:solidFill>
                </w14:textFill>
              </w:rPr>
              <w:t>审批文件名称及文号：/</w:t>
            </w:r>
          </w:p>
        </w:tc>
      </w:tr>
      <w:tr w14:paraId="5B5A6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2" w:type="dxa"/>
            <w:vAlign w:val="center"/>
          </w:tcPr>
          <w:p w14:paraId="65375D4A">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规划及规划环境影响评价符合性分析</w:t>
            </w:r>
          </w:p>
        </w:tc>
        <w:tc>
          <w:tcPr>
            <w:tcW w:w="8148" w:type="dxa"/>
            <w:gridSpan w:val="4"/>
            <w:vAlign w:val="center"/>
          </w:tcPr>
          <w:p w14:paraId="1802DA18">
            <w:pPr>
              <w:pStyle w:val="37"/>
              <w:rPr>
                <w:rFonts w:hint="eastAsia"/>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1.1</w:t>
            </w:r>
            <w:r>
              <w:rPr>
                <w:rFonts w:hint="eastAsia"/>
                <w:color w:val="000000" w:themeColor="text1"/>
                <w:sz w:val="24"/>
                <w:szCs w:val="21"/>
                <w:highlight w:val="none"/>
                <w14:textFill>
                  <w14:solidFill>
                    <w14:schemeClr w14:val="tx1"/>
                  </w14:solidFill>
                </w14:textFill>
              </w:rPr>
              <w:t>与规划符合性分析</w:t>
            </w:r>
          </w:p>
          <w:p w14:paraId="38D69DCD">
            <w:pPr>
              <w:pStyle w:val="97"/>
              <w:ind w:firstLine="0" w:firstLineChars="0"/>
              <w:rPr>
                <w:rFonts w:ascii="Times New Roman" w:hAnsi="Times New Roman"/>
                <w:b/>
                <w:color w:val="000000" w:themeColor="text1"/>
                <w:szCs w:val="24"/>
                <w:highlight w:val="none"/>
                <w14:textFill>
                  <w14:solidFill>
                    <w14:schemeClr w14:val="tx1"/>
                  </w14:solidFill>
                </w14:textFill>
              </w:rPr>
            </w:pPr>
            <w:r>
              <w:rPr>
                <w:rFonts w:ascii="Times New Roman" w:hAnsi="Times New Roman"/>
                <w:b/>
                <w:color w:val="000000" w:themeColor="text1"/>
                <w:szCs w:val="24"/>
                <w:highlight w:val="none"/>
                <w14:textFill>
                  <w14:solidFill>
                    <w14:schemeClr w14:val="tx1"/>
                  </w14:solidFill>
                </w14:textFill>
              </w:rPr>
              <w:t>1.1.</w:t>
            </w:r>
            <w:r>
              <w:rPr>
                <w:rFonts w:hint="eastAsia" w:ascii="Times New Roman" w:hAnsi="Times New Roman"/>
                <w:b/>
                <w:color w:val="000000" w:themeColor="text1"/>
                <w:szCs w:val="24"/>
                <w:highlight w:val="none"/>
                <w14:textFill>
                  <w14:solidFill>
                    <w14:schemeClr w14:val="tx1"/>
                  </w14:solidFill>
                </w14:textFill>
              </w:rPr>
              <w:t>1</w:t>
            </w:r>
            <w:r>
              <w:rPr>
                <w:rFonts w:ascii="Times New Roman" w:hAnsi="Times New Roman"/>
                <w:b/>
                <w:color w:val="000000" w:themeColor="text1"/>
                <w:szCs w:val="24"/>
                <w:highlight w:val="none"/>
                <w14:textFill>
                  <w14:solidFill>
                    <w14:schemeClr w14:val="tx1"/>
                  </w14:solidFill>
                </w14:textFill>
              </w:rPr>
              <w:t>与《福州市国土空间总体规划（2021-2035年）</w:t>
            </w:r>
            <w:r>
              <w:rPr>
                <w:rFonts w:hint="eastAsia" w:ascii="Times New Roman" w:hAnsi="Times New Roman"/>
                <w:b/>
                <w:color w:val="000000" w:themeColor="text1"/>
                <w:szCs w:val="24"/>
                <w:highlight w:val="none"/>
                <w:lang w:eastAsia="zh-CN"/>
                <w14:textFill>
                  <w14:solidFill>
                    <w14:schemeClr w14:val="tx1"/>
                  </w14:solidFill>
                </w14:textFill>
              </w:rPr>
              <w:t>》和《闽侯县国土空间总体规划（2021-2035年）》</w:t>
            </w:r>
            <w:r>
              <w:rPr>
                <w:rFonts w:hint="eastAsia" w:ascii="Times New Roman" w:hAnsi="Times New Roman"/>
                <w:b/>
                <w:color w:val="000000" w:themeColor="text1"/>
                <w:szCs w:val="24"/>
                <w:highlight w:val="none"/>
                <w:lang w:val="en-US" w:eastAsia="zh-CN"/>
                <w14:textFill>
                  <w14:solidFill>
                    <w14:schemeClr w14:val="tx1"/>
                  </w14:solidFill>
                </w14:textFill>
              </w:rPr>
              <w:t>的</w:t>
            </w:r>
            <w:r>
              <w:rPr>
                <w:rFonts w:ascii="Times New Roman" w:hAnsi="Times New Roman"/>
                <w:b/>
                <w:color w:val="000000" w:themeColor="text1"/>
                <w:szCs w:val="24"/>
                <w:highlight w:val="none"/>
                <w14:textFill>
                  <w14:solidFill>
                    <w14:schemeClr w14:val="tx1"/>
                  </w14:solidFill>
                </w14:textFill>
              </w:rPr>
              <w:t>符合性分析</w:t>
            </w:r>
          </w:p>
          <w:p w14:paraId="581DF449">
            <w:pPr>
              <w:pStyle w:val="97"/>
              <w:ind w:firstLine="480"/>
              <w:rPr>
                <w:rFonts w:hint="eastAsia" w:ascii="Times New Roman" w:hAnsi="Times New Roman" w:eastAsia="宋体"/>
                <w:color w:val="000000" w:themeColor="text1"/>
                <w:szCs w:val="24"/>
                <w:highlight w:val="none"/>
                <w:lang w:eastAsia="zh-CN"/>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《福州市国土空间总体规划</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2021-2035年</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w:t>
            </w:r>
            <w:r>
              <w:rPr>
                <w:rFonts w:hint="eastAsia" w:ascii="Times New Roman" w:hAnsi="Times New Roman"/>
                <w:color w:val="000000" w:themeColor="text1"/>
                <w:szCs w:val="24"/>
                <w:highlight w:val="none"/>
                <w:lang w:val="en-US" w:eastAsia="zh-CN"/>
                <w14:textFill>
                  <w14:solidFill>
                    <w14:schemeClr w14:val="tx1"/>
                  </w14:solidFill>
                </w14:textFill>
              </w:rPr>
              <w:t>相关</w:t>
            </w:r>
            <w:r>
              <w:rPr>
                <w:rFonts w:ascii="Times New Roman" w:hAnsi="Times New Roman"/>
                <w:color w:val="000000" w:themeColor="text1"/>
                <w:szCs w:val="24"/>
                <w:highlight w:val="none"/>
                <w14:textFill>
                  <w14:solidFill>
                    <w14:schemeClr w14:val="tx1"/>
                  </w14:solidFill>
                </w14:textFill>
              </w:rPr>
              <w:t>内容</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推进福州主城与滨海新城一体化发展，引导中心城区空间格局从单中心向多中心、组团式、网络化转变，打造</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一环两带两轴、双核两心七组团</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的空间结构。</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一环</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为环城山体公园带，</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两带</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为闽江城市活力景观带、乌龙江生态景观带，</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两轴</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为传统城市发展轴、新兴东进发展轴</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双核</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为福州主城核心区、滨海新城核心区，</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两心</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为三江口副中心、</w:t>
            </w:r>
            <w:r>
              <w:rPr>
                <w:rFonts w:ascii="Times New Roman" w:hAnsi="Times New Roman"/>
                <w:color w:val="000000" w:themeColor="text1"/>
                <w:szCs w:val="24"/>
                <w:highlight w:val="none"/>
                <w:u w:val="single"/>
                <w14:textFill>
                  <w14:solidFill>
                    <w14:schemeClr w14:val="tx1"/>
                  </w14:solidFill>
                </w14:textFill>
              </w:rPr>
              <w:t>科学城副中心</w:t>
            </w:r>
            <w:r>
              <w:rPr>
                <w:rFonts w:ascii="Times New Roman" w:hAnsi="Times New Roman"/>
                <w:color w:val="000000" w:themeColor="text1"/>
                <w:szCs w:val="24"/>
                <w:highlight w:val="none"/>
                <w14:textFill>
                  <w14:solidFill>
                    <w14:schemeClr w14:val="tx1"/>
                  </w14:solidFill>
                </w14:textFill>
              </w:rPr>
              <w:t>，</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七组团</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为福州主城外围的荆溪组团、旗山山前组团、</w:t>
            </w:r>
            <w:r>
              <w:rPr>
                <w:rFonts w:ascii="Times New Roman" w:hAnsi="Times New Roman"/>
                <w:color w:val="000000" w:themeColor="text1"/>
                <w:szCs w:val="24"/>
                <w:highlight w:val="none"/>
                <w:u w:val="none"/>
                <w14:textFill>
                  <w14:solidFill>
                    <w14:schemeClr w14:val="tx1"/>
                  </w14:solidFill>
                </w14:textFill>
              </w:rPr>
              <w:t>青口组团</w:t>
            </w:r>
            <w:r>
              <w:rPr>
                <w:rFonts w:ascii="Times New Roman" w:hAnsi="Times New Roman"/>
                <w:color w:val="000000" w:themeColor="text1"/>
                <w:szCs w:val="24"/>
                <w:highlight w:val="none"/>
                <w14:textFill>
                  <w14:solidFill>
                    <w14:schemeClr w14:val="tx1"/>
                  </w14:solidFill>
                </w14:textFill>
              </w:rPr>
              <w:t>、吴航组团、闽江口组团、航空城组团和松下港城组团</w:t>
            </w:r>
            <w:r>
              <w:rPr>
                <w:rFonts w:hint="eastAsia" w:ascii="Times New Roman" w:hAnsi="Times New Roman"/>
                <w:color w:val="000000" w:themeColor="text1"/>
                <w:szCs w:val="24"/>
                <w:highlight w:val="none"/>
                <w14:textFill>
                  <w14:solidFill>
                    <w14:schemeClr w14:val="tx1"/>
                  </w14:solidFill>
                </w14:textFill>
              </w:rPr>
              <w:t>。科学城副中心，依托福州大学城、高新区海西园、旗山湖三创园和各类创新平台，激发高校和科研院所创新活力，推动建设中国东南(福建)科学城，打造创新发展的强劲引擎。</w:t>
            </w:r>
          </w:p>
          <w:p w14:paraId="61BFE662">
            <w:pPr>
              <w:pStyle w:val="97"/>
              <w:ind w:firstLine="480"/>
              <w:rPr>
                <w:rFonts w:hint="default" w:ascii="Times New Roman" w:hAnsi="Times New Roman"/>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《闽侯县国土空间总体规划（2021-2035年）》</w:t>
            </w:r>
            <w:r>
              <w:rPr>
                <w:rFonts w:hint="eastAsia" w:ascii="Times New Roman" w:hAnsi="Times New Roman"/>
                <w:color w:val="000000" w:themeColor="text1"/>
                <w:szCs w:val="24"/>
                <w:highlight w:val="none"/>
                <w:lang w:val="en-US" w:eastAsia="zh-CN"/>
                <w14:textFill>
                  <w14:solidFill>
                    <w14:schemeClr w14:val="tx1"/>
                  </w14:solidFill>
                </w14:textFill>
              </w:rPr>
              <w:t>相关</w:t>
            </w:r>
            <w:r>
              <w:rPr>
                <w:rFonts w:ascii="Times New Roman" w:hAnsi="Times New Roman"/>
                <w:color w:val="000000" w:themeColor="text1"/>
                <w:szCs w:val="24"/>
                <w:highlight w:val="none"/>
                <w14:textFill>
                  <w14:solidFill>
                    <w14:schemeClr w14:val="tx1"/>
                  </w14:solidFill>
                </w14:textFill>
              </w:rPr>
              <w:t>内容</w:t>
            </w:r>
            <w:r>
              <w:rPr>
                <w:rFonts w:hint="eastAsia" w:ascii="Times New Roman" w:hAnsi="Times New Roman"/>
                <w:color w:val="000000" w:themeColor="text1"/>
                <w:szCs w:val="24"/>
                <w:highlight w:val="none"/>
                <w14:textFill>
                  <w14:solidFill>
                    <w14:schemeClr w14:val="tx1"/>
                  </w14:solidFill>
                </w14:textFill>
              </w:rPr>
              <w:t>：顺应福州“东进南下、沿江向海”城市发展方向，拉开城市发展框架，引导城市“多中心、组团式、网络化”发展，构建“一轴、两心、四区、多点”的中心城区空间结构</w:t>
            </w:r>
            <w:r>
              <w:rPr>
                <w:rFonts w:hint="eastAsia" w:ascii="Times New Roman" w:hAnsi="Times New Roman"/>
                <w:color w:val="000000" w:themeColor="text1"/>
                <w:szCs w:val="24"/>
                <w:highlight w:val="none"/>
                <w:lang w:eastAsia="zh-CN"/>
                <w14:textFill>
                  <w14:solidFill>
                    <w14:schemeClr w14:val="tx1"/>
                  </w14:solidFill>
                </w14:textFill>
              </w:rPr>
              <w:t>。</w:t>
            </w:r>
            <w:r>
              <w:rPr>
                <w:rFonts w:hint="eastAsia" w:ascii="Times New Roman" w:hAnsi="Times New Roman"/>
                <w:color w:val="000000" w:themeColor="text1"/>
                <w:szCs w:val="24"/>
                <w:highlight w:val="none"/>
                <w:lang w:val="en-US" w:eastAsia="zh-CN"/>
                <w14:textFill>
                  <w14:solidFill>
                    <w14:schemeClr w14:val="tx1"/>
                  </w14:solidFill>
                </w14:textFill>
              </w:rPr>
              <w:t>四区包括雪峰山城、荆甘竹新城、</w:t>
            </w:r>
            <w:r>
              <w:rPr>
                <w:rFonts w:hint="eastAsia" w:ascii="Times New Roman" w:hAnsi="Times New Roman"/>
                <w:color w:val="000000" w:themeColor="text1"/>
                <w:szCs w:val="24"/>
                <w:highlight w:val="none"/>
                <w:u w:val="single"/>
                <w:lang w:val="en-US" w:eastAsia="zh-CN"/>
                <w14:textFill>
                  <w14:solidFill>
                    <w14:schemeClr w14:val="tx1"/>
                  </w14:solidFill>
                </w14:textFill>
              </w:rPr>
              <w:t>东南科学城</w:t>
            </w:r>
            <w:r>
              <w:rPr>
                <w:rFonts w:hint="eastAsia" w:ascii="Times New Roman" w:hAnsi="Times New Roman"/>
                <w:color w:val="000000" w:themeColor="text1"/>
                <w:szCs w:val="24"/>
                <w:highlight w:val="none"/>
                <w:lang w:val="en-US" w:eastAsia="zh-CN"/>
                <w14:textFill>
                  <w14:solidFill>
                    <w14:schemeClr w14:val="tx1"/>
                  </w14:solidFill>
                </w14:textFill>
              </w:rPr>
              <w:t>、南通新城、东南汽车城。东南科学城重点发展生物医药、光电制造等战略性新兴产业，打造全省科技创新策源地。</w:t>
            </w:r>
          </w:p>
          <w:p w14:paraId="6DD0F78F">
            <w:pPr>
              <w:pStyle w:val="97"/>
              <w:ind w:firstLine="480"/>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本项目位于</w:t>
            </w:r>
            <w:r>
              <w:rPr>
                <w:rFonts w:hint="eastAsia" w:ascii="Times New Roman" w:hAnsi="Times New Roman" w:cs="Times New Roman"/>
                <w:color w:val="000000" w:themeColor="text1"/>
                <w:szCs w:val="24"/>
                <w:highlight w:val="none"/>
                <w:lang w:val="en-US" w:eastAsia="zh-CN"/>
                <w14:textFill>
                  <w14:solidFill>
                    <w14:schemeClr w14:val="tx1"/>
                  </w14:solidFill>
                </w14:textFill>
              </w:rPr>
              <w:t>国土</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空间规划中的东南科学城</w:t>
            </w:r>
            <w:r>
              <w:rPr>
                <w:rFonts w:hint="eastAsia" w:ascii="Times New Roman" w:hAnsi="Times New Roman" w:cs="Times New Roman"/>
                <w:color w:val="000000" w:themeColor="text1"/>
                <w:szCs w:val="24"/>
                <w:highlight w:val="none"/>
                <w:lang w:val="en-US" w:eastAsia="zh-CN"/>
                <w14:textFill>
                  <w14:solidFill>
                    <w14:schemeClr w14:val="tx1"/>
                  </w14:solidFill>
                </w14:textFill>
              </w:rPr>
              <w:t>-生物机电园-机电产业园</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项目主要从事光学元器件生产</w:t>
            </w:r>
            <w:r>
              <w:rPr>
                <w:rFonts w:hint="eastAsia" w:ascii="Times New Roman" w:hAnsi="Times New Roman" w:cs="Times New Roman"/>
                <w:color w:val="000000" w:themeColor="text1"/>
                <w:szCs w:val="24"/>
                <w:highlight w:val="none"/>
                <w:lang w:val="en-US" w:eastAsia="zh-CN"/>
                <w14:textFill>
                  <w14:solidFill>
                    <w14:schemeClr w14:val="tx1"/>
                  </w14:solidFill>
                </w14:textFill>
              </w:rPr>
              <w:t>，与园区规划的产业类别相符</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经</w:t>
            </w:r>
            <w:r>
              <w:rPr>
                <w:rFonts w:hint="default" w:ascii="Times New Roman" w:hAnsi="Times New Roman" w:cs="Times New Roman"/>
                <w:color w:val="000000" w:themeColor="text1"/>
                <w:sz w:val="24"/>
                <w:szCs w:val="21"/>
                <w:highlight w:val="none"/>
                <w14:textFill>
                  <w14:solidFill>
                    <w14:schemeClr w14:val="tx1"/>
                  </w14:solidFill>
                </w14:textFill>
              </w:rPr>
              <w:t>对照国土空间规划中的“三区三线”</w:t>
            </w:r>
            <w:r>
              <w:rPr>
                <w:rFonts w:hint="eastAsia" w:ascii="Times New Roman" w:hAnsi="Times New Roman" w:cs="Times New Roman"/>
                <w:color w:val="000000" w:themeColor="text1"/>
                <w:sz w:val="24"/>
                <w:szCs w:val="21"/>
                <w:highlight w:val="none"/>
                <w:lang w:eastAsia="zh-CN"/>
                <w14:textFill>
                  <w14:solidFill>
                    <w14:schemeClr w14:val="tx1"/>
                  </w14:solidFill>
                </w14:textFill>
              </w:rPr>
              <w:t>（</w:t>
            </w:r>
            <w:r>
              <w:rPr>
                <w:rFonts w:hint="eastAsia" w:ascii="Times New Roman" w:hAnsi="Times New Roman" w:cs="Times New Roman"/>
                <w:color w:val="000000" w:themeColor="text1"/>
                <w:sz w:val="24"/>
                <w:szCs w:val="21"/>
                <w:highlight w:val="none"/>
                <w:lang w:val="en-US" w:eastAsia="zh-CN"/>
                <w14:textFill>
                  <w14:solidFill>
                    <w14:schemeClr w14:val="tx1"/>
                  </w14:solidFill>
                </w14:textFill>
              </w:rPr>
              <w:t>位置关系详见附图3</w:t>
            </w:r>
            <w:r>
              <w:rPr>
                <w:rFonts w:hint="eastAsia" w:ascii="Times New Roman" w:hAnsi="Times New Roman" w:cs="Times New Roman"/>
                <w:color w:val="000000" w:themeColor="text1"/>
                <w:sz w:val="24"/>
                <w:szCs w:val="21"/>
                <w:highlight w:val="none"/>
                <w:lang w:eastAsia="zh-CN"/>
                <w14:textFill>
                  <w14:solidFill>
                    <w14:schemeClr w14:val="tx1"/>
                  </w14:solidFill>
                </w14:textFill>
              </w:rPr>
              <w:t>）</w:t>
            </w:r>
            <w:r>
              <w:rPr>
                <w:rFonts w:hint="default" w:ascii="Times New Roman" w:hAnsi="Times New Roman" w:cs="Times New Roman"/>
                <w:color w:val="000000" w:themeColor="text1"/>
                <w:sz w:val="24"/>
                <w:szCs w:val="21"/>
                <w:highlight w:val="none"/>
                <w14:textFill>
                  <w14:solidFill>
                    <w14:schemeClr w14:val="tx1"/>
                  </w14:solidFill>
                </w14:textFill>
              </w:rPr>
              <w:t>，本项目用地不占用永久基本农田、生态保护红线</w:t>
            </w:r>
            <w:r>
              <w:rPr>
                <w:rFonts w:hint="default" w:ascii="Times New Roman" w:hAnsi="Times New Roman" w:cs="Times New Roman"/>
                <w:color w:val="000000" w:themeColor="text1"/>
                <w:sz w:val="24"/>
                <w:szCs w:val="21"/>
                <w:highlight w:val="none"/>
                <w:lang w:eastAsia="zh-CN"/>
                <w14:textFill>
                  <w14:solidFill>
                    <w14:schemeClr w14:val="tx1"/>
                  </w14:solidFill>
                </w14:textFill>
              </w:rPr>
              <w:t>，</w:t>
            </w: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位于</w:t>
            </w:r>
            <w:r>
              <w:rPr>
                <w:rFonts w:hint="default" w:ascii="Times New Roman" w:hAnsi="Times New Roman" w:cs="Times New Roman"/>
                <w:color w:val="000000" w:themeColor="text1"/>
                <w:sz w:val="24"/>
                <w:szCs w:val="21"/>
                <w:highlight w:val="none"/>
                <w14:textFill>
                  <w14:solidFill>
                    <w14:schemeClr w14:val="tx1"/>
                  </w14:solidFill>
                </w14:textFill>
              </w:rPr>
              <w:t>城镇开发边界</w:t>
            </w: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范围内</w:t>
            </w:r>
            <w:r>
              <w:rPr>
                <w:rFonts w:hint="default" w:ascii="Times New Roman" w:hAnsi="Times New Roman" w:cs="Times New Roman"/>
                <w:color w:val="000000" w:themeColor="text1"/>
                <w:sz w:val="24"/>
                <w:szCs w:val="21"/>
                <w:highlight w:val="none"/>
                <w:lang w:eastAsia="zh-CN"/>
                <w14:textFill>
                  <w14:solidFill>
                    <w14:schemeClr w14:val="tx1"/>
                  </w14:solidFill>
                </w14:textFill>
              </w:rPr>
              <w:t>。</w:t>
            </w:r>
            <w:r>
              <w:rPr>
                <w:rFonts w:hint="default" w:ascii="Times New Roman" w:hAnsi="Times New Roman" w:cs="Times New Roman"/>
                <w:color w:val="000000" w:themeColor="text1"/>
                <w:sz w:val="24"/>
                <w:szCs w:val="21"/>
                <w:highlight w:val="none"/>
                <w14:textFill>
                  <w14:solidFill>
                    <w14:schemeClr w14:val="tx1"/>
                  </w14:solidFill>
                </w14:textFill>
              </w:rPr>
              <w:t>综上，本项目建设</w:t>
            </w:r>
            <w:r>
              <w:rPr>
                <w:rFonts w:hint="eastAsia" w:ascii="Times New Roman" w:hAnsi="Times New Roman" w:cs="Times New Roman"/>
                <w:color w:val="000000" w:themeColor="text1"/>
                <w:sz w:val="24"/>
                <w:szCs w:val="21"/>
                <w:highlight w:val="none"/>
                <w:lang w:val="en-US" w:eastAsia="zh-CN"/>
                <w14:textFill>
                  <w14:solidFill>
                    <w14:schemeClr w14:val="tx1"/>
                  </w14:solidFill>
                </w14:textFill>
              </w:rPr>
              <w:t>符合</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《福州市国土空间总体规划（2021-2035年）</w:t>
            </w:r>
            <w:r>
              <w:rPr>
                <w:rFonts w:hint="eastAsia" w:ascii="Times New Roman" w:hAnsi="Times New Roman" w:cs="Times New Roman"/>
                <w:color w:val="000000" w:themeColor="text1"/>
                <w:szCs w:val="24"/>
                <w:highlight w:val="none"/>
                <w:lang w:val="en-US" w:eastAsia="zh-CN"/>
                <w14:textFill>
                  <w14:solidFill>
                    <w14:schemeClr w14:val="tx1"/>
                  </w14:solidFill>
                </w14:textFill>
              </w:rPr>
              <w:t>》和</w:t>
            </w:r>
            <w:r>
              <w:rPr>
                <w:rFonts w:hint="default" w:ascii="Times New Roman" w:hAnsi="Times New Roman" w:cs="Times New Roman"/>
                <w:color w:val="000000" w:themeColor="text1"/>
                <w:sz w:val="24"/>
                <w:szCs w:val="21"/>
                <w:highlight w:val="none"/>
                <w14:textFill>
                  <w14:solidFill>
                    <w14:schemeClr w14:val="tx1"/>
                  </w14:solidFill>
                </w14:textFill>
              </w:rPr>
              <w:t>《</w:t>
            </w:r>
            <w:r>
              <w:rPr>
                <w:rFonts w:hint="default" w:ascii="Times New Roman" w:hAnsi="Times New Roman" w:cs="Times New Roman"/>
                <w:color w:val="000000" w:themeColor="text1"/>
                <w:sz w:val="24"/>
                <w:szCs w:val="21"/>
                <w:highlight w:val="none"/>
                <w:lang w:eastAsia="zh-CN"/>
                <w14:textFill>
                  <w14:solidFill>
                    <w14:schemeClr w14:val="tx1"/>
                  </w14:solidFill>
                </w14:textFill>
              </w:rPr>
              <w:t>闽侯县</w:t>
            </w:r>
            <w:r>
              <w:rPr>
                <w:rFonts w:hint="default" w:ascii="Times New Roman" w:hAnsi="Times New Roman" w:cs="Times New Roman"/>
                <w:color w:val="000000" w:themeColor="text1"/>
                <w:sz w:val="24"/>
                <w:szCs w:val="21"/>
                <w:highlight w:val="none"/>
                <w14:textFill>
                  <w14:solidFill>
                    <w14:schemeClr w14:val="tx1"/>
                  </w14:solidFill>
                </w14:textFill>
              </w:rPr>
              <w:t>国土空间总体规划（2021-2035年）》</w:t>
            </w:r>
            <w:r>
              <w:rPr>
                <w:rFonts w:hint="eastAsia" w:ascii="Times New Roman" w:hAnsi="Times New Roman" w:cs="Times New Roman"/>
                <w:color w:val="000000" w:themeColor="text1"/>
                <w:sz w:val="24"/>
                <w:szCs w:val="21"/>
                <w:highlight w:val="none"/>
                <w:lang w:val="en-US" w:eastAsia="zh-CN"/>
                <w14:textFill>
                  <w14:solidFill>
                    <w14:schemeClr w14:val="tx1"/>
                  </w14:solidFill>
                </w14:textFill>
              </w:rPr>
              <w:t>的要求</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p>
          <w:p w14:paraId="2C6EA862">
            <w:pPr>
              <w:autoSpaceDE w:val="0"/>
              <w:autoSpaceDN w:val="0"/>
              <w:adjustRightInd w:val="0"/>
              <w:spacing w:line="360" w:lineRule="auto"/>
              <w:jc w:val="left"/>
              <w:rPr>
                <w:rFonts w:hint="default" w:ascii="Times New Roman" w:hAnsi="Times New Roman" w:eastAsia="宋体" w:cs="Times New Roman"/>
                <w:b/>
                <w:bCs/>
                <w:color w:val="000000" w:themeColor="text1"/>
                <w:kern w:val="0"/>
                <w:sz w:val="24"/>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1"/>
                <w:highlight w:val="none"/>
                <w14:textFill>
                  <w14:solidFill>
                    <w14:schemeClr w14:val="tx1"/>
                  </w14:solidFill>
                </w14:textFill>
              </w:rPr>
              <w:t>1.1.</w:t>
            </w:r>
            <w:r>
              <w:rPr>
                <w:rFonts w:hint="eastAsia" w:cs="Times New Roman"/>
                <w:b/>
                <w:bCs/>
                <w:color w:val="000000" w:themeColor="text1"/>
                <w:kern w:val="0"/>
                <w:sz w:val="24"/>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0"/>
                <w:sz w:val="24"/>
                <w:szCs w:val="21"/>
                <w:highlight w:val="none"/>
                <w14:textFill>
                  <w14:solidFill>
                    <w14:schemeClr w14:val="tx1"/>
                  </w14:solidFill>
                </w14:textFill>
              </w:rPr>
              <w:t xml:space="preserve"> 与福州市生物医药和机电产业园规划</w:t>
            </w:r>
            <w:r>
              <w:rPr>
                <w:rFonts w:hint="eastAsia" w:cs="Times New Roman"/>
                <w:b/>
                <w:bCs/>
                <w:color w:val="000000" w:themeColor="text1"/>
                <w:kern w:val="0"/>
                <w:sz w:val="24"/>
                <w:szCs w:val="21"/>
                <w:highlight w:val="none"/>
                <w:lang w:val="en-US" w:eastAsia="zh-CN"/>
                <w14:textFill>
                  <w14:solidFill>
                    <w14:schemeClr w14:val="tx1"/>
                  </w14:solidFill>
                </w14:textFill>
              </w:rPr>
              <w:t>的符合性分析</w:t>
            </w:r>
          </w:p>
          <w:p w14:paraId="7B56D9D6">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lang w:val="en-US" w:eastAsia="zh-CN"/>
                <w14:textFill>
                  <w14:solidFill>
                    <w14:schemeClr w14:val="tx1"/>
                  </w14:solidFill>
                </w14:textFill>
              </w:rPr>
            </w:pP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一</w:t>
            </w: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规划概况</w:t>
            </w:r>
          </w:p>
          <w:p w14:paraId="6776C585">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1</w:t>
            </w:r>
            <w:r>
              <w:rPr>
                <w:rFonts w:hint="eastAsia" w:cs="Times New Roman"/>
                <w:color w:val="000000" w:themeColor="text1"/>
                <w:kern w:val="0"/>
                <w:sz w:val="24"/>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产业发展定位：打造以生物医药、光电、机械为特色的创新创业示范区和福建省高新技术制造基地；打造生态环境优美、软环境突出、对台湾和欧美高端企业有极强吸引力的闽台高新技术产业合作高地。</w:t>
            </w:r>
          </w:p>
          <w:p w14:paraId="39B6F79F">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2</w:t>
            </w:r>
            <w:r>
              <w:rPr>
                <w:rFonts w:hint="eastAsia" w:cs="Times New Roman"/>
                <w:color w:val="000000" w:themeColor="text1"/>
                <w:kern w:val="0"/>
                <w:sz w:val="24"/>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园区主导产业：医药产业、机电制造业、生产性服务业。医药产业：海西药谷；药物创新研发基地、先进药品制剂制造基地、医药及生物科技服务中心、生物医药对外合作基地；机电产业：智能电网成套设备制造基地、光电通讯设备制造基地、智能化仪器仪表制造基地；现代服务业：产业技术服务平台、产品研发平台、医药物流服务平台、服务外包平台。</w:t>
            </w:r>
          </w:p>
          <w:p w14:paraId="720B5EC3">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3</w:t>
            </w:r>
            <w:r>
              <w:rPr>
                <w:rFonts w:hint="eastAsia" w:cs="Times New Roman"/>
                <w:color w:val="000000" w:themeColor="text1"/>
                <w:kern w:val="0"/>
                <w:sz w:val="24"/>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功能定位：以生物医药、光电、机械为特色的创新创业示范区、闽台高新技术产业合作高地、福建省高新技术制造业基地。</w:t>
            </w:r>
          </w:p>
          <w:p w14:paraId="15E56D2C">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4</w:t>
            </w:r>
            <w:r>
              <w:rPr>
                <w:rFonts w:hint="eastAsia" w:cs="Times New Roman"/>
                <w:color w:val="000000" w:themeColor="text1"/>
                <w:kern w:val="0"/>
                <w:sz w:val="24"/>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空间结构：“一轴、三心、两园、两区”。“一轴”即一条城市景观轴；“三心”即产业研发中心、城市服务核心、休闲旅游中心；“两园”即生物医药园、机电园；“两区”即两个生活集中区。</w:t>
            </w:r>
          </w:p>
          <w:p w14:paraId="761FAB2F">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）给水工程规划</w:t>
            </w:r>
          </w:p>
          <w:p w14:paraId="37A6A452">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园区用水</w:t>
            </w:r>
            <w:r>
              <w:rPr>
                <w:rFonts w:hint="eastAsia" w:cs="Times New Roman"/>
                <w:color w:val="000000" w:themeColor="text1"/>
                <w:kern w:val="0"/>
                <w:sz w:val="24"/>
                <w:szCs w:val="21"/>
                <w:highlight w:val="none"/>
                <w:lang w:eastAsia="zh-CN"/>
                <w14:textFill>
                  <w14:solidFill>
                    <w14:schemeClr w14:val="tx1"/>
                  </w14:solidFill>
                </w14:textFill>
              </w:rPr>
              <w:t>取自</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上街侯官取水口（清源水厂）。青源水厂现状供水能力为5.0万</w:t>
            </w:r>
            <w:r>
              <w:rPr>
                <w:rFonts w:hint="eastAsia" w:cs="Times New Roman"/>
                <w:color w:val="000000" w:themeColor="text1"/>
                <w:kern w:val="0"/>
                <w:sz w:val="24"/>
                <w:szCs w:val="21"/>
                <w:highlight w:val="none"/>
                <w:lang w:val="en-US" w:eastAsia="zh-CN"/>
                <w14:textFill>
                  <w14:solidFill>
                    <w14:schemeClr w14:val="tx1"/>
                  </w14:solidFill>
                </w14:textFill>
              </w:rPr>
              <w:t>m</w:t>
            </w:r>
            <w:r>
              <w:rPr>
                <w:rFonts w:hint="eastAsia" w:cs="Times New Roman"/>
                <w:color w:val="000000" w:themeColor="text1"/>
                <w:kern w:val="0"/>
                <w:sz w:val="24"/>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/d，水源取自闽江，供水管网长度约25km；规划扩建青源水厂至14.0万m</w:t>
            </w:r>
            <w:r>
              <w:rPr>
                <w:rFonts w:hint="default" w:ascii="Times New Roman" w:hAnsi="Times New Roman" w:eastAsia="宋体" w:cs="Times New Roman"/>
                <w:color w:val="000000" w:themeColor="text1"/>
                <w:kern w:val="0"/>
                <w:sz w:val="24"/>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/d，预留用地12.7hm</w:t>
            </w:r>
            <w:r>
              <w:rPr>
                <w:rFonts w:hint="default" w:ascii="Times New Roman" w:hAnsi="Times New Roman" w:eastAsia="宋体" w:cs="Times New Roman"/>
                <w:color w:val="000000" w:themeColor="text1"/>
                <w:kern w:val="0"/>
                <w:sz w:val="24"/>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，水源取自闽江。</w:t>
            </w:r>
          </w:p>
          <w:p w14:paraId="72B01DC1">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）排水工程规划</w:t>
            </w:r>
          </w:p>
          <w:p w14:paraId="4AF6BA6D">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①污水性质及污水量：规划区内的用地性质主要是生物医药和机电产业用地，污水性质兼具生活污水与工业污水的特征。规划预测规划区最高日总污水量为5.4万m</w:t>
            </w:r>
            <w:r>
              <w:rPr>
                <w:rFonts w:hint="default" w:ascii="Times New Roman" w:hAnsi="Times New Roman" w:eastAsia="宋体" w:cs="Times New Roman"/>
                <w:color w:val="000000" w:themeColor="text1"/>
                <w:kern w:val="0"/>
                <w:sz w:val="24"/>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/d，日变化系数取1.4，则平均日污水量为3.9万m</w:t>
            </w:r>
            <w:r>
              <w:rPr>
                <w:rFonts w:hint="default" w:ascii="Times New Roman" w:hAnsi="Times New Roman" w:eastAsia="宋体" w:cs="Times New Roman"/>
                <w:color w:val="000000" w:themeColor="text1"/>
                <w:kern w:val="0"/>
                <w:sz w:val="24"/>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/d。</w:t>
            </w:r>
          </w:p>
          <w:p w14:paraId="03FCE27F">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②污水处理厂：规划区污水主要由规划区北面的大学城污水处理厂处理。大学城污水处理厂现状规模5.0万m</w:t>
            </w:r>
            <w:r>
              <w:rPr>
                <w:rFonts w:hint="default" w:ascii="Times New Roman" w:hAnsi="Times New Roman" w:eastAsia="宋体" w:cs="Times New Roman"/>
                <w:color w:val="000000" w:themeColor="text1"/>
                <w:kern w:val="0"/>
                <w:sz w:val="24"/>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/d，现状污水处理量达3.0</w:t>
            </w:r>
            <w:r>
              <w:rPr>
                <w:rFonts w:hint="eastAsia" w:cs="Times New Roman"/>
                <w:color w:val="000000" w:themeColor="text1"/>
                <w:kern w:val="0"/>
                <w:sz w:val="24"/>
                <w:szCs w:val="21"/>
                <w:highlight w:val="none"/>
                <w:lang w:val="en-US" w:eastAsia="zh-CN"/>
                <w14:textFill>
                  <w14:solidFill>
                    <w14:schemeClr w14:val="tx1"/>
                  </w14:solidFill>
                </w14:textFill>
              </w:rPr>
              <w:t>万</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m</w:t>
            </w:r>
            <w:r>
              <w:rPr>
                <w:rFonts w:hint="default" w:ascii="Times New Roman" w:hAnsi="Times New Roman" w:eastAsia="宋体" w:cs="Times New Roman"/>
                <w:color w:val="000000" w:themeColor="text1"/>
                <w:kern w:val="0"/>
                <w:sz w:val="24"/>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/d，规划扩建大学城污水处理厂至17万m</w:t>
            </w:r>
            <w:r>
              <w:rPr>
                <w:rFonts w:hint="default" w:ascii="Times New Roman" w:hAnsi="Times New Roman" w:eastAsia="宋体" w:cs="Times New Roman"/>
                <w:color w:val="000000" w:themeColor="text1"/>
                <w:kern w:val="0"/>
                <w:sz w:val="24"/>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/d，主要服务范围为上街片区、大学城新区、南屿片区，还包括科技园区和生物医药机电产业园区等，尾水达到《城镇污水处理厂污染物排放标准》（GB18918-2002）中的一级A标准后排入高岐河后汇入闽江南港。</w:t>
            </w:r>
          </w:p>
          <w:p w14:paraId="3337E97A">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③污水管网布置：规划污水管网采用“主干管-支管”的布局模式。规划沿规划区中部南北向主干道（2号路）布置主干管，</w:t>
            </w:r>
            <w:r>
              <w:rPr>
                <w:rFonts w:hint="eastAsia" w:cs="Times New Roman"/>
                <w:color w:val="000000" w:themeColor="text1"/>
                <w:kern w:val="0"/>
                <w:sz w:val="24"/>
                <w:szCs w:val="21"/>
                <w:highlight w:val="none"/>
                <w:lang w:eastAsia="zh-CN"/>
                <w14:textFill>
                  <w14:solidFill>
                    <w14:schemeClr w14:val="tx1"/>
                  </w14:solidFill>
                </w14:textFill>
              </w:rPr>
              <w:t>其他管网</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结合规划用地空间布局，分片区呈放射状汇入主干管。</w:t>
            </w:r>
          </w:p>
          <w:p w14:paraId="52E12BF2">
            <w:pPr>
              <w:autoSpaceDE w:val="0"/>
              <w:autoSpaceDN w:val="0"/>
              <w:adjustRightInd w:val="0"/>
              <w:spacing w:line="360" w:lineRule="auto"/>
              <w:ind w:firstLine="480" w:firstLineChars="200"/>
              <w:jc w:val="both"/>
              <w:rPr>
                <w:rFonts w:hint="eastAsia" w:ascii="Times New Roman" w:hAnsi="Times New Roman" w:eastAsia="宋体" w:cs="Times New Roman"/>
                <w:color w:val="000000" w:themeColor="text1"/>
                <w:kern w:val="0"/>
                <w:sz w:val="24"/>
                <w:szCs w:val="21"/>
                <w:highlight w:val="none"/>
                <w:lang w:eastAsia="zh-CN"/>
                <w14:textFill>
                  <w14:solidFill>
                    <w14:schemeClr w14:val="tx1"/>
                  </w14:solidFill>
                </w14:textFill>
              </w:rPr>
            </w:pP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7</w:t>
            </w:r>
            <w:r>
              <w:rPr>
                <w:rFonts w:hint="eastAsia" w:cs="Times New Roman"/>
                <w:color w:val="000000" w:themeColor="text1"/>
                <w:kern w:val="0"/>
                <w:sz w:val="24"/>
                <w:szCs w:val="21"/>
                <w:highlight w:val="none"/>
                <w:lang w:eastAsia="zh-CN"/>
                <w14:textFill>
                  <w14:solidFill>
                    <w14:schemeClr w14:val="tx1"/>
                  </w14:solidFill>
                </w14:textFill>
              </w:rPr>
              <w:t>）环卫设施规划</w:t>
            </w:r>
          </w:p>
          <w:p w14:paraId="184D9A60">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eastAsia" w:cs="Times New Roman"/>
                <w:color w:val="000000" w:themeColor="text1"/>
                <w:kern w:val="0"/>
                <w:sz w:val="24"/>
                <w:szCs w:val="21"/>
                <w:highlight w:val="none"/>
                <w:lang w:val="en-US" w:eastAsia="zh-CN"/>
                <w14:textFill>
                  <w14:solidFill>
                    <w14:schemeClr w14:val="tx1"/>
                  </w14:solidFill>
                </w14:textFill>
              </w:rPr>
              <w:t>园区</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产生的垃圾经园区垃圾中转站运往红庙岭垃圾填埋场进行处理。</w:t>
            </w:r>
          </w:p>
          <w:p w14:paraId="5B47AFBF">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lang w:val="en-US" w:eastAsia="zh-CN"/>
                <w14:textFill>
                  <w14:solidFill>
                    <w14:schemeClr w14:val="tx1"/>
                  </w14:solidFill>
                </w14:textFill>
              </w:rPr>
            </w:pP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二</w:t>
            </w:r>
            <w:r>
              <w:rPr>
                <w:rFonts w:hint="eastAsia" w:cs="Times New Roman"/>
                <w:color w:val="000000" w:themeColor="text1"/>
                <w:kern w:val="0"/>
                <w:sz w:val="24"/>
                <w:szCs w:val="21"/>
                <w:highlight w:val="none"/>
                <w:lang w:eastAsia="zh-CN"/>
                <w14:textFill>
                  <w14:solidFill>
                    <w14:schemeClr w14:val="tx1"/>
                  </w14:solidFill>
                </w14:textFill>
              </w:rPr>
              <w:t>）</w:t>
            </w:r>
            <w:r>
              <w:rPr>
                <w:rFonts w:hint="eastAsia" w:cs="Times New Roman"/>
                <w:color w:val="000000" w:themeColor="text1"/>
                <w:kern w:val="0"/>
                <w:sz w:val="24"/>
                <w:szCs w:val="21"/>
                <w:highlight w:val="none"/>
                <w:lang w:val="en-US" w:eastAsia="zh-CN"/>
                <w14:textFill>
                  <w14:solidFill>
                    <w14:schemeClr w14:val="tx1"/>
                  </w14:solidFill>
                </w14:textFill>
              </w:rPr>
              <w:t>规划符合性分析</w:t>
            </w:r>
          </w:p>
          <w:p w14:paraId="405D92E1">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eastAsia" w:cs="Times New Roman"/>
                <w:color w:val="000000" w:themeColor="text1"/>
                <w:kern w:val="0"/>
                <w:sz w:val="24"/>
                <w:szCs w:val="21"/>
                <w:highlight w:val="none"/>
                <w:lang w:val="en-US" w:eastAsia="zh-CN"/>
                <w14:textFill>
                  <w14:solidFill>
                    <w14:schemeClr w14:val="tx1"/>
                  </w14:solidFill>
                </w14:textFill>
              </w:rPr>
              <w:t>本项目位于</w:t>
            </w:r>
            <w:r>
              <w:rPr>
                <w:rFonts w:hint="eastAsia"/>
                <w:b w:val="0"/>
                <w:bCs/>
                <w:color w:val="000000" w:themeColor="text1"/>
                <w:kern w:val="0"/>
                <w:sz w:val="24"/>
                <w:szCs w:val="24"/>
                <w:highlight w:val="none"/>
                <w14:textFill>
                  <w14:solidFill>
                    <w14:schemeClr w14:val="tx1"/>
                  </w14:solidFill>
                </w14:textFill>
              </w:rPr>
              <w:t>生物医药和机电产业园</w:t>
            </w:r>
            <w:r>
              <w:rPr>
                <w:rFonts w:hint="eastAsia"/>
                <w:b w:val="0"/>
                <w:bCs/>
                <w:color w:val="000000" w:themeColor="text1"/>
                <w:kern w:val="0"/>
                <w:sz w:val="24"/>
                <w:szCs w:val="24"/>
                <w:highlight w:val="none"/>
                <w:lang w:val="en-US" w:eastAsia="zh-CN"/>
                <w14:textFill>
                  <w14:solidFill>
                    <w14:schemeClr w14:val="tx1"/>
                  </w14:solidFill>
                </w14:textFill>
              </w:rPr>
              <w:t>中的</w:t>
            </w:r>
            <w:r>
              <w:rPr>
                <w:rFonts w:hint="eastAsia"/>
                <w:b w:val="0"/>
                <w:bCs/>
                <w:color w:val="000000" w:themeColor="text1"/>
                <w:kern w:val="0"/>
                <w:sz w:val="24"/>
                <w:szCs w:val="24"/>
                <w:highlight w:val="none"/>
                <w14:textFill>
                  <w14:solidFill>
                    <w14:schemeClr w14:val="tx1"/>
                  </w14:solidFill>
                </w14:textFill>
              </w:rPr>
              <w:t>机电产业园</w:t>
            </w:r>
            <w:r>
              <w:rPr>
                <w:rFonts w:hint="eastAsia" w:ascii="Times New Roman" w:hAnsi="Times New Roman" w:cs="Times New Roman"/>
                <w:color w:val="000000" w:themeColor="text1"/>
                <w:sz w:val="24"/>
                <w:szCs w:val="21"/>
                <w:highlight w:val="none"/>
                <w:lang w:eastAsia="zh-CN"/>
                <w14:textFill>
                  <w14:solidFill>
                    <w14:schemeClr w14:val="tx1"/>
                  </w14:solidFill>
                </w14:textFill>
              </w:rPr>
              <w:t>（</w:t>
            </w:r>
            <w:r>
              <w:rPr>
                <w:rFonts w:hint="eastAsia" w:ascii="Times New Roman" w:hAnsi="Times New Roman" w:cs="Times New Roman"/>
                <w:color w:val="000000" w:themeColor="text1"/>
                <w:sz w:val="24"/>
                <w:szCs w:val="21"/>
                <w:highlight w:val="none"/>
                <w:lang w:val="en-US" w:eastAsia="zh-CN"/>
                <w14:textFill>
                  <w14:solidFill>
                    <w14:schemeClr w14:val="tx1"/>
                  </w14:solidFill>
                </w14:textFill>
              </w:rPr>
              <w:t>位置关系详见附图</w:t>
            </w:r>
            <w:r>
              <w:rPr>
                <w:rFonts w:hint="eastAsia" w:cs="Times New Roman"/>
                <w:color w:val="000000" w:themeColor="text1"/>
                <w:sz w:val="24"/>
                <w:szCs w:val="21"/>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1"/>
                <w:highlight w:val="none"/>
                <w:lang w:eastAsia="zh-CN"/>
                <w14:textFill>
                  <w14:solidFill>
                    <w14:schemeClr w14:val="tx1"/>
                  </w14:solidFill>
                </w14:textFill>
              </w:rPr>
              <w:t>）</w:t>
            </w:r>
            <w:r>
              <w:rPr>
                <w:rFonts w:hint="eastAsia" w:cs="Times New Roman"/>
                <w:color w:val="000000" w:themeColor="text1"/>
                <w:sz w:val="24"/>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主要从事</w:t>
            </w:r>
            <w:r>
              <w:rPr>
                <w:rFonts w:hint="eastAsia" w:cs="Times New Roman"/>
                <w:color w:val="000000" w:themeColor="text1"/>
                <w:kern w:val="0"/>
                <w:sz w:val="24"/>
                <w:szCs w:val="21"/>
                <w:highlight w:val="none"/>
                <w:lang w:val="en-US" w:eastAsia="zh-CN"/>
                <w14:textFill>
                  <w14:solidFill>
                    <w14:schemeClr w14:val="tx1"/>
                  </w14:solidFill>
                </w14:textFill>
              </w:rPr>
              <w:t>光学元器件</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生产，与福州市生物医药和机电产业园规划内容不冲突，因此项目符合园区规划要求。同时，根据项目土地使用证，用地性质为工业用地，符合福州市生物医药和机电产业园规划。</w:t>
            </w:r>
          </w:p>
          <w:p w14:paraId="77EFA4E4">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1.2</w:t>
            </w:r>
            <w:r>
              <w:rPr>
                <w:rFonts w:hint="eastAsia"/>
                <w:color w:val="000000" w:themeColor="text1"/>
                <w:sz w:val="24"/>
                <w:szCs w:val="21"/>
                <w:highlight w:val="none"/>
                <w14:textFill>
                  <w14:solidFill>
                    <w14:schemeClr w14:val="tx1"/>
                  </w14:solidFill>
                </w14:textFill>
              </w:rPr>
              <w:t>与规划环评符合性分析</w:t>
            </w:r>
          </w:p>
          <w:p w14:paraId="0DAD3E80">
            <w:pPr>
              <w:autoSpaceDE w:val="0"/>
              <w:autoSpaceDN w:val="0"/>
              <w:adjustRightInd w:val="0"/>
              <w:spacing w:line="360" w:lineRule="auto"/>
              <w:ind w:firstLine="480" w:firstLineChars="200"/>
              <w:jc w:val="both"/>
              <w:rPr>
                <w:rFonts w:hint="default" w:ascii="Times New Roman" w:hAnsi="Times New Roman" w:cs="Times New Roman"/>
                <w:color w:val="000000" w:themeColor="text1"/>
                <w:kern w:val="0"/>
                <w:sz w:val="24"/>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1"/>
                <w:highlight w:val="none"/>
                <w:lang w:eastAsia="zh-CN"/>
                <w14:textFill>
                  <w14:solidFill>
                    <w14:schemeClr w14:val="tx1"/>
                  </w14:solidFill>
                </w14:textFill>
              </w:rPr>
              <w:t>（</w:t>
            </w:r>
            <w:r>
              <w:rPr>
                <w:rFonts w:hint="eastAsia" w:ascii="Times New Roman" w:hAnsi="Times New Roman" w:cs="Times New Roman"/>
                <w:color w:val="000000" w:themeColor="text1"/>
                <w:kern w:val="0"/>
                <w:sz w:val="24"/>
                <w:szCs w:val="21"/>
                <w:highlight w:val="none"/>
                <w:lang w:val="en-US" w:eastAsia="zh-CN"/>
                <w14:textFill>
                  <w14:solidFill>
                    <w14:schemeClr w14:val="tx1"/>
                  </w14:solidFill>
                </w14:textFill>
              </w:rPr>
              <w:t>一</w:t>
            </w:r>
            <w:r>
              <w:rPr>
                <w:rFonts w:hint="default" w:ascii="Times New Roman" w:hAnsi="Times New Roman" w:cs="Times New Roman"/>
                <w:color w:val="000000" w:themeColor="text1"/>
                <w:kern w:val="0"/>
                <w:sz w:val="24"/>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1"/>
                <w:highlight w:val="none"/>
                <w:lang w:val="en-US" w:eastAsia="zh-CN"/>
                <w14:textFill>
                  <w14:solidFill>
                    <w14:schemeClr w14:val="tx1"/>
                  </w14:solidFill>
                </w14:textFill>
              </w:rPr>
              <w:t>规划环评概况</w:t>
            </w:r>
          </w:p>
          <w:p w14:paraId="3D2E4F7D">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szCs w:val="21"/>
                <w:highlight w:val="none"/>
                <w14:textFill>
                  <w14:solidFill>
                    <w14:schemeClr w14:val="tx1"/>
                  </w14:solidFill>
                </w14:textFill>
              </w:rPr>
            </w:pPr>
            <w:r>
              <w:rPr>
                <w:rFonts w:hint="default" w:ascii="Times New Roman" w:hAnsi="Times New Roman" w:cs="Times New Roman"/>
                <w:color w:val="000000" w:themeColor="text1"/>
                <w:kern w:val="0"/>
                <w:sz w:val="24"/>
                <w:szCs w:val="21"/>
                <w:highlight w:val="none"/>
                <w14:textFill>
                  <w14:solidFill>
                    <w14:schemeClr w14:val="tx1"/>
                  </w14:solidFill>
                </w14:textFill>
              </w:rPr>
              <w:t>2010年7月福州新南建设开发有限公司委托福州市环境科学研究院承担《福州市生物医药和机电产业园规划环境影响报告书》编制任务，福州市环境科学研究院于2011年3月编制完成《福州市生物医药和机电产业园规划环境影响报告书》，2011年4月17日该规划环评获得</w:t>
            </w:r>
            <w:r>
              <w:rPr>
                <w:rFonts w:hint="eastAsia" w:ascii="Times New Roman" w:hAnsi="Times New Roman" w:cs="Times New Roman"/>
                <w:color w:val="000000" w:themeColor="text1"/>
                <w:kern w:val="0"/>
                <w:sz w:val="24"/>
                <w:szCs w:val="21"/>
                <w:highlight w:val="none"/>
                <w:lang w:val="en-US" w:eastAsia="zh-CN"/>
                <w14:textFill>
                  <w14:solidFill>
                    <w14:schemeClr w14:val="tx1"/>
                  </w14:solidFill>
                </w14:textFill>
              </w:rPr>
              <w:t>原</w:t>
            </w:r>
            <w:r>
              <w:rPr>
                <w:rFonts w:hint="default" w:ascii="Times New Roman" w:hAnsi="Times New Roman" w:cs="Times New Roman"/>
                <w:color w:val="000000" w:themeColor="text1"/>
                <w:kern w:val="0"/>
                <w:sz w:val="24"/>
                <w:szCs w:val="21"/>
                <w:highlight w:val="none"/>
                <w14:textFill>
                  <w14:solidFill>
                    <w14:schemeClr w14:val="tx1"/>
                  </w14:solidFill>
                </w14:textFill>
              </w:rPr>
              <w:t>福州市环保局审查（榕环保〔2011〕204号）。</w:t>
            </w:r>
          </w:p>
          <w:p w14:paraId="16881600">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szCs w:val="21"/>
                <w:highlight w:val="none"/>
                <w14:textFill>
                  <w14:solidFill>
                    <w14:schemeClr w14:val="tx1"/>
                  </w14:solidFill>
                </w14:textFill>
              </w:rPr>
            </w:pPr>
            <w:r>
              <w:rPr>
                <w:rFonts w:hint="default" w:ascii="Times New Roman" w:hAnsi="Times New Roman" w:cs="Times New Roman"/>
                <w:color w:val="000000" w:themeColor="text1"/>
                <w:kern w:val="0"/>
                <w:sz w:val="24"/>
                <w:szCs w:val="21"/>
                <w:highlight w:val="none"/>
                <w14:textFill>
                  <w14:solidFill>
                    <w14:schemeClr w14:val="tx1"/>
                  </w14:solidFill>
                </w14:textFill>
              </w:rPr>
              <w:t>2013年1月，根据入驻企业产业发展配套需要，拟引进电力热力、化学气体的生产和供应企业，并对福州生物医药和机电产业园区提出规划调整意见，福州新南建设开发有限公司委托福州市环境科学研究院承担该规划调整后的《福州市生物医药和机电产业园区地块用地性质和产业规划调整环境影响补充报告》编制任务，并于2014年11月18日该规划环评获得</w:t>
            </w:r>
            <w:r>
              <w:rPr>
                <w:rFonts w:hint="eastAsia" w:ascii="Times New Roman" w:hAnsi="Times New Roman" w:cs="Times New Roman"/>
                <w:color w:val="000000" w:themeColor="text1"/>
                <w:kern w:val="0"/>
                <w:sz w:val="24"/>
                <w:szCs w:val="21"/>
                <w:highlight w:val="none"/>
                <w:lang w:val="en-US" w:eastAsia="zh-CN"/>
                <w14:textFill>
                  <w14:solidFill>
                    <w14:schemeClr w14:val="tx1"/>
                  </w14:solidFill>
                </w14:textFill>
              </w:rPr>
              <w:t>原</w:t>
            </w:r>
            <w:r>
              <w:rPr>
                <w:rFonts w:hint="default" w:ascii="Times New Roman" w:hAnsi="Times New Roman" w:cs="Times New Roman"/>
                <w:color w:val="000000" w:themeColor="text1"/>
                <w:kern w:val="0"/>
                <w:sz w:val="24"/>
                <w:szCs w:val="21"/>
                <w:highlight w:val="none"/>
                <w14:textFill>
                  <w14:solidFill>
                    <w14:schemeClr w14:val="tx1"/>
                  </w14:solidFill>
                </w14:textFill>
              </w:rPr>
              <w:t>福州市环保局审查（榕环保综〔2014〕435号）。</w:t>
            </w:r>
          </w:p>
          <w:p w14:paraId="7DB0F330">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szCs w:val="21"/>
                <w:highlight w:val="none"/>
                <w14:textFill>
                  <w14:solidFill>
                    <w14:schemeClr w14:val="tx1"/>
                  </w14:solidFill>
                </w14:textFill>
              </w:rPr>
            </w:pPr>
            <w:r>
              <w:rPr>
                <w:rFonts w:hint="default" w:ascii="Times New Roman" w:hAnsi="Times New Roman" w:cs="Times New Roman"/>
                <w:color w:val="000000" w:themeColor="text1"/>
                <w:kern w:val="0"/>
                <w:sz w:val="24"/>
                <w:szCs w:val="21"/>
                <w:highlight w:val="none"/>
                <w14:textFill>
                  <w14:solidFill>
                    <w14:schemeClr w14:val="tx1"/>
                  </w14:solidFill>
                </w14:textFill>
              </w:rPr>
              <w:t>2023年12月，福州新南建设开发有限公司委托福建省环境保护设计院有限公司编制完成《福州市生物医药和机电产业园规划环境影响跟踪评价报告书》。</w:t>
            </w:r>
          </w:p>
          <w:p w14:paraId="7A9E70D1">
            <w:pPr>
              <w:autoSpaceDE w:val="0"/>
              <w:autoSpaceDN w:val="0"/>
              <w:adjustRightInd w:val="0"/>
              <w:spacing w:line="360" w:lineRule="auto"/>
              <w:ind w:firstLine="480" w:firstLineChars="200"/>
              <w:jc w:val="left"/>
              <w:rPr>
                <w:rFonts w:hint="eastAsia" w:ascii="宋体" w:eastAsia="宋体" w:cs="宋体"/>
                <w:color w:val="000000" w:themeColor="text1"/>
                <w:kern w:val="0"/>
                <w:sz w:val="24"/>
                <w:szCs w:val="21"/>
                <w:highlight w:val="none"/>
                <w:lang w:eastAsia="zh-CN"/>
                <w14:textFill>
                  <w14:solidFill>
                    <w14:schemeClr w14:val="tx1"/>
                  </w14:solidFill>
                </w14:textFill>
              </w:rPr>
            </w:pPr>
            <w:r>
              <w:rPr>
                <w:rFonts w:hint="eastAsia" w:ascii="宋体" w:cs="宋体"/>
                <w:color w:val="000000" w:themeColor="text1"/>
                <w:kern w:val="0"/>
                <w:sz w:val="24"/>
                <w:szCs w:val="21"/>
                <w:highlight w:val="none"/>
                <w:lang w:eastAsia="zh-CN"/>
                <w14:textFill>
                  <w14:solidFill>
                    <w14:schemeClr w14:val="tx1"/>
                  </w14:solidFill>
                </w14:textFill>
              </w:rPr>
              <w:t>（</w:t>
            </w:r>
            <w:r>
              <w:rPr>
                <w:rFonts w:hint="eastAsia" w:ascii="宋体" w:cs="宋体"/>
                <w:color w:val="000000" w:themeColor="text1"/>
                <w:kern w:val="0"/>
                <w:sz w:val="24"/>
                <w:szCs w:val="21"/>
                <w:highlight w:val="none"/>
                <w:lang w:val="en-US" w:eastAsia="zh-CN"/>
                <w14:textFill>
                  <w14:solidFill>
                    <w14:schemeClr w14:val="tx1"/>
                  </w14:solidFill>
                </w14:textFill>
              </w:rPr>
              <w:t>二</w:t>
            </w:r>
            <w:r>
              <w:rPr>
                <w:rFonts w:hint="eastAsia" w:ascii="宋体" w:cs="宋体"/>
                <w:color w:val="000000" w:themeColor="text1"/>
                <w:kern w:val="0"/>
                <w:sz w:val="24"/>
                <w:szCs w:val="21"/>
                <w:highlight w:val="none"/>
                <w:lang w:eastAsia="zh-CN"/>
                <w14:textFill>
                  <w14:solidFill>
                    <w14:schemeClr w14:val="tx1"/>
                  </w14:solidFill>
                </w14:textFill>
              </w:rPr>
              <w:t>）</w:t>
            </w:r>
            <w:r>
              <w:rPr>
                <w:rFonts w:hint="eastAsia" w:ascii="宋体" w:cs="宋体"/>
                <w:color w:val="000000" w:themeColor="text1"/>
                <w:kern w:val="0"/>
                <w:sz w:val="24"/>
                <w:szCs w:val="21"/>
                <w:highlight w:val="none"/>
                <w:lang w:val="en-US" w:eastAsia="zh-CN"/>
                <w14:textFill>
                  <w14:solidFill>
                    <w14:schemeClr w14:val="tx1"/>
                  </w14:solidFill>
                </w14:textFill>
              </w:rPr>
              <w:t>规划环评符合性分析</w:t>
            </w:r>
          </w:p>
          <w:p w14:paraId="1E4FEA56">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szCs w:val="21"/>
                <w:highlight w:val="none"/>
                <w14:textFill>
                  <w14:solidFill>
                    <w14:schemeClr w14:val="tx1"/>
                  </w14:solidFill>
                </w14:textFill>
              </w:rPr>
            </w:pPr>
            <w:r>
              <w:rPr>
                <w:rFonts w:hint="default" w:ascii="Times New Roman" w:hAnsi="Times New Roman" w:cs="Times New Roman"/>
                <w:color w:val="000000" w:themeColor="text1"/>
                <w:kern w:val="0"/>
                <w:sz w:val="24"/>
                <w:szCs w:val="21"/>
                <w:highlight w:val="none"/>
                <w14:textFill>
                  <w14:solidFill>
                    <w14:schemeClr w14:val="tx1"/>
                  </w14:solidFill>
                </w14:textFill>
              </w:rPr>
              <w:t>规划环评中产业政策要求：</w:t>
            </w:r>
          </w:p>
          <w:p w14:paraId="5ECD9A42">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szCs w:val="21"/>
                <w:highlight w:val="none"/>
                <w14:textFill>
                  <w14:solidFill>
                    <w14:schemeClr w14:val="tx1"/>
                  </w14:solidFill>
                </w14:textFill>
              </w:rPr>
            </w:pPr>
            <w:r>
              <w:rPr>
                <w:rFonts w:hint="default" w:ascii="Times New Roman" w:hAnsi="Times New Roman" w:cs="Times New Roman"/>
                <w:color w:val="000000" w:themeColor="text1"/>
                <w:kern w:val="0"/>
                <w:sz w:val="24"/>
                <w:szCs w:val="21"/>
                <w:highlight w:val="none"/>
                <w14:textFill>
                  <w14:solidFill>
                    <w14:schemeClr w14:val="tx1"/>
                  </w14:solidFill>
                </w14:textFill>
              </w:rPr>
              <w:t>生物医药产业：①在本规划区以新产品研发、一类、二类工业企业为主。②不推荐本规划园区设实验动物房，严禁耗水量大的企业入驻。④限制产生恶臭的行业入驻。③引进企业清洁生产水平必须达到国内先进及以上水平。④对于化学制药、发酵药、原料药等重污染型的制药行业以及高耗能、高耗水、污染严重的企业建议福州市实行产业整合，有计划</w:t>
            </w:r>
            <w:r>
              <w:rPr>
                <w:rFonts w:hint="eastAsia" w:cs="Times New Roman"/>
                <w:color w:val="000000" w:themeColor="text1"/>
                <w:kern w:val="0"/>
                <w:sz w:val="24"/>
                <w:szCs w:val="21"/>
                <w:highlight w:val="none"/>
                <w:lang w:eastAsia="zh-CN"/>
                <w14:textFill>
                  <w14:solidFill>
                    <w14:schemeClr w14:val="tx1"/>
                  </w14:solidFill>
                </w14:textFill>
              </w:rPr>
              <w:t>地</w:t>
            </w:r>
            <w:r>
              <w:rPr>
                <w:rFonts w:hint="default" w:ascii="Times New Roman" w:hAnsi="Times New Roman" w:cs="Times New Roman"/>
                <w:color w:val="000000" w:themeColor="text1"/>
                <w:kern w:val="0"/>
                <w:sz w:val="24"/>
                <w:szCs w:val="21"/>
                <w:highlight w:val="none"/>
                <w14:textFill>
                  <w14:solidFill>
                    <w14:schemeClr w14:val="tx1"/>
                  </w14:solidFill>
                </w14:textFill>
              </w:rPr>
              <w:t>引导进入福清江阴工业区入驻。</w:t>
            </w:r>
          </w:p>
          <w:p w14:paraId="46A58D95">
            <w:pPr>
              <w:autoSpaceDE w:val="0"/>
              <w:autoSpaceDN w:val="0"/>
              <w:adjustRightInd w:val="0"/>
              <w:spacing w:line="360" w:lineRule="auto"/>
              <w:ind w:firstLine="480" w:firstLineChars="200"/>
              <w:jc w:val="left"/>
              <w:rPr>
                <w:rFonts w:hint="eastAsia" w:ascii="宋体" w:cs="宋体"/>
                <w:color w:val="000000" w:themeColor="text1"/>
                <w:kern w:val="0"/>
                <w:sz w:val="24"/>
                <w:szCs w:val="21"/>
                <w:highlight w:val="none"/>
                <w14:textFill>
                  <w14:solidFill>
                    <w14:schemeClr w14:val="tx1"/>
                  </w14:solidFill>
                </w14:textFill>
              </w:rPr>
            </w:pPr>
            <w:r>
              <w:rPr>
                <w:rFonts w:hint="default" w:ascii="Times New Roman" w:hAnsi="Times New Roman" w:cs="Times New Roman"/>
                <w:color w:val="000000" w:themeColor="text1"/>
                <w:kern w:val="0"/>
                <w:sz w:val="24"/>
                <w:szCs w:val="21"/>
                <w:highlight w:val="none"/>
                <w14:textFill>
                  <w14:solidFill>
                    <w14:schemeClr w14:val="tx1"/>
                  </w14:solidFill>
                </w14:textFill>
              </w:rPr>
              <w:t>机械电子产业：①</w:t>
            </w:r>
            <w:r>
              <w:rPr>
                <w:rFonts w:hint="eastAsia" w:ascii="Times New Roman" w:hAnsi="Times New Roman" w:cs="Times New Roman"/>
                <w:color w:val="000000" w:themeColor="text1"/>
                <w:kern w:val="0"/>
                <w:sz w:val="24"/>
                <w:szCs w:val="21"/>
                <w:highlight w:val="none"/>
                <w:lang w:val="en-US" w:eastAsia="zh-CN"/>
                <w14:textFill>
                  <w14:solidFill>
                    <w14:schemeClr w14:val="tx1"/>
                  </w14:solidFill>
                </w14:textFill>
              </w:rPr>
              <w:t>严格限制</w:t>
            </w:r>
            <w:r>
              <w:rPr>
                <w:rFonts w:hint="default" w:ascii="Times New Roman" w:hAnsi="Times New Roman" w:cs="Times New Roman"/>
                <w:color w:val="000000" w:themeColor="text1"/>
                <w:kern w:val="0"/>
                <w:sz w:val="24"/>
                <w:szCs w:val="21"/>
                <w:highlight w:val="none"/>
                <w14:textFill>
                  <w14:solidFill>
                    <w14:schemeClr w14:val="tx1"/>
                  </w14:solidFill>
                </w14:textFill>
              </w:rPr>
              <w:t>引进排放酸性气体，二氧化硫废气等企业入驻。②引进企业清洁生产水平必须达到国内先进及以上水平。③入园企业若配套电镀工艺，需按照福州市政府榕政综〔2007〕44号文件要求执行。</w:t>
            </w:r>
          </w:p>
          <w:p w14:paraId="78A0C47E">
            <w:pPr>
              <w:autoSpaceDE w:val="0"/>
              <w:autoSpaceDN w:val="0"/>
              <w:adjustRightInd w:val="0"/>
              <w:snapToGrid w:val="0"/>
              <w:spacing w:before="120" w:beforeLines="50" w:line="360" w:lineRule="auto"/>
              <w:jc w:val="center"/>
              <w:rPr>
                <w:rFonts w:hint="eastAsia" w:ascii="宋体" w:cs="宋体"/>
                <w:color w:val="000000" w:themeColor="text1"/>
                <w:kern w:val="0"/>
                <w:sz w:val="24"/>
                <w:szCs w:val="21"/>
                <w:highlight w:val="none"/>
                <w14:textFill>
                  <w14:solidFill>
                    <w14:schemeClr w14:val="tx1"/>
                  </w14:solidFill>
                </w14:textFill>
              </w:rPr>
            </w:pPr>
            <w:r>
              <w:rPr>
                <w:b/>
                <w:color w:val="000000" w:themeColor="text1"/>
                <w:kern w:val="0"/>
                <w:sz w:val="24"/>
                <w:szCs w:val="24"/>
                <w:highlight w:val="none"/>
                <w14:textFill>
                  <w14:solidFill>
                    <w14:schemeClr w14:val="tx1"/>
                  </w14:solidFill>
                </w14:textFill>
              </w:rPr>
              <w:t>表</w:t>
            </w:r>
            <w:r>
              <w:rPr>
                <w:rFonts w:hint="eastAsia"/>
                <w:b/>
                <w:color w:val="000000" w:themeColor="text1"/>
                <w:kern w:val="0"/>
                <w:sz w:val="24"/>
                <w:szCs w:val="24"/>
                <w:highlight w:val="none"/>
                <w14:textFill>
                  <w14:solidFill>
                    <w14:schemeClr w14:val="tx1"/>
                  </w14:solidFill>
                </w14:textFill>
              </w:rPr>
              <w:t xml:space="preserve"> </w:t>
            </w:r>
            <w:r>
              <w:rPr>
                <w:b/>
                <w:color w:val="000000" w:themeColor="text1"/>
                <w:kern w:val="0"/>
                <w:sz w:val="24"/>
                <w:szCs w:val="24"/>
                <w:highlight w:val="none"/>
                <w14:textFill>
                  <w14:solidFill>
                    <w14:schemeClr w14:val="tx1"/>
                  </w14:solidFill>
                </w14:textFill>
              </w:rPr>
              <w:t>1-</w:t>
            </w:r>
            <w:r>
              <w:rPr>
                <w:rFonts w:hint="eastAsia"/>
                <w:b/>
                <w:color w:val="000000" w:themeColor="text1"/>
                <w:kern w:val="0"/>
                <w:sz w:val="24"/>
                <w:szCs w:val="24"/>
                <w:highlight w:val="none"/>
                <w:lang w:val="en-US" w:eastAsia="zh-CN"/>
                <w14:textFill>
                  <w14:solidFill>
                    <w14:schemeClr w14:val="tx1"/>
                  </w14:solidFill>
                </w14:textFill>
              </w:rPr>
              <w:t>2</w:t>
            </w:r>
            <w:r>
              <w:rPr>
                <w:b/>
                <w:color w:val="000000" w:themeColor="text1"/>
                <w:kern w:val="0"/>
                <w:sz w:val="24"/>
                <w:szCs w:val="24"/>
                <w:highlight w:val="none"/>
                <w14:textFill>
                  <w14:solidFill>
                    <w14:schemeClr w14:val="tx1"/>
                  </w14:solidFill>
                </w14:textFill>
              </w:rPr>
              <w:t xml:space="preserve">  福州生物医药及机电产业园推荐、不推荐产业明细</w:t>
            </w:r>
          </w:p>
          <w:tbl>
            <w:tblPr>
              <w:tblStyle w:val="31"/>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3420"/>
              <w:gridCol w:w="2928"/>
            </w:tblGrid>
            <w:tr w14:paraId="0E4C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Align w:val="center"/>
                </w:tcPr>
                <w:p w14:paraId="7082D9CC">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规划产业</w:t>
                  </w:r>
                </w:p>
              </w:tc>
              <w:tc>
                <w:tcPr>
                  <w:tcW w:w="3420" w:type="dxa"/>
                  <w:vAlign w:val="center"/>
                </w:tcPr>
                <w:p w14:paraId="71535BC1">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产业小类</w:t>
                  </w:r>
                </w:p>
              </w:tc>
              <w:tc>
                <w:tcPr>
                  <w:tcW w:w="2928" w:type="dxa"/>
                  <w:vAlign w:val="center"/>
                </w:tcPr>
                <w:p w14:paraId="2A745441">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推荐产业</w:t>
                  </w:r>
                </w:p>
              </w:tc>
            </w:tr>
            <w:tr w14:paraId="1149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2" w:type="dxa"/>
                  <w:gridSpan w:val="3"/>
                  <w:vAlign w:val="center"/>
                </w:tcPr>
                <w:p w14:paraId="2B849B89">
                  <w:pPr>
                    <w:bidi w:val="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一、医药园产业</w:t>
                  </w:r>
                </w:p>
              </w:tc>
            </w:tr>
            <w:tr w14:paraId="7009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restart"/>
                  <w:vAlign w:val="center"/>
                </w:tcPr>
                <w:p w14:paraId="3AB4C2A3">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医药研发</w:t>
                  </w:r>
                </w:p>
              </w:tc>
              <w:tc>
                <w:tcPr>
                  <w:tcW w:w="3420" w:type="dxa"/>
                  <w:vAlign w:val="center"/>
                </w:tcPr>
                <w:p w14:paraId="7E688D84">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基因工程药物</w:t>
                  </w:r>
                </w:p>
              </w:tc>
              <w:tc>
                <w:tcPr>
                  <w:tcW w:w="2928" w:type="dxa"/>
                  <w:vAlign w:val="center"/>
                </w:tcPr>
                <w:p w14:paraId="3DF8BD5C">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推荐基因工程药物</w:t>
                  </w:r>
                </w:p>
              </w:tc>
            </w:tr>
            <w:tr w14:paraId="4BEC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148E611D">
                  <w:pPr>
                    <w:bidi w:val="0"/>
                    <w:jc w:val="center"/>
                    <w:rPr>
                      <w:rFonts w:hint="eastAsia"/>
                      <w:color w:val="000000" w:themeColor="text1"/>
                      <w:highlight w:val="none"/>
                      <w14:textFill>
                        <w14:solidFill>
                          <w14:schemeClr w14:val="tx1"/>
                        </w14:solidFill>
                      </w14:textFill>
                    </w:rPr>
                  </w:pPr>
                </w:p>
              </w:tc>
              <w:tc>
                <w:tcPr>
                  <w:tcW w:w="3420" w:type="dxa"/>
                  <w:vAlign w:val="center"/>
                </w:tcPr>
                <w:p w14:paraId="39579B07">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疫苗</w:t>
                  </w:r>
                </w:p>
              </w:tc>
              <w:tc>
                <w:tcPr>
                  <w:tcW w:w="2928" w:type="dxa"/>
                  <w:vAlign w:val="center"/>
                </w:tcPr>
                <w:p w14:paraId="4ED6CA31">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推荐疫苗规模化生产</w:t>
                  </w:r>
                </w:p>
              </w:tc>
            </w:tr>
            <w:tr w14:paraId="2422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43BFACE7">
                  <w:pPr>
                    <w:bidi w:val="0"/>
                    <w:jc w:val="center"/>
                    <w:rPr>
                      <w:rFonts w:hint="eastAsia"/>
                      <w:color w:val="000000" w:themeColor="text1"/>
                      <w:highlight w:val="none"/>
                      <w14:textFill>
                        <w14:solidFill>
                          <w14:schemeClr w14:val="tx1"/>
                        </w14:solidFill>
                      </w14:textFill>
                    </w:rPr>
                  </w:pPr>
                </w:p>
              </w:tc>
              <w:tc>
                <w:tcPr>
                  <w:tcW w:w="3420" w:type="dxa"/>
                  <w:vAlign w:val="center"/>
                </w:tcPr>
                <w:p w14:paraId="090E13D7">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诊断试剂</w:t>
                  </w:r>
                </w:p>
              </w:tc>
              <w:tc>
                <w:tcPr>
                  <w:tcW w:w="2928" w:type="dxa"/>
                  <w:vAlign w:val="center"/>
                </w:tcPr>
                <w:p w14:paraId="043A8497">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推荐诊断试剂规模化生产</w:t>
                  </w:r>
                </w:p>
              </w:tc>
            </w:tr>
            <w:tr w14:paraId="35D7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2389C8EB">
                  <w:pPr>
                    <w:bidi w:val="0"/>
                    <w:jc w:val="center"/>
                    <w:rPr>
                      <w:rFonts w:hint="eastAsia"/>
                      <w:color w:val="000000" w:themeColor="text1"/>
                      <w:highlight w:val="none"/>
                      <w14:textFill>
                        <w14:solidFill>
                          <w14:schemeClr w14:val="tx1"/>
                        </w14:solidFill>
                      </w14:textFill>
                    </w:rPr>
                  </w:pPr>
                </w:p>
              </w:tc>
              <w:tc>
                <w:tcPr>
                  <w:tcW w:w="3420" w:type="dxa"/>
                  <w:vAlign w:val="center"/>
                </w:tcPr>
                <w:p w14:paraId="7B8C9A0C">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生物医药分析仪器</w:t>
                  </w:r>
                </w:p>
              </w:tc>
              <w:tc>
                <w:tcPr>
                  <w:tcW w:w="2928" w:type="dxa"/>
                  <w:vAlign w:val="center"/>
                </w:tcPr>
                <w:p w14:paraId="6E58670A">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w:t>
                  </w:r>
                </w:p>
              </w:tc>
            </w:tr>
            <w:tr w14:paraId="6B13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16C9A262">
                  <w:pPr>
                    <w:bidi w:val="0"/>
                    <w:jc w:val="center"/>
                    <w:rPr>
                      <w:rFonts w:hint="eastAsia"/>
                      <w:color w:val="000000" w:themeColor="text1"/>
                      <w:highlight w:val="none"/>
                      <w14:textFill>
                        <w14:solidFill>
                          <w14:schemeClr w14:val="tx1"/>
                        </w14:solidFill>
                      </w14:textFill>
                    </w:rPr>
                  </w:pPr>
                </w:p>
              </w:tc>
              <w:tc>
                <w:tcPr>
                  <w:tcW w:w="3420" w:type="dxa"/>
                  <w:vAlign w:val="center"/>
                </w:tcPr>
                <w:p w14:paraId="4A493373">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高端医药器械研发</w:t>
                  </w:r>
                </w:p>
              </w:tc>
              <w:tc>
                <w:tcPr>
                  <w:tcW w:w="2928" w:type="dxa"/>
                  <w:vAlign w:val="center"/>
                </w:tcPr>
                <w:p w14:paraId="3D01C8BD">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w:t>
                  </w:r>
                </w:p>
              </w:tc>
            </w:tr>
            <w:tr w14:paraId="10D7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2" w:type="dxa"/>
                  <w:gridSpan w:val="3"/>
                  <w:vAlign w:val="center"/>
                </w:tcPr>
                <w:p w14:paraId="19F67617">
                  <w:pPr>
                    <w:bidi w:val="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二、机电园产业</w:t>
                  </w:r>
                </w:p>
              </w:tc>
            </w:tr>
            <w:tr w14:paraId="79CB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restart"/>
                  <w:vAlign w:val="center"/>
                </w:tcPr>
                <w:p w14:paraId="0781C3DE">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光电产业</w:t>
                  </w:r>
                </w:p>
              </w:tc>
              <w:tc>
                <w:tcPr>
                  <w:tcW w:w="3420" w:type="dxa"/>
                  <w:vAlign w:val="center"/>
                </w:tcPr>
                <w:p w14:paraId="39FFC942">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液晶、发光二极管显示屏</w:t>
                  </w:r>
                </w:p>
              </w:tc>
              <w:tc>
                <w:tcPr>
                  <w:tcW w:w="2928" w:type="dxa"/>
                  <w:vMerge w:val="restart"/>
                  <w:vAlign w:val="center"/>
                </w:tcPr>
                <w:p w14:paraId="7CFC09B4">
                  <w:pPr>
                    <w:bidi w:val="0"/>
                    <w:jc w:val="both"/>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推荐，建议园区形成产业配置适宜的光电（LED）产业链。</w:t>
                  </w:r>
                </w:p>
              </w:tc>
            </w:tr>
            <w:tr w14:paraId="0F80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48CFD84B">
                  <w:pPr>
                    <w:bidi w:val="0"/>
                    <w:jc w:val="center"/>
                    <w:rPr>
                      <w:rFonts w:hint="eastAsia"/>
                      <w:color w:val="000000" w:themeColor="text1"/>
                      <w:highlight w:val="none"/>
                      <w14:textFill>
                        <w14:solidFill>
                          <w14:schemeClr w14:val="tx1"/>
                        </w14:solidFill>
                      </w14:textFill>
                    </w:rPr>
                  </w:pPr>
                </w:p>
              </w:tc>
              <w:tc>
                <w:tcPr>
                  <w:tcW w:w="3420" w:type="dxa"/>
                  <w:vAlign w:val="center"/>
                </w:tcPr>
                <w:p w14:paraId="00336A18">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光电器件</w:t>
                  </w:r>
                </w:p>
              </w:tc>
              <w:tc>
                <w:tcPr>
                  <w:tcW w:w="2928" w:type="dxa"/>
                  <w:vMerge w:val="continue"/>
                  <w:vAlign w:val="center"/>
                </w:tcPr>
                <w:p w14:paraId="1D9DCC16">
                  <w:pPr>
                    <w:bidi w:val="0"/>
                    <w:jc w:val="both"/>
                    <w:rPr>
                      <w:rFonts w:hint="eastAsia"/>
                      <w:color w:val="000000" w:themeColor="text1"/>
                      <w:highlight w:val="none"/>
                      <w14:textFill>
                        <w14:solidFill>
                          <w14:schemeClr w14:val="tx1"/>
                        </w14:solidFill>
                      </w14:textFill>
                    </w:rPr>
                  </w:pPr>
                </w:p>
              </w:tc>
            </w:tr>
            <w:tr w14:paraId="52A5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398FB3A7">
                  <w:pPr>
                    <w:bidi w:val="0"/>
                    <w:jc w:val="center"/>
                    <w:rPr>
                      <w:rFonts w:hint="eastAsia"/>
                      <w:color w:val="000000" w:themeColor="text1"/>
                      <w:highlight w:val="none"/>
                      <w14:textFill>
                        <w14:solidFill>
                          <w14:schemeClr w14:val="tx1"/>
                        </w14:solidFill>
                      </w14:textFill>
                    </w:rPr>
                  </w:pPr>
                </w:p>
              </w:tc>
              <w:tc>
                <w:tcPr>
                  <w:tcW w:w="3420" w:type="dxa"/>
                  <w:vAlign w:val="center"/>
                </w:tcPr>
                <w:p w14:paraId="630AEBF1">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激光产业</w:t>
                  </w:r>
                </w:p>
              </w:tc>
              <w:tc>
                <w:tcPr>
                  <w:tcW w:w="2928" w:type="dxa"/>
                  <w:vMerge w:val="continue"/>
                  <w:vAlign w:val="center"/>
                </w:tcPr>
                <w:p w14:paraId="4D5A0A4C">
                  <w:pPr>
                    <w:bidi w:val="0"/>
                    <w:jc w:val="both"/>
                    <w:rPr>
                      <w:rFonts w:hint="eastAsia"/>
                      <w:color w:val="000000" w:themeColor="text1"/>
                      <w:highlight w:val="none"/>
                      <w14:textFill>
                        <w14:solidFill>
                          <w14:schemeClr w14:val="tx1"/>
                        </w14:solidFill>
                      </w14:textFill>
                    </w:rPr>
                  </w:pPr>
                </w:p>
              </w:tc>
            </w:tr>
            <w:tr w14:paraId="7ACE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5A68FCE0">
                  <w:pPr>
                    <w:bidi w:val="0"/>
                    <w:jc w:val="center"/>
                    <w:rPr>
                      <w:rFonts w:hint="eastAsia"/>
                      <w:color w:val="000000" w:themeColor="text1"/>
                      <w:highlight w:val="none"/>
                      <w14:textFill>
                        <w14:solidFill>
                          <w14:schemeClr w14:val="tx1"/>
                        </w14:solidFill>
                      </w14:textFill>
                    </w:rPr>
                  </w:pPr>
                </w:p>
              </w:tc>
              <w:tc>
                <w:tcPr>
                  <w:tcW w:w="3420" w:type="dxa"/>
                  <w:vAlign w:val="center"/>
                </w:tcPr>
                <w:p w14:paraId="6D660F3B">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光学产业</w:t>
                  </w:r>
                </w:p>
              </w:tc>
              <w:tc>
                <w:tcPr>
                  <w:tcW w:w="2928" w:type="dxa"/>
                  <w:vMerge w:val="continue"/>
                  <w:vAlign w:val="center"/>
                </w:tcPr>
                <w:p w14:paraId="7B558D08">
                  <w:pPr>
                    <w:bidi w:val="0"/>
                    <w:jc w:val="both"/>
                    <w:rPr>
                      <w:rFonts w:hint="eastAsia"/>
                      <w:color w:val="000000" w:themeColor="text1"/>
                      <w:highlight w:val="none"/>
                      <w14:textFill>
                        <w14:solidFill>
                          <w14:schemeClr w14:val="tx1"/>
                        </w14:solidFill>
                      </w14:textFill>
                    </w:rPr>
                  </w:pPr>
                </w:p>
              </w:tc>
            </w:tr>
            <w:tr w14:paraId="1449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restart"/>
                  <w:vAlign w:val="center"/>
                </w:tcPr>
                <w:p w14:paraId="710E08C4">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通信产业</w:t>
                  </w:r>
                </w:p>
              </w:tc>
              <w:tc>
                <w:tcPr>
                  <w:tcW w:w="3420" w:type="dxa"/>
                  <w:vAlign w:val="center"/>
                </w:tcPr>
                <w:p w14:paraId="73FB2FE3">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集成电路产业</w:t>
                  </w:r>
                </w:p>
              </w:tc>
              <w:tc>
                <w:tcPr>
                  <w:tcW w:w="2928" w:type="dxa"/>
                  <w:vMerge w:val="continue"/>
                  <w:vAlign w:val="center"/>
                </w:tcPr>
                <w:p w14:paraId="41354FAD">
                  <w:pPr>
                    <w:bidi w:val="0"/>
                    <w:jc w:val="both"/>
                    <w:rPr>
                      <w:rFonts w:hint="eastAsia"/>
                      <w:color w:val="000000" w:themeColor="text1"/>
                      <w:highlight w:val="none"/>
                      <w14:textFill>
                        <w14:solidFill>
                          <w14:schemeClr w14:val="tx1"/>
                        </w14:solidFill>
                      </w14:textFill>
                    </w:rPr>
                  </w:pPr>
                </w:p>
              </w:tc>
            </w:tr>
            <w:tr w14:paraId="105F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320F464C">
                  <w:pPr>
                    <w:bidi w:val="0"/>
                    <w:jc w:val="center"/>
                    <w:rPr>
                      <w:rFonts w:hint="eastAsia"/>
                      <w:color w:val="000000" w:themeColor="text1"/>
                      <w:highlight w:val="none"/>
                      <w14:textFill>
                        <w14:solidFill>
                          <w14:schemeClr w14:val="tx1"/>
                        </w14:solidFill>
                      </w14:textFill>
                    </w:rPr>
                  </w:pPr>
                </w:p>
              </w:tc>
              <w:tc>
                <w:tcPr>
                  <w:tcW w:w="3420" w:type="dxa"/>
                  <w:vAlign w:val="center"/>
                </w:tcPr>
                <w:p w14:paraId="1FBD564B">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计算机及外围设备</w:t>
                  </w:r>
                </w:p>
              </w:tc>
              <w:tc>
                <w:tcPr>
                  <w:tcW w:w="2928" w:type="dxa"/>
                  <w:vMerge w:val="continue"/>
                  <w:vAlign w:val="center"/>
                </w:tcPr>
                <w:p w14:paraId="4577137F">
                  <w:pPr>
                    <w:bidi w:val="0"/>
                    <w:jc w:val="both"/>
                    <w:rPr>
                      <w:rFonts w:hint="eastAsia"/>
                      <w:color w:val="000000" w:themeColor="text1"/>
                      <w:highlight w:val="none"/>
                      <w14:textFill>
                        <w14:solidFill>
                          <w14:schemeClr w14:val="tx1"/>
                        </w14:solidFill>
                      </w14:textFill>
                    </w:rPr>
                  </w:pPr>
                </w:p>
              </w:tc>
            </w:tr>
            <w:tr w14:paraId="78F8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3E748571">
                  <w:pPr>
                    <w:bidi w:val="0"/>
                    <w:jc w:val="center"/>
                    <w:rPr>
                      <w:rFonts w:hint="eastAsia"/>
                      <w:color w:val="000000" w:themeColor="text1"/>
                      <w:highlight w:val="none"/>
                      <w14:textFill>
                        <w14:solidFill>
                          <w14:schemeClr w14:val="tx1"/>
                        </w14:solidFill>
                      </w14:textFill>
                    </w:rPr>
                  </w:pPr>
                </w:p>
              </w:tc>
              <w:tc>
                <w:tcPr>
                  <w:tcW w:w="3420" w:type="dxa"/>
                  <w:vAlign w:val="center"/>
                </w:tcPr>
                <w:p w14:paraId="32BA9F66">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数字电子设备</w:t>
                  </w:r>
                </w:p>
              </w:tc>
              <w:tc>
                <w:tcPr>
                  <w:tcW w:w="2928" w:type="dxa"/>
                  <w:vMerge w:val="continue"/>
                  <w:vAlign w:val="center"/>
                </w:tcPr>
                <w:p w14:paraId="521374F8">
                  <w:pPr>
                    <w:bidi w:val="0"/>
                    <w:jc w:val="both"/>
                    <w:rPr>
                      <w:rFonts w:hint="eastAsia"/>
                      <w:color w:val="000000" w:themeColor="text1"/>
                      <w:highlight w:val="none"/>
                      <w14:textFill>
                        <w14:solidFill>
                          <w14:schemeClr w14:val="tx1"/>
                        </w14:solidFill>
                      </w14:textFill>
                    </w:rPr>
                  </w:pPr>
                </w:p>
              </w:tc>
            </w:tr>
            <w:tr w14:paraId="1369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restart"/>
                  <w:vAlign w:val="center"/>
                </w:tcPr>
                <w:p w14:paraId="117611AA">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智能型机械制造产业</w:t>
                  </w:r>
                </w:p>
              </w:tc>
              <w:tc>
                <w:tcPr>
                  <w:tcW w:w="3420" w:type="dxa"/>
                  <w:vAlign w:val="center"/>
                </w:tcPr>
                <w:p w14:paraId="2FC4B9EC">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智能电网成套设备及配套产业制造</w:t>
                  </w:r>
                </w:p>
              </w:tc>
              <w:tc>
                <w:tcPr>
                  <w:tcW w:w="2928" w:type="dxa"/>
                  <w:vMerge w:val="restart"/>
                  <w:vAlign w:val="center"/>
                </w:tcPr>
                <w:p w14:paraId="16B616EA">
                  <w:pPr>
                    <w:bidi w:val="0"/>
                    <w:jc w:val="both"/>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推荐，建议园区形成产业配置适宜的机械制造产业集群。</w:t>
                  </w:r>
                </w:p>
              </w:tc>
            </w:tr>
            <w:tr w14:paraId="4697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5FD2C925">
                  <w:pPr>
                    <w:bidi w:val="0"/>
                    <w:jc w:val="center"/>
                    <w:rPr>
                      <w:rFonts w:hint="eastAsia"/>
                      <w:color w:val="000000" w:themeColor="text1"/>
                      <w:highlight w:val="none"/>
                      <w14:textFill>
                        <w14:solidFill>
                          <w14:schemeClr w14:val="tx1"/>
                        </w14:solidFill>
                      </w14:textFill>
                    </w:rPr>
                  </w:pPr>
                </w:p>
              </w:tc>
              <w:tc>
                <w:tcPr>
                  <w:tcW w:w="3420" w:type="dxa"/>
                  <w:vAlign w:val="center"/>
                </w:tcPr>
                <w:p w14:paraId="04705EAE">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智能化仪表仪器制造</w:t>
                  </w:r>
                </w:p>
              </w:tc>
              <w:tc>
                <w:tcPr>
                  <w:tcW w:w="2928" w:type="dxa"/>
                  <w:vMerge w:val="continue"/>
                  <w:vAlign w:val="center"/>
                </w:tcPr>
                <w:p w14:paraId="79895E65">
                  <w:pPr>
                    <w:bidi w:val="0"/>
                    <w:jc w:val="center"/>
                    <w:rPr>
                      <w:rFonts w:hint="eastAsia"/>
                      <w:color w:val="000000" w:themeColor="text1"/>
                      <w:highlight w:val="none"/>
                      <w14:textFill>
                        <w14:solidFill>
                          <w14:schemeClr w14:val="tx1"/>
                        </w14:solidFill>
                      </w14:textFill>
                    </w:rPr>
                  </w:pPr>
                </w:p>
              </w:tc>
            </w:tr>
            <w:tr w14:paraId="411D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14F7AFF3">
                  <w:pPr>
                    <w:bidi w:val="0"/>
                    <w:jc w:val="center"/>
                    <w:rPr>
                      <w:rFonts w:hint="eastAsia"/>
                      <w:color w:val="000000" w:themeColor="text1"/>
                      <w:highlight w:val="none"/>
                      <w14:textFill>
                        <w14:solidFill>
                          <w14:schemeClr w14:val="tx1"/>
                        </w14:solidFill>
                      </w14:textFill>
                    </w:rPr>
                  </w:pPr>
                </w:p>
              </w:tc>
              <w:tc>
                <w:tcPr>
                  <w:tcW w:w="3420" w:type="dxa"/>
                  <w:vAlign w:val="center"/>
                </w:tcPr>
                <w:p w14:paraId="366B1DF4">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数控机床产业</w:t>
                  </w:r>
                </w:p>
              </w:tc>
              <w:tc>
                <w:tcPr>
                  <w:tcW w:w="2928" w:type="dxa"/>
                  <w:vMerge w:val="continue"/>
                  <w:vAlign w:val="center"/>
                </w:tcPr>
                <w:p w14:paraId="7FE64E05">
                  <w:pPr>
                    <w:bidi w:val="0"/>
                    <w:jc w:val="center"/>
                    <w:rPr>
                      <w:rFonts w:hint="eastAsia"/>
                      <w:color w:val="000000" w:themeColor="text1"/>
                      <w:highlight w:val="none"/>
                      <w14:textFill>
                        <w14:solidFill>
                          <w14:schemeClr w14:val="tx1"/>
                        </w14:solidFill>
                      </w14:textFill>
                    </w:rPr>
                  </w:pPr>
                </w:p>
              </w:tc>
            </w:tr>
            <w:tr w14:paraId="5671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1E8CDA05">
                  <w:pPr>
                    <w:bidi w:val="0"/>
                    <w:jc w:val="center"/>
                    <w:rPr>
                      <w:rFonts w:hint="eastAsia"/>
                      <w:color w:val="000000" w:themeColor="text1"/>
                      <w:highlight w:val="none"/>
                      <w14:textFill>
                        <w14:solidFill>
                          <w14:schemeClr w14:val="tx1"/>
                        </w14:solidFill>
                      </w14:textFill>
                    </w:rPr>
                  </w:pPr>
                </w:p>
              </w:tc>
              <w:tc>
                <w:tcPr>
                  <w:tcW w:w="3420" w:type="dxa"/>
                  <w:vAlign w:val="center"/>
                </w:tcPr>
                <w:p w14:paraId="48EF156C">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工程机械、轨道交通运输装备</w:t>
                  </w:r>
                </w:p>
              </w:tc>
              <w:tc>
                <w:tcPr>
                  <w:tcW w:w="2928" w:type="dxa"/>
                  <w:vMerge w:val="continue"/>
                  <w:vAlign w:val="center"/>
                </w:tcPr>
                <w:p w14:paraId="6CF928E0">
                  <w:pPr>
                    <w:bidi w:val="0"/>
                    <w:jc w:val="center"/>
                    <w:rPr>
                      <w:rFonts w:hint="eastAsia"/>
                      <w:color w:val="000000" w:themeColor="text1"/>
                      <w:highlight w:val="none"/>
                      <w14:textFill>
                        <w14:solidFill>
                          <w14:schemeClr w14:val="tx1"/>
                        </w14:solidFill>
                      </w14:textFill>
                    </w:rPr>
                  </w:pPr>
                </w:p>
              </w:tc>
            </w:tr>
            <w:tr w14:paraId="34B4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11F434F6">
                  <w:pPr>
                    <w:bidi w:val="0"/>
                    <w:jc w:val="center"/>
                    <w:rPr>
                      <w:rFonts w:hint="eastAsia"/>
                      <w:color w:val="000000" w:themeColor="text1"/>
                      <w:highlight w:val="none"/>
                      <w14:textFill>
                        <w14:solidFill>
                          <w14:schemeClr w14:val="tx1"/>
                        </w14:solidFill>
                      </w14:textFill>
                    </w:rPr>
                  </w:pPr>
                </w:p>
              </w:tc>
              <w:tc>
                <w:tcPr>
                  <w:tcW w:w="3420" w:type="dxa"/>
                  <w:vAlign w:val="center"/>
                </w:tcPr>
                <w:p w14:paraId="602F9D6D">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港口机械、环保及清洁能源装备</w:t>
                  </w:r>
                </w:p>
              </w:tc>
              <w:tc>
                <w:tcPr>
                  <w:tcW w:w="2928" w:type="dxa"/>
                  <w:vMerge w:val="continue"/>
                  <w:vAlign w:val="center"/>
                </w:tcPr>
                <w:p w14:paraId="59C1BB25">
                  <w:pPr>
                    <w:bidi w:val="0"/>
                    <w:jc w:val="center"/>
                    <w:rPr>
                      <w:rFonts w:hint="eastAsia"/>
                      <w:color w:val="000000" w:themeColor="text1"/>
                      <w:highlight w:val="none"/>
                      <w14:textFill>
                        <w14:solidFill>
                          <w14:schemeClr w14:val="tx1"/>
                        </w14:solidFill>
                      </w14:textFill>
                    </w:rPr>
                  </w:pPr>
                </w:p>
              </w:tc>
            </w:tr>
            <w:tr w14:paraId="4B04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7069DB85">
                  <w:pPr>
                    <w:bidi w:val="0"/>
                    <w:jc w:val="center"/>
                    <w:rPr>
                      <w:rFonts w:hint="eastAsia"/>
                      <w:color w:val="000000" w:themeColor="text1"/>
                      <w:highlight w:val="none"/>
                      <w14:textFill>
                        <w14:solidFill>
                          <w14:schemeClr w14:val="tx1"/>
                        </w14:solidFill>
                      </w14:textFill>
                    </w:rPr>
                  </w:pPr>
                </w:p>
              </w:tc>
              <w:tc>
                <w:tcPr>
                  <w:tcW w:w="3420" w:type="dxa"/>
                  <w:vAlign w:val="center"/>
                </w:tcPr>
                <w:p w14:paraId="77BEF5BF">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汽车和船舶零部件</w:t>
                  </w:r>
                </w:p>
              </w:tc>
              <w:tc>
                <w:tcPr>
                  <w:tcW w:w="2928" w:type="dxa"/>
                  <w:vMerge w:val="continue"/>
                  <w:vAlign w:val="center"/>
                </w:tcPr>
                <w:p w14:paraId="70ECA63B">
                  <w:pPr>
                    <w:bidi w:val="0"/>
                    <w:jc w:val="center"/>
                    <w:rPr>
                      <w:rFonts w:hint="eastAsia"/>
                      <w:color w:val="000000" w:themeColor="text1"/>
                      <w:highlight w:val="none"/>
                      <w14:textFill>
                        <w14:solidFill>
                          <w14:schemeClr w14:val="tx1"/>
                        </w14:solidFill>
                      </w14:textFill>
                    </w:rPr>
                  </w:pPr>
                </w:p>
              </w:tc>
            </w:tr>
            <w:tr w14:paraId="20B0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vMerge w:val="continue"/>
                  <w:vAlign w:val="center"/>
                </w:tcPr>
                <w:p w14:paraId="4B5FFCE8">
                  <w:pPr>
                    <w:bidi w:val="0"/>
                    <w:jc w:val="center"/>
                    <w:rPr>
                      <w:rFonts w:hint="eastAsia"/>
                      <w:color w:val="000000" w:themeColor="text1"/>
                      <w:highlight w:val="none"/>
                      <w14:textFill>
                        <w14:solidFill>
                          <w14:schemeClr w14:val="tx1"/>
                        </w14:solidFill>
                      </w14:textFill>
                    </w:rPr>
                  </w:pPr>
                </w:p>
              </w:tc>
              <w:tc>
                <w:tcPr>
                  <w:tcW w:w="3420" w:type="dxa"/>
                  <w:vAlign w:val="center"/>
                </w:tcPr>
                <w:p w14:paraId="6B9E6A20">
                  <w:pPr>
                    <w:bidi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智能化测量及自动控制装备制造业</w:t>
                  </w:r>
                </w:p>
              </w:tc>
              <w:tc>
                <w:tcPr>
                  <w:tcW w:w="2928" w:type="dxa"/>
                  <w:vMerge w:val="continue"/>
                  <w:vAlign w:val="center"/>
                </w:tcPr>
                <w:p w14:paraId="566D3A50">
                  <w:pPr>
                    <w:bidi w:val="0"/>
                    <w:jc w:val="center"/>
                    <w:rPr>
                      <w:rFonts w:hint="eastAsia"/>
                      <w:color w:val="000000" w:themeColor="text1"/>
                      <w:highlight w:val="none"/>
                      <w14:textFill>
                        <w14:solidFill>
                          <w14:schemeClr w14:val="tx1"/>
                        </w14:solidFill>
                      </w14:textFill>
                    </w:rPr>
                  </w:pPr>
                </w:p>
              </w:tc>
            </w:tr>
          </w:tbl>
          <w:p w14:paraId="0EC49D50">
            <w:pPr>
              <w:autoSpaceDE w:val="0"/>
              <w:autoSpaceDN w:val="0"/>
              <w:adjustRightInd w:val="0"/>
              <w:snapToGrid w:val="0"/>
              <w:spacing w:before="120" w:beforeLines="50" w:line="360" w:lineRule="auto"/>
              <w:jc w:val="center"/>
              <w:rPr>
                <w:rFonts w:hint="eastAsia" w:ascii="宋体" w:cs="宋体"/>
                <w:color w:val="000000" w:themeColor="text1"/>
                <w:kern w:val="0"/>
                <w:sz w:val="24"/>
                <w:szCs w:val="21"/>
                <w:highlight w:val="none"/>
                <w14:textFill>
                  <w14:solidFill>
                    <w14:schemeClr w14:val="tx1"/>
                  </w14:solidFill>
                </w14:textFill>
              </w:rPr>
            </w:pPr>
            <w:r>
              <w:rPr>
                <w:b/>
                <w:color w:val="000000" w:themeColor="text1"/>
                <w:kern w:val="0"/>
                <w:sz w:val="24"/>
                <w:szCs w:val="24"/>
                <w:highlight w:val="none"/>
                <w14:textFill>
                  <w14:solidFill>
                    <w14:schemeClr w14:val="tx1"/>
                  </w14:solidFill>
                </w14:textFill>
              </w:rPr>
              <w:t>表</w:t>
            </w:r>
            <w:r>
              <w:rPr>
                <w:rFonts w:hint="eastAsia"/>
                <w:b/>
                <w:color w:val="000000" w:themeColor="text1"/>
                <w:kern w:val="0"/>
                <w:sz w:val="24"/>
                <w:szCs w:val="24"/>
                <w:highlight w:val="none"/>
                <w14:textFill>
                  <w14:solidFill>
                    <w14:schemeClr w14:val="tx1"/>
                  </w14:solidFill>
                </w14:textFill>
              </w:rPr>
              <w:t xml:space="preserve"> </w:t>
            </w:r>
            <w:r>
              <w:rPr>
                <w:b/>
                <w:color w:val="000000" w:themeColor="text1"/>
                <w:kern w:val="0"/>
                <w:sz w:val="24"/>
                <w:szCs w:val="24"/>
                <w:highlight w:val="none"/>
                <w14:textFill>
                  <w14:solidFill>
                    <w14:schemeClr w14:val="tx1"/>
                  </w14:solidFill>
                </w14:textFill>
              </w:rPr>
              <w:t>1-</w:t>
            </w:r>
            <w:r>
              <w:rPr>
                <w:rFonts w:hint="eastAsia"/>
                <w:b/>
                <w:color w:val="000000" w:themeColor="text1"/>
                <w:kern w:val="0"/>
                <w:sz w:val="24"/>
                <w:szCs w:val="24"/>
                <w:highlight w:val="none"/>
                <w:lang w:val="en-US" w:eastAsia="zh-CN"/>
                <w14:textFill>
                  <w14:solidFill>
                    <w14:schemeClr w14:val="tx1"/>
                  </w14:solidFill>
                </w14:textFill>
              </w:rPr>
              <w:t>3</w:t>
            </w:r>
            <w:r>
              <w:rPr>
                <w:b/>
                <w:color w:val="000000" w:themeColor="text1"/>
                <w:kern w:val="0"/>
                <w:sz w:val="24"/>
                <w:szCs w:val="24"/>
                <w:highlight w:val="none"/>
                <w14:textFill>
                  <w14:solidFill>
                    <w14:schemeClr w14:val="tx1"/>
                  </w14:solidFill>
                </w14:textFill>
              </w:rPr>
              <w:t xml:space="preserve">  福州生物医药及机电产业园产业环保准入条件符合性分析</w:t>
            </w:r>
          </w:p>
          <w:tbl>
            <w:tblPr>
              <w:tblStyle w:val="30"/>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79"/>
              <w:gridCol w:w="1245"/>
              <w:gridCol w:w="795"/>
              <w:gridCol w:w="570"/>
              <w:gridCol w:w="570"/>
              <w:gridCol w:w="570"/>
              <w:gridCol w:w="705"/>
              <w:gridCol w:w="2220"/>
              <w:gridCol w:w="678"/>
            </w:tblGrid>
            <w:tr w14:paraId="4222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824" w:type="dxa"/>
                  <w:gridSpan w:val="2"/>
                  <w:tcBorders>
                    <w:tl2br w:val="nil"/>
                    <w:tr2bl w:val="nil"/>
                  </w:tcBorders>
                  <w:shd w:val="clear" w:color="auto" w:fill="auto"/>
                  <w:vAlign w:val="center"/>
                </w:tcPr>
                <w:p w14:paraId="2D1DEE3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片区</w:t>
                  </w:r>
                </w:p>
              </w:tc>
              <w:tc>
                <w:tcPr>
                  <w:tcW w:w="5430" w:type="dxa"/>
                  <w:gridSpan w:val="6"/>
                  <w:tcBorders>
                    <w:tl2br w:val="nil"/>
                    <w:tr2bl w:val="nil"/>
                  </w:tcBorders>
                  <w:shd w:val="clear" w:color="auto" w:fill="auto"/>
                  <w:vAlign w:val="center"/>
                </w:tcPr>
                <w:p w14:paraId="38132B4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机电</w:t>
                  </w:r>
                </w:p>
              </w:tc>
              <w:tc>
                <w:tcPr>
                  <w:tcW w:w="678" w:type="dxa"/>
                  <w:vMerge w:val="restart"/>
                  <w:tcBorders>
                    <w:tl2br w:val="nil"/>
                    <w:tr2bl w:val="nil"/>
                  </w:tcBorders>
                  <w:shd w:val="clear" w:color="auto" w:fill="auto"/>
                  <w:vAlign w:val="center"/>
                </w:tcPr>
                <w:p w14:paraId="4F3531A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符合性分析</w:t>
                  </w:r>
                </w:p>
              </w:tc>
            </w:tr>
            <w:tr w14:paraId="0959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824" w:type="dxa"/>
                  <w:gridSpan w:val="2"/>
                  <w:tcBorders>
                    <w:tl2br w:val="nil"/>
                    <w:tr2bl w:val="nil"/>
                  </w:tcBorders>
                  <w:shd w:val="clear" w:color="auto" w:fill="auto"/>
                  <w:vAlign w:val="center"/>
                </w:tcPr>
                <w:p w14:paraId="5EE8309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规划产业</w:t>
                  </w:r>
                </w:p>
              </w:tc>
              <w:tc>
                <w:tcPr>
                  <w:tcW w:w="3210" w:type="dxa"/>
                  <w:gridSpan w:val="5"/>
                  <w:tcBorders>
                    <w:tl2br w:val="nil"/>
                    <w:tr2bl w:val="nil"/>
                  </w:tcBorders>
                  <w:shd w:val="clear" w:color="auto" w:fill="auto"/>
                  <w:vAlign w:val="center"/>
                </w:tcPr>
                <w:p w14:paraId="2EF32BC5">
                  <w:pPr>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科研型光电、通信产业</w:t>
                  </w:r>
                </w:p>
              </w:tc>
              <w:tc>
                <w:tcPr>
                  <w:tcW w:w="2220" w:type="dxa"/>
                  <w:tcBorders>
                    <w:tl2br w:val="nil"/>
                    <w:tr2bl w:val="nil"/>
                  </w:tcBorders>
                  <w:shd w:val="clear" w:color="auto" w:fill="auto"/>
                  <w:vAlign w:val="center"/>
                </w:tcPr>
                <w:p w14:paraId="7396457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本项</w:t>
                  </w:r>
                  <w:r>
                    <w:rPr>
                      <w:rStyle w:val="101"/>
                      <w:color w:val="000000" w:themeColor="text1"/>
                      <w:highlight w:val="none"/>
                      <w:lang w:val="en-US" w:eastAsia="zh-CN" w:bidi="ar"/>
                      <w14:textFill>
                        <w14:solidFill>
                          <w14:schemeClr w14:val="tx1"/>
                        </w14:solidFill>
                      </w14:textFill>
                    </w:rPr>
                    <w:t>目</w:t>
                  </w:r>
                </w:p>
              </w:tc>
              <w:tc>
                <w:tcPr>
                  <w:tcW w:w="678" w:type="dxa"/>
                  <w:vMerge w:val="continue"/>
                  <w:tcBorders>
                    <w:tl2br w:val="nil"/>
                    <w:tr2bl w:val="nil"/>
                  </w:tcBorders>
                  <w:shd w:val="clear" w:color="auto" w:fill="auto"/>
                  <w:vAlign w:val="center"/>
                </w:tcPr>
                <w:p w14:paraId="6498121B">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2390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restart"/>
                  <w:tcBorders>
                    <w:tl2br w:val="nil"/>
                    <w:tr2bl w:val="nil"/>
                  </w:tcBorders>
                  <w:shd w:val="clear" w:color="auto" w:fill="auto"/>
                  <w:vAlign w:val="center"/>
                </w:tcPr>
                <w:p w14:paraId="5346140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准入条件</w:t>
                  </w:r>
                </w:p>
              </w:tc>
              <w:tc>
                <w:tcPr>
                  <w:tcW w:w="1245" w:type="dxa"/>
                  <w:tcBorders>
                    <w:tl2br w:val="nil"/>
                    <w:tr2bl w:val="nil"/>
                  </w:tcBorders>
                  <w:shd w:val="clear" w:color="auto" w:fill="auto"/>
                  <w:vAlign w:val="center"/>
                </w:tcPr>
                <w:p w14:paraId="0BCBAD0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产业小类</w:t>
                  </w:r>
                </w:p>
              </w:tc>
              <w:tc>
                <w:tcPr>
                  <w:tcW w:w="795" w:type="dxa"/>
                  <w:tcBorders>
                    <w:tl2br w:val="nil"/>
                    <w:tr2bl w:val="nil"/>
                  </w:tcBorders>
                  <w:shd w:val="clear" w:color="auto" w:fill="auto"/>
                  <w:vAlign w:val="center"/>
                </w:tcPr>
                <w:p w14:paraId="6E8CB87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液晶、发光二极管显示屏</w:t>
                  </w:r>
                </w:p>
              </w:tc>
              <w:tc>
                <w:tcPr>
                  <w:tcW w:w="570" w:type="dxa"/>
                  <w:tcBorders>
                    <w:tl2br w:val="nil"/>
                    <w:tr2bl w:val="nil"/>
                  </w:tcBorders>
                  <w:shd w:val="clear" w:color="auto" w:fill="auto"/>
                  <w:vAlign w:val="center"/>
                </w:tcPr>
                <w:p w14:paraId="45C8D2A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光电器件</w:t>
                  </w:r>
                </w:p>
              </w:tc>
              <w:tc>
                <w:tcPr>
                  <w:tcW w:w="570" w:type="dxa"/>
                  <w:tcBorders>
                    <w:tl2br w:val="nil"/>
                    <w:tr2bl w:val="nil"/>
                  </w:tcBorders>
                  <w:shd w:val="clear" w:color="auto" w:fill="auto"/>
                  <w:vAlign w:val="center"/>
                </w:tcPr>
                <w:p w14:paraId="2260EC0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激光产业</w:t>
                  </w:r>
                </w:p>
              </w:tc>
              <w:tc>
                <w:tcPr>
                  <w:tcW w:w="570" w:type="dxa"/>
                  <w:tcBorders>
                    <w:tl2br w:val="nil"/>
                    <w:tr2bl w:val="nil"/>
                  </w:tcBorders>
                  <w:shd w:val="clear" w:color="auto" w:fill="auto"/>
                  <w:vAlign w:val="center"/>
                </w:tcPr>
                <w:p w14:paraId="495A94F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光学产业</w:t>
                  </w:r>
                </w:p>
              </w:tc>
              <w:tc>
                <w:tcPr>
                  <w:tcW w:w="705" w:type="dxa"/>
                  <w:tcBorders>
                    <w:tl2br w:val="nil"/>
                    <w:tr2bl w:val="nil"/>
                  </w:tcBorders>
                  <w:shd w:val="clear" w:color="auto" w:fill="auto"/>
                  <w:vAlign w:val="center"/>
                </w:tcPr>
                <w:p w14:paraId="7C87515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数字电子设备</w:t>
                  </w:r>
                </w:p>
              </w:tc>
              <w:tc>
                <w:tcPr>
                  <w:tcW w:w="2220" w:type="dxa"/>
                  <w:tcBorders>
                    <w:tl2br w:val="nil"/>
                    <w:tr2bl w:val="nil"/>
                  </w:tcBorders>
                  <w:shd w:val="clear" w:color="auto" w:fill="auto"/>
                  <w:vAlign w:val="center"/>
                </w:tcPr>
                <w:p w14:paraId="10494AD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光电器件</w:t>
                  </w:r>
                </w:p>
              </w:tc>
              <w:tc>
                <w:tcPr>
                  <w:tcW w:w="678" w:type="dxa"/>
                  <w:vMerge w:val="continue"/>
                  <w:tcBorders>
                    <w:tl2br w:val="nil"/>
                    <w:tr2bl w:val="nil"/>
                  </w:tcBorders>
                  <w:shd w:val="clear" w:color="auto" w:fill="auto"/>
                  <w:vAlign w:val="center"/>
                </w:tcPr>
                <w:p w14:paraId="43C634AE">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0B90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3699FF57">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7C8B252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生产规模、工艺、产品</w:t>
                  </w:r>
                </w:p>
              </w:tc>
              <w:tc>
                <w:tcPr>
                  <w:tcW w:w="3210" w:type="dxa"/>
                  <w:gridSpan w:val="5"/>
                  <w:tcBorders>
                    <w:tl2br w:val="nil"/>
                    <w:tr2bl w:val="nil"/>
                  </w:tcBorders>
                  <w:shd w:val="clear" w:color="auto" w:fill="auto"/>
                  <w:vAlign w:val="center"/>
                </w:tcPr>
                <w:p w14:paraId="140AFB94">
                  <w:pPr>
                    <w:keepNext w:val="0"/>
                    <w:keepLines w:val="0"/>
                    <w:widowControl/>
                    <w:suppressLineNumbers w:val="0"/>
                    <w:jc w:val="both"/>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Style w:val="101"/>
                      <w:color w:val="000000" w:themeColor="text1"/>
                      <w:highlight w:val="none"/>
                      <w:lang w:val="en-US" w:eastAsia="zh-CN" w:bidi="ar"/>
                      <w14:textFill>
                        <w14:solidFill>
                          <w14:schemeClr w14:val="tx1"/>
                        </w14:solidFill>
                      </w14:textFill>
                    </w:rPr>
                    <w:t>、配套电镀工序须执行福州市有关文件要求；</w:t>
                  </w:r>
                  <w:r>
                    <w:rPr>
                      <w:rStyle w:val="102"/>
                      <w:rFonts w:eastAsia="宋体"/>
                      <w:color w:val="000000" w:themeColor="text1"/>
                      <w:highlight w:val="none"/>
                      <w:lang w:val="en-US" w:eastAsia="zh-CN" w:bidi="ar"/>
                      <w14:textFill>
                        <w14:solidFill>
                          <w14:schemeClr w14:val="tx1"/>
                        </w14:solidFill>
                      </w14:textFill>
                    </w:rPr>
                    <w:t>2</w:t>
                  </w:r>
                  <w:r>
                    <w:rPr>
                      <w:rStyle w:val="101"/>
                      <w:color w:val="000000" w:themeColor="text1"/>
                      <w:highlight w:val="none"/>
                      <w:lang w:val="en-US" w:eastAsia="zh-CN" w:bidi="ar"/>
                      <w14:textFill>
                        <w14:solidFill>
                          <w14:schemeClr w14:val="tx1"/>
                        </w14:solidFill>
                      </w14:textFill>
                    </w:rPr>
                    <w:t>、规模限制按照产 品不同参考《产业结构调整目录》；</w:t>
                  </w:r>
                  <w:r>
                    <w:rPr>
                      <w:rStyle w:val="102"/>
                      <w:rFonts w:eastAsia="宋体"/>
                      <w:color w:val="000000" w:themeColor="text1"/>
                      <w:highlight w:val="none"/>
                      <w:lang w:val="en-US" w:eastAsia="zh-CN" w:bidi="ar"/>
                      <w14:textFill>
                        <w14:solidFill>
                          <w14:schemeClr w14:val="tx1"/>
                        </w14:solidFill>
                      </w14:textFill>
                    </w:rPr>
                    <w:t>3</w:t>
                  </w:r>
                  <w:r>
                    <w:rPr>
                      <w:rStyle w:val="101"/>
                      <w:color w:val="000000" w:themeColor="text1"/>
                      <w:highlight w:val="none"/>
                      <w:lang w:val="en-US" w:eastAsia="zh-CN" w:bidi="ar"/>
                      <w14:textFill>
                        <w14:solidFill>
                          <w14:schemeClr w14:val="tx1"/>
                        </w14:solidFill>
                      </w14:textFill>
                    </w:rPr>
                    <w:t>、限制产生酸性气体的行业；</w:t>
                  </w:r>
                  <w:r>
                    <w:rPr>
                      <w:rStyle w:val="102"/>
                      <w:rFonts w:eastAsia="宋体"/>
                      <w:color w:val="000000" w:themeColor="text1"/>
                      <w:highlight w:val="none"/>
                      <w:lang w:val="en-US" w:eastAsia="zh-CN" w:bidi="ar"/>
                      <w14:textFill>
                        <w14:solidFill>
                          <w14:schemeClr w14:val="tx1"/>
                        </w14:solidFill>
                      </w14:textFill>
                    </w:rPr>
                    <w:t>4</w:t>
                  </w:r>
                  <w:r>
                    <w:rPr>
                      <w:rStyle w:val="101"/>
                      <w:color w:val="000000" w:themeColor="text1"/>
                      <w:highlight w:val="none"/>
                      <w:lang w:val="en-US" w:eastAsia="zh-CN" w:bidi="ar"/>
                      <w14:textFill>
                        <w14:solidFill>
                          <w14:schemeClr w14:val="tx1"/>
                        </w14:solidFill>
                      </w14:textFill>
                    </w:rPr>
                    <w:t>、排放特殊污染物的行业需自行处 理废水达到污水处理厂收纳废水的标准；</w:t>
                  </w:r>
                  <w:r>
                    <w:rPr>
                      <w:rStyle w:val="102"/>
                      <w:rFonts w:eastAsia="宋体"/>
                      <w:color w:val="000000" w:themeColor="text1"/>
                      <w:highlight w:val="none"/>
                      <w:lang w:val="en-US" w:eastAsia="zh-CN" w:bidi="ar"/>
                      <w14:textFill>
                        <w14:solidFill>
                          <w14:schemeClr w14:val="tx1"/>
                        </w14:solidFill>
                      </w14:textFill>
                    </w:rPr>
                    <w:t>5</w:t>
                  </w:r>
                  <w:r>
                    <w:rPr>
                      <w:rStyle w:val="101"/>
                      <w:color w:val="000000" w:themeColor="text1"/>
                      <w:highlight w:val="none"/>
                      <w:lang w:val="en-US" w:eastAsia="zh-CN" w:bidi="ar"/>
                      <w14:textFill>
                        <w14:solidFill>
                          <w14:schemeClr w14:val="tx1"/>
                        </w14:solidFill>
                      </w14:textFill>
                    </w:rPr>
                    <w:t>、引进企业清洁生产水平必须达到国内先进及以上水平。</w:t>
                  </w:r>
                </w:p>
              </w:tc>
              <w:tc>
                <w:tcPr>
                  <w:tcW w:w="2220" w:type="dxa"/>
                  <w:tcBorders>
                    <w:tl2br w:val="nil"/>
                    <w:tr2bl w:val="nil"/>
                  </w:tcBorders>
                  <w:shd w:val="clear" w:color="auto" w:fill="auto"/>
                  <w:vAlign w:val="center"/>
                </w:tcPr>
                <w:p w14:paraId="3CD8C6B5">
                  <w:pPr>
                    <w:keepNext w:val="0"/>
                    <w:keepLines w:val="0"/>
                    <w:widowControl/>
                    <w:suppressLineNumbers w:val="0"/>
                    <w:jc w:val="both"/>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项目不涉及电镀工艺，规模符合《产业结构调整目录》，产生酸性气体很小，工业废水经自建废水处理设施处理达标后，送往福州大学城污水处理厂集中处理，企业清洁生</w:t>
                  </w:r>
                  <w:r>
                    <w:rPr>
                      <w:rStyle w:val="101"/>
                      <w:color w:val="000000" w:themeColor="text1"/>
                      <w:highlight w:val="none"/>
                      <w:lang w:val="en-US" w:eastAsia="zh-CN" w:bidi="ar"/>
                      <w14:textFill>
                        <w14:solidFill>
                          <w14:schemeClr w14:val="tx1"/>
                        </w14:solidFill>
                      </w14:textFill>
                    </w:rPr>
                    <w:t>产水平达到国内先进水平。</w:t>
                  </w:r>
                </w:p>
              </w:tc>
              <w:tc>
                <w:tcPr>
                  <w:tcW w:w="678" w:type="dxa"/>
                  <w:tcBorders>
                    <w:tl2br w:val="nil"/>
                    <w:tr2bl w:val="nil"/>
                  </w:tcBorders>
                  <w:shd w:val="clear" w:color="auto" w:fill="auto"/>
                  <w:vAlign w:val="center"/>
                </w:tcPr>
                <w:p w14:paraId="09FA630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1872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4896110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5CD0651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土地投资强度</w:t>
                  </w:r>
                  <w:r>
                    <w:rPr>
                      <w:rStyle w:val="101"/>
                      <w:color w:val="000000" w:themeColor="text1"/>
                      <w:highlight w:val="none"/>
                      <w:lang w:val="en-US" w:eastAsia="zh-CN" w:bidi="ar"/>
                      <w14:textFill>
                        <w14:solidFill>
                          <w14:schemeClr w14:val="tx1"/>
                        </w14:solidFill>
                      </w14:textFill>
                    </w:rPr>
                    <w:t>万元</w:t>
                  </w:r>
                  <w:r>
                    <w:rPr>
                      <w:rStyle w:val="102"/>
                      <w:rFonts w:eastAsia="宋体"/>
                      <w:color w:val="000000" w:themeColor="text1"/>
                      <w:highlight w:val="none"/>
                      <w:lang w:val="en-US" w:eastAsia="zh-CN" w:bidi="ar"/>
                      <w14:textFill>
                        <w14:solidFill>
                          <w14:schemeClr w14:val="tx1"/>
                        </w14:solidFill>
                      </w14:textFill>
                    </w:rPr>
                    <w:t>/</w:t>
                  </w:r>
                  <w:r>
                    <w:rPr>
                      <w:rStyle w:val="101"/>
                      <w:color w:val="000000" w:themeColor="text1"/>
                      <w:highlight w:val="none"/>
                      <w:lang w:val="en-US" w:eastAsia="zh-CN" w:bidi="ar"/>
                      <w14:textFill>
                        <w14:solidFill>
                          <w14:schemeClr w14:val="tx1"/>
                        </w14:solidFill>
                      </w14:textFill>
                    </w:rPr>
                    <w:t>亩</w:t>
                  </w:r>
                </w:p>
              </w:tc>
              <w:tc>
                <w:tcPr>
                  <w:tcW w:w="3210" w:type="dxa"/>
                  <w:gridSpan w:val="5"/>
                  <w:tcBorders>
                    <w:tl2br w:val="nil"/>
                    <w:tr2bl w:val="nil"/>
                  </w:tcBorders>
                  <w:shd w:val="clear" w:color="auto" w:fill="auto"/>
                  <w:vAlign w:val="center"/>
                </w:tcPr>
                <w:p w14:paraId="189478A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2220" w:type="dxa"/>
                  <w:tcBorders>
                    <w:tl2br w:val="nil"/>
                    <w:tr2bl w:val="nil"/>
                  </w:tcBorders>
                  <w:shd w:val="clear" w:color="auto" w:fill="auto"/>
                  <w:vAlign w:val="center"/>
                </w:tcPr>
                <w:p w14:paraId="2E871D6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1124</w:t>
                  </w:r>
                </w:p>
              </w:tc>
              <w:tc>
                <w:tcPr>
                  <w:tcW w:w="678" w:type="dxa"/>
                  <w:tcBorders>
                    <w:tl2br w:val="nil"/>
                    <w:tr2bl w:val="nil"/>
                  </w:tcBorders>
                  <w:shd w:val="clear" w:color="auto" w:fill="auto"/>
                  <w:vAlign w:val="center"/>
                </w:tcPr>
                <w:p w14:paraId="28B22A4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67B7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02CD437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120F27B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工业用水重复利用率</w:t>
                  </w:r>
                </w:p>
              </w:tc>
              <w:tc>
                <w:tcPr>
                  <w:tcW w:w="3210" w:type="dxa"/>
                  <w:gridSpan w:val="5"/>
                  <w:tcBorders>
                    <w:tl2br w:val="nil"/>
                    <w:tr2bl w:val="nil"/>
                  </w:tcBorders>
                  <w:shd w:val="clear" w:color="auto" w:fill="auto"/>
                  <w:vAlign w:val="center"/>
                </w:tcPr>
                <w:p w14:paraId="236DFF4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2220" w:type="dxa"/>
                  <w:tcBorders>
                    <w:tl2br w:val="nil"/>
                    <w:tr2bl w:val="nil"/>
                  </w:tcBorders>
                  <w:shd w:val="clear" w:color="auto" w:fill="auto"/>
                  <w:vAlign w:val="center"/>
                </w:tcPr>
                <w:p w14:paraId="3312579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78" w:type="dxa"/>
                  <w:tcBorders>
                    <w:tl2br w:val="nil"/>
                    <w:tr2bl w:val="nil"/>
                  </w:tcBorders>
                  <w:shd w:val="clear" w:color="auto" w:fill="auto"/>
                  <w:vAlign w:val="center"/>
                </w:tcPr>
                <w:p w14:paraId="342EC18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154F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426F9E3F">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4421FDE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新鲜水耗</w:t>
                  </w:r>
                  <w:r>
                    <w:rPr>
                      <w:rStyle w:val="102"/>
                      <w:rFonts w:eastAsia="宋体"/>
                      <w:color w:val="000000" w:themeColor="text1"/>
                      <w:highlight w:val="none"/>
                      <w:lang w:val="en-US" w:eastAsia="zh-CN" w:bidi="ar"/>
                      <w14:textFill>
                        <w14:solidFill>
                          <w14:schemeClr w14:val="tx1"/>
                        </w14:solidFill>
                      </w14:textFill>
                    </w:rPr>
                    <w:t>m</w:t>
                  </w:r>
                  <w:r>
                    <w:rPr>
                      <w:rStyle w:val="103"/>
                      <w:rFonts w:eastAsia="宋体"/>
                      <w:color w:val="000000" w:themeColor="text1"/>
                      <w:highlight w:val="none"/>
                      <w:lang w:val="en-US" w:eastAsia="zh-CN" w:bidi="ar"/>
                      <w14:textFill>
                        <w14:solidFill>
                          <w14:schemeClr w14:val="tx1"/>
                        </w14:solidFill>
                      </w14:textFill>
                    </w:rPr>
                    <w:t>3</w:t>
                  </w:r>
                  <w:r>
                    <w:rPr>
                      <w:rStyle w:val="102"/>
                      <w:rFonts w:eastAsia="宋体"/>
                      <w:color w:val="000000" w:themeColor="text1"/>
                      <w:highlight w:val="none"/>
                      <w:lang w:val="en-US" w:eastAsia="zh-CN" w:bidi="ar"/>
                      <w14:textFill>
                        <w14:solidFill>
                          <w14:schemeClr w14:val="tx1"/>
                        </w14:solidFill>
                      </w14:textFill>
                    </w:rPr>
                    <w:t>/</w:t>
                  </w:r>
                  <w:r>
                    <w:rPr>
                      <w:rStyle w:val="101"/>
                      <w:color w:val="000000" w:themeColor="text1"/>
                      <w:highlight w:val="none"/>
                      <w:lang w:val="en-US" w:eastAsia="zh-CN" w:bidi="ar"/>
                      <w14:textFill>
                        <w14:solidFill>
                          <w14:schemeClr w14:val="tx1"/>
                        </w14:solidFill>
                      </w14:textFill>
                    </w:rPr>
                    <w:t>万元</w:t>
                  </w:r>
                </w:p>
              </w:tc>
              <w:tc>
                <w:tcPr>
                  <w:tcW w:w="3210" w:type="dxa"/>
                  <w:gridSpan w:val="5"/>
                  <w:tcBorders>
                    <w:tl2br w:val="nil"/>
                    <w:tr2bl w:val="nil"/>
                  </w:tcBorders>
                  <w:shd w:val="clear" w:color="auto" w:fill="auto"/>
                  <w:vAlign w:val="center"/>
                </w:tcPr>
                <w:p w14:paraId="4E1D6D9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2220" w:type="dxa"/>
                  <w:tcBorders>
                    <w:tl2br w:val="nil"/>
                    <w:tr2bl w:val="nil"/>
                  </w:tcBorders>
                  <w:shd w:val="clear" w:color="auto" w:fill="auto"/>
                  <w:vAlign w:val="center"/>
                </w:tcPr>
                <w:p w14:paraId="14E8052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0.84</w:t>
                  </w:r>
                </w:p>
              </w:tc>
              <w:tc>
                <w:tcPr>
                  <w:tcW w:w="678" w:type="dxa"/>
                  <w:tcBorders>
                    <w:tl2br w:val="nil"/>
                    <w:tr2bl w:val="nil"/>
                  </w:tcBorders>
                  <w:shd w:val="clear" w:color="auto" w:fill="auto"/>
                  <w:vAlign w:val="center"/>
                </w:tcPr>
                <w:p w14:paraId="0E53456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6A2E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283F0E9F">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68DE05A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综合能耗标准煤</w:t>
                  </w:r>
                  <w:r>
                    <w:rPr>
                      <w:rStyle w:val="102"/>
                      <w:rFonts w:eastAsia="宋体"/>
                      <w:color w:val="000000" w:themeColor="text1"/>
                      <w:highlight w:val="none"/>
                      <w:lang w:val="en-US" w:eastAsia="zh-CN" w:bidi="ar"/>
                      <w14:textFill>
                        <w14:solidFill>
                          <w14:schemeClr w14:val="tx1"/>
                        </w14:solidFill>
                      </w14:textFill>
                    </w:rPr>
                    <w:t>/</w:t>
                  </w:r>
                  <w:r>
                    <w:rPr>
                      <w:rStyle w:val="101"/>
                      <w:color w:val="000000" w:themeColor="text1"/>
                      <w:highlight w:val="none"/>
                      <w:lang w:val="en-US" w:eastAsia="zh-CN" w:bidi="ar"/>
                      <w14:textFill>
                        <w14:solidFill>
                          <w14:schemeClr w14:val="tx1"/>
                        </w14:solidFill>
                      </w14:textFill>
                    </w:rPr>
                    <w:t>万元</w:t>
                  </w:r>
                </w:p>
              </w:tc>
              <w:tc>
                <w:tcPr>
                  <w:tcW w:w="3210" w:type="dxa"/>
                  <w:gridSpan w:val="5"/>
                  <w:tcBorders>
                    <w:tl2br w:val="nil"/>
                    <w:tr2bl w:val="nil"/>
                  </w:tcBorders>
                  <w:shd w:val="clear" w:color="auto" w:fill="auto"/>
                  <w:vAlign w:val="center"/>
                </w:tcPr>
                <w:p w14:paraId="4860412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2220" w:type="dxa"/>
                  <w:tcBorders>
                    <w:tl2br w:val="nil"/>
                    <w:tr2bl w:val="nil"/>
                  </w:tcBorders>
                  <w:shd w:val="clear" w:color="auto" w:fill="auto"/>
                  <w:vAlign w:val="center"/>
                </w:tcPr>
                <w:p w14:paraId="4DE9706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78" w:type="dxa"/>
                  <w:tcBorders>
                    <w:tl2br w:val="nil"/>
                    <w:tr2bl w:val="nil"/>
                  </w:tcBorders>
                  <w:shd w:val="clear" w:color="auto" w:fill="auto"/>
                  <w:vAlign w:val="center"/>
                </w:tcPr>
                <w:p w14:paraId="1E17032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5C62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56AC7581">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17870BF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能源结</w:t>
                  </w:r>
                  <w:r>
                    <w:rPr>
                      <w:rStyle w:val="101"/>
                      <w:color w:val="000000" w:themeColor="text1"/>
                      <w:highlight w:val="none"/>
                      <w:lang w:val="en-US" w:eastAsia="zh-CN" w:bidi="ar"/>
                      <w14:textFill>
                        <w14:solidFill>
                          <w14:schemeClr w14:val="tx1"/>
                        </w14:solidFill>
                      </w14:textFill>
                    </w:rPr>
                    <w:t>构</w:t>
                  </w:r>
                </w:p>
              </w:tc>
              <w:tc>
                <w:tcPr>
                  <w:tcW w:w="3210" w:type="dxa"/>
                  <w:gridSpan w:val="5"/>
                  <w:tcBorders>
                    <w:tl2br w:val="nil"/>
                    <w:tr2bl w:val="nil"/>
                  </w:tcBorders>
                  <w:shd w:val="clear" w:color="auto" w:fill="auto"/>
                  <w:vAlign w:val="center"/>
                </w:tcPr>
                <w:p w14:paraId="6F69A46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集中供热</w:t>
                  </w:r>
                </w:p>
              </w:tc>
              <w:tc>
                <w:tcPr>
                  <w:tcW w:w="2220" w:type="dxa"/>
                  <w:tcBorders>
                    <w:tl2br w:val="nil"/>
                    <w:tr2bl w:val="nil"/>
                  </w:tcBorders>
                  <w:shd w:val="clear" w:color="auto" w:fill="auto"/>
                  <w:vAlign w:val="center"/>
                </w:tcPr>
                <w:p w14:paraId="78AC846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使用电能</w:t>
                  </w:r>
                </w:p>
              </w:tc>
              <w:tc>
                <w:tcPr>
                  <w:tcW w:w="678" w:type="dxa"/>
                  <w:tcBorders>
                    <w:tl2br w:val="nil"/>
                    <w:tr2bl w:val="nil"/>
                  </w:tcBorders>
                  <w:shd w:val="clear" w:color="auto" w:fill="auto"/>
                  <w:vAlign w:val="center"/>
                </w:tcPr>
                <w:p w14:paraId="6633EC7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18D2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3FAEB443">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7EB0AB1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w:t>
                  </w:r>
                  <w:r>
                    <w:rPr>
                      <w:rStyle w:val="104"/>
                      <w:rFonts w:eastAsia="宋体"/>
                      <w:color w:val="000000" w:themeColor="text1"/>
                      <w:highlight w:val="none"/>
                      <w:lang w:val="en-US" w:eastAsia="zh-CN" w:bidi="ar"/>
                      <w14:textFill>
                        <w14:solidFill>
                          <w14:schemeClr w14:val="tx1"/>
                        </w14:solidFill>
                      </w14:textFill>
                    </w:rPr>
                    <w:t>2</w:t>
                  </w:r>
                  <w:r>
                    <w:rPr>
                      <w:rStyle w:val="101"/>
                      <w:color w:val="000000" w:themeColor="text1"/>
                      <w:highlight w:val="none"/>
                      <w:lang w:val="en-US" w:eastAsia="zh-CN" w:bidi="ar"/>
                      <w14:textFill>
                        <w14:solidFill>
                          <w14:schemeClr w14:val="tx1"/>
                        </w14:solidFill>
                      </w14:textFill>
                    </w:rPr>
                    <w:t>排放量</w:t>
                  </w:r>
                  <w:r>
                    <w:rPr>
                      <w:rStyle w:val="102"/>
                      <w:rFonts w:eastAsia="宋体"/>
                      <w:color w:val="000000" w:themeColor="text1"/>
                      <w:highlight w:val="none"/>
                      <w:lang w:val="en-US" w:eastAsia="zh-CN" w:bidi="ar"/>
                      <w14:textFill>
                        <w14:solidFill>
                          <w14:schemeClr w14:val="tx1"/>
                        </w14:solidFill>
                      </w14:textFill>
                    </w:rPr>
                    <w:t>kg/</w:t>
                  </w:r>
                  <w:r>
                    <w:rPr>
                      <w:rStyle w:val="101"/>
                      <w:color w:val="000000" w:themeColor="text1"/>
                      <w:highlight w:val="none"/>
                      <w:lang w:val="en-US" w:eastAsia="zh-CN" w:bidi="ar"/>
                      <w14:textFill>
                        <w14:solidFill>
                          <w14:schemeClr w14:val="tx1"/>
                        </w14:solidFill>
                      </w14:textFill>
                    </w:rPr>
                    <w:t>万元</w:t>
                  </w:r>
                </w:p>
              </w:tc>
              <w:tc>
                <w:tcPr>
                  <w:tcW w:w="3210" w:type="dxa"/>
                  <w:gridSpan w:val="5"/>
                  <w:tcBorders>
                    <w:tl2br w:val="nil"/>
                    <w:tr2bl w:val="nil"/>
                  </w:tcBorders>
                  <w:shd w:val="clear" w:color="auto" w:fill="auto"/>
                  <w:vAlign w:val="center"/>
                </w:tcPr>
                <w:p w14:paraId="79D97D8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2220" w:type="dxa"/>
                  <w:tcBorders>
                    <w:tl2br w:val="nil"/>
                    <w:tr2bl w:val="nil"/>
                  </w:tcBorders>
                  <w:shd w:val="clear" w:color="auto" w:fill="auto"/>
                  <w:vAlign w:val="center"/>
                </w:tcPr>
                <w:p w14:paraId="2D87AB7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不涉及SO</w:t>
                  </w:r>
                  <w:r>
                    <w:rPr>
                      <w:rFonts w:hint="eastAsia"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2</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排放</w:t>
                  </w:r>
                </w:p>
              </w:tc>
              <w:tc>
                <w:tcPr>
                  <w:tcW w:w="678" w:type="dxa"/>
                  <w:tcBorders>
                    <w:tl2br w:val="nil"/>
                    <w:tr2bl w:val="nil"/>
                  </w:tcBorders>
                  <w:shd w:val="clear" w:color="auto" w:fill="auto"/>
                  <w:vAlign w:val="center"/>
                </w:tcPr>
                <w:p w14:paraId="5458A83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0F64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21947548">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3589BF1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r>
                    <w:rPr>
                      <w:rStyle w:val="101"/>
                      <w:color w:val="000000" w:themeColor="text1"/>
                      <w:highlight w:val="none"/>
                      <w:lang w:val="en-US" w:eastAsia="zh-CN" w:bidi="ar"/>
                      <w14:textFill>
                        <w14:solidFill>
                          <w14:schemeClr w14:val="tx1"/>
                        </w14:solidFill>
                      </w14:textFill>
                    </w:rPr>
                    <w:t>排放量</w:t>
                  </w:r>
                  <w:r>
                    <w:rPr>
                      <w:rStyle w:val="102"/>
                      <w:rFonts w:eastAsia="宋体"/>
                      <w:color w:val="000000" w:themeColor="text1"/>
                      <w:highlight w:val="none"/>
                      <w:lang w:val="en-US" w:eastAsia="zh-CN" w:bidi="ar"/>
                      <w14:textFill>
                        <w14:solidFill>
                          <w14:schemeClr w14:val="tx1"/>
                        </w14:solidFill>
                      </w14:textFill>
                    </w:rPr>
                    <w:t>kg/</w:t>
                  </w:r>
                  <w:r>
                    <w:rPr>
                      <w:rStyle w:val="101"/>
                      <w:color w:val="000000" w:themeColor="text1"/>
                      <w:highlight w:val="none"/>
                      <w:lang w:val="en-US" w:eastAsia="zh-CN" w:bidi="ar"/>
                      <w14:textFill>
                        <w14:solidFill>
                          <w14:schemeClr w14:val="tx1"/>
                        </w14:solidFill>
                      </w14:textFill>
                    </w:rPr>
                    <w:t>万元</w:t>
                  </w:r>
                </w:p>
              </w:tc>
              <w:tc>
                <w:tcPr>
                  <w:tcW w:w="3210" w:type="dxa"/>
                  <w:gridSpan w:val="5"/>
                  <w:tcBorders>
                    <w:tl2br w:val="nil"/>
                    <w:tr2bl w:val="nil"/>
                  </w:tcBorders>
                  <w:shd w:val="clear" w:color="auto" w:fill="auto"/>
                  <w:vAlign w:val="center"/>
                </w:tcPr>
                <w:p w14:paraId="4A4A639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2220" w:type="dxa"/>
                  <w:tcBorders>
                    <w:tl2br w:val="nil"/>
                    <w:tr2bl w:val="nil"/>
                  </w:tcBorders>
                  <w:shd w:val="clear" w:color="auto" w:fill="auto"/>
                  <w:vAlign w:val="center"/>
                </w:tcPr>
                <w:p w14:paraId="3A19AA3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0.27</w:t>
                  </w:r>
                </w:p>
              </w:tc>
              <w:tc>
                <w:tcPr>
                  <w:tcW w:w="678" w:type="dxa"/>
                  <w:tcBorders>
                    <w:tl2br w:val="nil"/>
                    <w:tr2bl w:val="nil"/>
                  </w:tcBorders>
                  <w:shd w:val="clear" w:color="auto" w:fill="auto"/>
                  <w:vAlign w:val="center"/>
                </w:tcPr>
                <w:p w14:paraId="2B65C97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58CE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54653540">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2CA318F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工业固废产生量</w:t>
                  </w:r>
                  <w:r>
                    <w:rPr>
                      <w:rStyle w:val="102"/>
                      <w:rFonts w:eastAsia="宋体"/>
                      <w:color w:val="000000" w:themeColor="text1"/>
                      <w:highlight w:val="none"/>
                      <w:lang w:val="en-US" w:eastAsia="zh-CN" w:bidi="ar"/>
                      <w14:textFill>
                        <w14:solidFill>
                          <w14:schemeClr w14:val="tx1"/>
                        </w14:solidFill>
                      </w14:textFill>
                    </w:rPr>
                    <w:t>t/</w:t>
                  </w:r>
                  <w:r>
                    <w:rPr>
                      <w:rStyle w:val="101"/>
                      <w:color w:val="000000" w:themeColor="text1"/>
                      <w:highlight w:val="none"/>
                      <w:lang w:val="en-US" w:eastAsia="zh-CN" w:bidi="ar"/>
                      <w14:textFill>
                        <w14:solidFill>
                          <w14:schemeClr w14:val="tx1"/>
                        </w14:solidFill>
                      </w14:textFill>
                    </w:rPr>
                    <w:t>万元</w:t>
                  </w:r>
                </w:p>
              </w:tc>
              <w:tc>
                <w:tcPr>
                  <w:tcW w:w="3210" w:type="dxa"/>
                  <w:gridSpan w:val="5"/>
                  <w:tcBorders>
                    <w:tl2br w:val="nil"/>
                    <w:tr2bl w:val="nil"/>
                  </w:tcBorders>
                  <w:shd w:val="clear" w:color="auto" w:fill="auto"/>
                  <w:vAlign w:val="center"/>
                </w:tcPr>
                <w:p w14:paraId="74DB072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2220" w:type="dxa"/>
                  <w:tcBorders>
                    <w:tl2br w:val="nil"/>
                    <w:tr2bl w:val="nil"/>
                  </w:tcBorders>
                  <w:shd w:val="clear" w:color="auto" w:fill="auto"/>
                  <w:vAlign w:val="center"/>
                </w:tcPr>
                <w:p w14:paraId="0E363FD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0.098</w:t>
                  </w:r>
                </w:p>
              </w:tc>
              <w:tc>
                <w:tcPr>
                  <w:tcW w:w="678" w:type="dxa"/>
                  <w:tcBorders>
                    <w:tl2br w:val="nil"/>
                    <w:tr2bl w:val="nil"/>
                  </w:tcBorders>
                  <w:shd w:val="clear" w:color="auto" w:fill="auto"/>
                  <w:vAlign w:val="center"/>
                </w:tcPr>
                <w:p w14:paraId="259A82F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r w14:paraId="2B4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dxa"/>
                  <w:vMerge w:val="continue"/>
                  <w:tcBorders>
                    <w:tl2br w:val="nil"/>
                    <w:tr2bl w:val="nil"/>
                  </w:tcBorders>
                  <w:shd w:val="clear" w:color="auto" w:fill="auto"/>
                  <w:vAlign w:val="center"/>
                </w:tcPr>
                <w:p w14:paraId="74AEAFC6">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45" w:type="dxa"/>
                  <w:tcBorders>
                    <w:tl2br w:val="nil"/>
                    <w:tr2bl w:val="nil"/>
                  </w:tcBorders>
                  <w:shd w:val="clear" w:color="auto" w:fill="auto"/>
                  <w:vAlign w:val="center"/>
                </w:tcPr>
                <w:p w14:paraId="61582BE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废水产生</w:t>
                  </w:r>
                  <w:r>
                    <w:rPr>
                      <w:rStyle w:val="101"/>
                      <w:color w:val="000000" w:themeColor="text1"/>
                      <w:highlight w:val="none"/>
                      <w:lang w:val="en-US" w:eastAsia="zh-CN" w:bidi="ar"/>
                      <w14:textFill>
                        <w14:solidFill>
                          <w14:schemeClr w14:val="tx1"/>
                        </w14:solidFill>
                      </w14:textFill>
                    </w:rPr>
                    <w:t>量</w:t>
                  </w:r>
                  <w:r>
                    <w:rPr>
                      <w:rStyle w:val="102"/>
                      <w:rFonts w:eastAsia="宋体"/>
                      <w:color w:val="000000" w:themeColor="text1"/>
                      <w:highlight w:val="none"/>
                      <w:lang w:val="en-US" w:eastAsia="zh-CN" w:bidi="ar"/>
                      <w14:textFill>
                        <w14:solidFill>
                          <w14:schemeClr w14:val="tx1"/>
                        </w14:solidFill>
                      </w14:textFill>
                    </w:rPr>
                    <w:t>t/</w:t>
                  </w:r>
                  <w:r>
                    <w:rPr>
                      <w:rStyle w:val="101"/>
                      <w:color w:val="000000" w:themeColor="text1"/>
                      <w:highlight w:val="none"/>
                      <w:lang w:val="en-US" w:eastAsia="zh-CN" w:bidi="ar"/>
                      <w14:textFill>
                        <w14:solidFill>
                          <w14:schemeClr w14:val="tx1"/>
                        </w14:solidFill>
                      </w14:textFill>
                    </w:rPr>
                    <w:t>万元</w:t>
                  </w:r>
                </w:p>
              </w:tc>
              <w:tc>
                <w:tcPr>
                  <w:tcW w:w="3210" w:type="dxa"/>
                  <w:gridSpan w:val="5"/>
                  <w:tcBorders>
                    <w:tl2br w:val="nil"/>
                    <w:tr2bl w:val="nil"/>
                  </w:tcBorders>
                  <w:shd w:val="clear" w:color="auto" w:fill="auto"/>
                  <w:vAlign w:val="center"/>
                </w:tcPr>
                <w:p w14:paraId="1CF09BF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2220" w:type="dxa"/>
                  <w:tcBorders>
                    <w:tl2br w:val="nil"/>
                    <w:tr2bl w:val="nil"/>
                  </w:tcBorders>
                  <w:shd w:val="clear" w:color="auto" w:fill="auto"/>
                  <w:vAlign w:val="center"/>
                </w:tcPr>
                <w:p w14:paraId="3F45FCD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0.51</w:t>
                  </w:r>
                </w:p>
              </w:tc>
              <w:tc>
                <w:tcPr>
                  <w:tcW w:w="678" w:type="dxa"/>
                  <w:tcBorders>
                    <w:tl2br w:val="nil"/>
                    <w:tr2bl w:val="nil"/>
                  </w:tcBorders>
                  <w:shd w:val="clear" w:color="auto" w:fill="auto"/>
                  <w:vAlign w:val="center"/>
                </w:tcPr>
                <w:p w14:paraId="5A5C420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符合</w:t>
                  </w:r>
                </w:p>
              </w:tc>
            </w:tr>
          </w:tbl>
          <w:p w14:paraId="5AC5FB5A">
            <w:pPr>
              <w:autoSpaceDE w:val="0"/>
              <w:autoSpaceDN w:val="0"/>
              <w:adjustRightInd w:val="0"/>
              <w:spacing w:line="360" w:lineRule="auto"/>
              <w:ind w:firstLine="480" w:firstLineChars="200"/>
              <w:jc w:val="left"/>
              <w:rPr>
                <w:rFonts w:ascii="宋体" w:cs="宋体"/>
                <w:color w:val="000000" w:themeColor="text1"/>
                <w:kern w:val="0"/>
                <w:sz w:val="18"/>
                <w:szCs w:val="18"/>
                <w:highlight w:val="none"/>
                <w14:textFill>
                  <w14:solidFill>
                    <w14:schemeClr w14:val="tx1"/>
                  </w14:solidFill>
                </w14:textFill>
              </w:rPr>
            </w:pPr>
            <w:r>
              <w:rPr>
                <w:rFonts w:hint="eastAsia" w:ascii="宋体" w:cs="宋体"/>
                <w:color w:val="000000" w:themeColor="text1"/>
                <w:kern w:val="0"/>
                <w:sz w:val="24"/>
                <w:szCs w:val="21"/>
                <w:highlight w:val="none"/>
                <w14:textFill>
                  <w14:solidFill>
                    <w14:schemeClr w14:val="tx1"/>
                  </w14:solidFill>
                </w14:textFill>
              </w:rPr>
              <w:t>本项目主要从事</w:t>
            </w:r>
            <w:r>
              <w:rPr>
                <w:rFonts w:hint="eastAsia" w:ascii="宋体" w:cs="宋体"/>
                <w:color w:val="000000" w:themeColor="text1"/>
                <w:kern w:val="0"/>
                <w:sz w:val="24"/>
                <w:szCs w:val="21"/>
                <w:highlight w:val="none"/>
                <w:lang w:eastAsia="zh-CN"/>
                <w14:textFill>
                  <w14:solidFill>
                    <w14:schemeClr w14:val="tx1"/>
                  </w14:solidFill>
                </w14:textFill>
              </w:rPr>
              <w:t>光学元器件</w:t>
            </w:r>
            <w:r>
              <w:rPr>
                <w:rFonts w:hint="eastAsia" w:ascii="宋体" w:cs="宋体"/>
                <w:color w:val="000000" w:themeColor="text1"/>
                <w:kern w:val="0"/>
                <w:sz w:val="24"/>
                <w:szCs w:val="21"/>
                <w:highlight w:val="none"/>
                <w14:textFill>
                  <w14:solidFill>
                    <w14:schemeClr w14:val="tx1"/>
                  </w14:solidFill>
                </w14:textFill>
              </w:rPr>
              <w:t>生产属于光电器件，与《福州市生物医药和机电产业园机电园规划环境影响报告书》及</w:t>
            </w:r>
            <w:r>
              <w:rPr>
                <w:color w:val="000000" w:themeColor="text1"/>
                <w:kern w:val="0"/>
                <w:sz w:val="24"/>
                <w:szCs w:val="21"/>
                <w:highlight w:val="none"/>
                <w14:textFill>
                  <w14:solidFill>
                    <w14:schemeClr w14:val="tx1"/>
                  </w14:solidFill>
                </w14:textFill>
              </w:rPr>
              <w:t>《福州市生物医药和机电产业园规划环境影响跟踪评价报告书》</w:t>
            </w:r>
            <w:r>
              <w:rPr>
                <w:rFonts w:hint="eastAsia" w:ascii="宋体" w:cs="宋体"/>
                <w:color w:val="000000" w:themeColor="text1"/>
                <w:kern w:val="0"/>
                <w:sz w:val="24"/>
                <w:szCs w:val="21"/>
                <w:highlight w:val="none"/>
                <w14:textFill>
                  <w14:solidFill>
                    <w14:schemeClr w14:val="tx1"/>
                  </w14:solidFill>
                </w14:textFill>
              </w:rPr>
              <w:t>环保准入条件不冲突，</w:t>
            </w:r>
            <w:r>
              <w:rPr>
                <w:rFonts w:hint="eastAsia" w:ascii="宋体" w:cs="宋体"/>
                <w:color w:val="000000" w:themeColor="text1"/>
                <w:kern w:val="0"/>
                <w:sz w:val="24"/>
                <w:szCs w:val="21"/>
                <w:highlight w:val="none"/>
                <w:lang w:val="en-US" w:eastAsia="zh-CN"/>
                <w14:textFill>
                  <w14:solidFill>
                    <w14:schemeClr w14:val="tx1"/>
                  </w14:solidFill>
                </w14:textFill>
              </w:rPr>
              <w:t>本项目排放的酸性废气量很小，</w:t>
            </w:r>
            <w:r>
              <w:rPr>
                <w:rFonts w:hint="eastAsia" w:ascii="宋体" w:cs="宋体"/>
                <w:color w:val="000000" w:themeColor="text1"/>
                <w:kern w:val="0"/>
                <w:sz w:val="24"/>
                <w:szCs w:val="21"/>
                <w:highlight w:val="none"/>
                <w14:textFill>
                  <w14:solidFill>
                    <w14:schemeClr w14:val="tx1"/>
                  </w14:solidFill>
                </w14:textFill>
              </w:rPr>
              <w:t>因此项目符合园区规划要求。同时，根据项目土地使用证，用地性质为工业用地，符合福州市生物医药和机电产业园规划。</w:t>
            </w:r>
          </w:p>
        </w:tc>
      </w:tr>
      <w:tr w14:paraId="0A46F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323A214F">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其他符合性分析</w:t>
            </w:r>
          </w:p>
        </w:tc>
        <w:tc>
          <w:tcPr>
            <w:tcW w:w="8148" w:type="dxa"/>
            <w:gridSpan w:val="4"/>
            <w:vAlign w:val="center"/>
          </w:tcPr>
          <w:p w14:paraId="117903DA">
            <w:pPr>
              <w:pStyle w:val="37"/>
              <w:rPr>
                <w:color w:val="000000" w:themeColor="text1"/>
                <w:sz w:val="24"/>
                <w:szCs w:val="21"/>
                <w:highlight w:val="none"/>
                <w14:textFill>
                  <w14:solidFill>
                    <w14:schemeClr w14:val="tx1"/>
                  </w14:solidFill>
                </w14:textFill>
              </w:rPr>
            </w:pPr>
            <w:r>
              <w:rPr>
                <w:rFonts w:hint="eastAsia"/>
                <w:color w:val="000000" w:themeColor="text1"/>
                <w:sz w:val="24"/>
                <w:szCs w:val="21"/>
                <w:highlight w:val="none"/>
                <w14:textFill>
                  <w14:solidFill>
                    <w14:schemeClr w14:val="tx1"/>
                  </w14:solidFill>
                </w14:textFill>
              </w:rPr>
              <w:t>1.3与产业政策符合性分析</w:t>
            </w:r>
          </w:p>
          <w:p w14:paraId="0CA673CA">
            <w:pPr>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1、与产业结构调整指导目录的符合性分析</w:t>
            </w:r>
          </w:p>
          <w:p w14:paraId="74C6D515">
            <w:pPr>
              <w:spacing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本项目主要从事</w:t>
            </w:r>
            <w:r>
              <w:rPr>
                <w:rFonts w:hint="eastAsia"/>
                <w:color w:val="000000" w:themeColor="text1"/>
                <w:sz w:val="24"/>
                <w:szCs w:val="24"/>
                <w:highlight w:val="none"/>
                <w:lang w:eastAsia="zh-CN"/>
                <w14:textFill>
                  <w14:solidFill>
                    <w14:schemeClr w14:val="tx1"/>
                  </w14:solidFill>
                </w14:textFill>
              </w:rPr>
              <w:t>光学元器件</w:t>
            </w:r>
            <w:r>
              <w:rPr>
                <w:rFonts w:hint="eastAsia"/>
                <w:color w:val="000000" w:themeColor="text1"/>
                <w:sz w:val="24"/>
                <w:szCs w:val="24"/>
                <w:highlight w:val="none"/>
                <w14:textFill>
                  <w14:solidFill>
                    <w14:schemeClr w14:val="tx1"/>
                  </w14:solidFill>
                </w14:textFill>
              </w:rPr>
              <w:t>生产，根据《产业结构调整指导目录（2024年本）》，本项目不属于限制类和禁止类，为允许类项目。同时，本项目取得了由福州高新区经济发展局出具的项目备案证明（闽工信备〔202</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〕A140</w:t>
            </w:r>
            <w:r>
              <w:rPr>
                <w:rFonts w:hint="eastAsia"/>
                <w:color w:val="000000" w:themeColor="text1"/>
                <w:sz w:val="24"/>
                <w:szCs w:val="24"/>
                <w:highlight w:val="none"/>
                <w:lang w:val="en-US" w:eastAsia="zh-CN"/>
                <w14:textFill>
                  <w14:solidFill>
                    <w14:schemeClr w14:val="tx1"/>
                  </w14:solidFill>
                </w14:textFill>
              </w:rPr>
              <w:t>209</w:t>
            </w:r>
            <w:r>
              <w:rPr>
                <w:rFonts w:hint="eastAsia"/>
                <w:color w:val="000000" w:themeColor="text1"/>
                <w:sz w:val="24"/>
                <w:szCs w:val="24"/>
                <w:highlight w:val="none"/>
                <w14:textFill>
                  <w14:solidFill>
                    <w14:schemeClr w14:val="tx1"/>
                  </w14:solidFill>
                </w14:textFill>
              </w:rPr>
              <w:t>号），因此项目的建设符合国家及地方产业政策。</w:t>
            </w:r>
          </w:p>
          <w:p w14:paraId="5D2FB3D9">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14:textFill>
                  <w14:solidFill>
                    <w14:schemeClr w14:val="tx1"/>
                  </w14:solidFill>
                </w14:textFill>
              </w:rPr>
              <w:t>1.</w:t>
            </w:r>
            <w:r>
              <w:rPr>
                <w:rFonts w:hint="eastAsia"/>
                <w:color w:val="000000" w:themeColor="text1"/>
                <w:sz w:val="24"/>
                <w:szCs w:val="21"/>
                <w:highlight w:val="none"/>
                <w:lang w:val="en-US" w:eastAsia="zh-CN"/>
                <w14:textFill>
                  <w14:solidFill>
                    <w14:schemeClr w14:val="tx1"/>
                  </w14:solidFill>
                </w14:textFill>
              </w:rPr>
              <w:t>4选址合理性分析</w:t>
            </w:r>
          </w:p>
          <w:p w14:paraId="6F3A965D">
            <w:pPr>
              <w:spacing w:line="360" w:lineRule="auto"/>
              <w:ind w:firstLine="480" w:firstLineChars="20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位于福建省福州市高新区南屿镇窗厦村尧溪路3号1#楼一层，为租赁福建省菲格园区开发管理有限公司1#厂房，根据建设单位提供租赁房东的土地证（闽（2023）闽侯县（G）不动产权第0001577号），该项目用途为工业厂房（详见附件8），本项目主要从事光学元器件生产，因此，本项目建设符合城市土地利用规划，项目选址合理。</w:t>
            </w:r>
          </w:p>
          <w:p w14:paraId="78E43037">
            <w:pPr>
              <w:pStyle w:val="37"/>
              <w:rPr>
                <w:rFonts w:hint="eastAsia"/>
                <w:color w:val="000000" w:themeColor="text1"/>
                <w:sz w:val="24"/>
                <w:szCs w:val="21"/>
                <w:highlight w:val="none"/>
                <w14:textFill>
                  <w14:solidFill>
                    <w14:schemeClr w14:val="tx1"/>
                  </w14:solidFill>
                </w14:textFill>
              </w:rPr>
            </w:pPr>
            <w:r>
              <w:rPr>
                <w:rFonts w:hint="eastAsia"/>
                <w:color w:val="000000" w:themeColor="text1"/>
                <w:sz w:val="24"/>
                <w:szCs w:val="21"/>
                <w:highlight w:val="none"/>
                <w14:textFill>
                  <w14:solidFill>
                    <w14:schemeClr w14:val="tx1"/>
                  </w14:solidFill>
                </w14:textFill>
              </w:rPr>
              <w:t>1.</w:t>
            </w:r>
            <w:r>
              <w:rPr>
                <w:rFonts w:hint="eastAsia"/>
                <w:color w:val="000000" w:themeColor="text1"/>
                <w:sz w:val="24"/>
                <w:szCs w:val="21"/>
                <w:highlight w:val="none"/>
                <w:lang w:val="en-US" w:eastAsia="zh-CN"/>
                <w14:textFill>
                  <w14:solidFill>
                    <w14:schemeClr w14:val="tx1"/>
                  </w14:solidFill>
                </w14:textFill>
              </w:rPr>
              <w:t>5</w:t>
            </w:r>
            <w:r>
              <w:rPr>
                <w:rFonts w:hint="eastAsia"/>
                <w:color w:val="000000" w:themeColor="text1"/>
                <w:sz w:val="24"/>
                <w:szCs w:val="21"/>
                <w:highlight w:val="none"/>
                <w14:textFill>
                  <w14:solidFill>
                    <w14:schemeClr w14:val="tx1"/>
                  </w14:solidFill>
                </w14:textFill>
              </w:rPr>
              <w:t xml:space="preserve"> 环境功能区划符合性分析</w:t>
            </w:r>
          </w:p>
          <w:p w14:paraId="0288EE90">
            <w:pPr>
              <w:spacing w:line="360" w:lineRule="auto"/>
              <w:ind w:firstLine="480" w:firstLineChars="20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水环境</w:t>
            </w:r>
          </w:p>
          <w:p w14:paraId="234838B7">
            <w:pPr>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附近地表水体大樟溪能满足《地表水环境质量标准》(GB3838-2002)中Ⅲ类水质标准。项目生产废水处理后通过市政污水管网送往福州大学城污水处理厂集中处理，生活污水经隔油+化粪池处理达标后排入市政污水管网，送往福州大学城污水处理厂集中处理，对区域水环境质量影响较小。</w:t>
            </w:r>
          </w:p>
          <w:p w14:paraId="29992E02">
            <w:pPr>
              <w:spacing w:line="360" w:lineRule="auto"/>
              <w:ind w:firstLine="480" w:firstLineChars="20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大气环境</w:t>
            </w:r>
          </w:p>
          <w:p w14:paraId="0DCB157F">
            <w:pPr>
              <w:spacing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根据大气环境质量现状可知，项目区域大气环境达到《环境空气质量标准》(GB3095-20</w:t>
            </w:r>
            <w:r>
              <w:rPr>
                <w:rFonts w:hint="eastAsia"/>
                <w:color w:val="000000" w:themeColor="text1"/>
                <w:sz w:val="24"/>
                <w:szCs w:val="24"/>
                <w:highlight w:val="none"/>
                <w:lang w:val="en-US" w:eastAsia="zh-CN"/>
                <w14:textFill>
                  <w14:solidFill>
                    <w14:schemeClr w14:val="tx1"/>
                  </w14:solidFill>
                </w14:textFill>
              </w:rPr>
              <w:t>26</w:t>
            </w:r>
            <w:r>
              <w:rPr>
                <w:rFonts w:hint="eastAsia"/>
                <w:color w:val="000000" w:themeColor="text1"/>
                <w:sz w:val="24"/>
                <w:szCs w:val="24"/>
                <w:highlight w:val="none"/>
                <w14:textFill>
                  <w14:solidFill>
                    <w14:schemeClr w14:val="tx1"/>
                  </w14:solidFill>
                </w14:textFill>
              </w:rPr>
              <w:t>)中</w:t>
            </w:r>
            <w:r>
              <w:rPr>
                <w:rFonts w:hint="eastAsia"/>
                <w:color w:val="000000" w:themeColor="text1"/>
                <w:sz w:val="24"/>
                <w:szCs w:val="24"/>
                <w:highlight w:val="none"/>
                <w:lang w:val="en-US" w:eastAsia="zh-CN"/>
                <w14:textFill>
                  <w14:solidFill>
                    <w14:schemeClr w14:val="tx1"/>
                  </w14:solidFill>
                </w14:textFill>
              </w:rPr>
              <w:t>的</w:t>
            </w:r>
            <w:r>
              <w:rPr>
                <w:rFonts w:hint="eastAsia"/>
                <w:color w:val="000000" w:themeColor="text1"/>
                <w:sz w:val="24"/>
                <w:szCs w:val="24"/>
                <w:highlight w:val="none"/>
                <w14:textFill>
                  <w14:solidFill>
                    <w14:schemeClr w14:val="tx1"/>
                  </w14:solidFill>
                </w14:textFill>
              </w:rPr>
              <w:t>二级标准，区域大气环境具有一定的容量。项目废气经采取有效的治理措施后达标排放，对区域大气环境质量影响较小</w:t>
            </w:r>
            <w:r>
              <w:rPr>
                <w:rFonts w:hint="eastAsia"/>
                <w:color w:val="000000" w:themeColor="text1"/>
                <w:sz w:val="24"/>
                <w:szCs w:val="24"/>
                <w:highlight w:val="none"/>
                <w:lang w:eastAsia="zh-CN"/>
                <w14:textFill>
                  <w14:solidFill>
                    <w14:schemeClr w14:val="tx1"/>
                  </w14:solidFill>
                </w14:textFill>
              </w:rPr>
              <w:t>。</w:t>
            </w:r>
          </w:p>
          <w:p w14:paraId="3FCDEFD2">
            <w:pPr>
              <w:spacing w:line="360" w:lineRule="auto"/>
              <w:ind w:firstLine="480" w:firstLineChars="20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声环境</w:t>
            </w:r>
          </w:p>
          <w:p w14:paraId="6205BC0B">
            <w:pPr>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项目声环境功能区划为3类功能区，</w:t>
            </w:r>
            <w:r>
              <w:rPr>
                <w:rFonts w:hint="eastAsia"/>
                <w:color w:val="000000" w:themeColor="text1"/>
                <w:sz w:val="24"/>
                <w:szCs w:val="24"/>
                <w:highlight w:val="none"/>
                <w:lang w:val="en-US" w:eastAsia="zh-CN"/>
                <w14:textFill>
                  <w14:solidFill>
                    <w14:schemeClr w14:val="tx1"/>
                  </w14:solidFill>
                </w14:textFill>
              </w:rPr>
              <w:t>项目</w:t>
            </w:r>
            <w:r>
              <w:rPr>
                <w:rFonts w:hint="eastAsia"/>
                <w:color w:val="000000" w:themeColor="text1"/>
                <w:sz w:val="24"/>
                <w:szCs w:val="24"/>
                <w:highlight w:val="none"/>
                <w14:textFill>
                  <w14:solidFill>
                    <w14:schemeClr w14:val="tx1"/>
                  </w14:solidFill>
                </w14:textFill>
              </w:rPr>
              <w:t>采取相应的减振、隔声措施后，项目对周边声环境贡献值较小，周边声环境影响较小。</w:t>
            </w:r>
          </w:p>
          <w:p w14:paraId="2F0E2648">
            <w:pPr>
              <w:pStyle w:val="37"/>
              <w:rPr>
                <w:color w:val="000000" w:themeColor="text1"/>
                <w:sz w:val="24"/>
                <w:szCs w:val="21"/>
                <w:highlight w:val="none"/>
                <w14:textFill>
                  <w14:solidFill>
                    <w14:schemeClr w14:val="tx1"/>
                  </w14:solidFill>
                </w14:textFill>
              </w:rPr>
            </w:pPr>
            <w:r>
              <w:rPr>
                <w:rFonts w:hint="eastAsia"/>
                <w:color w:val="000000" w:themeColor="text1"/>
                <w:sz w:val="24"/>
                <w:szCs w:val="21"/>
                <w:highlight w:val="none"/>
                <w14:textFill>
                  <w14:solidFill>
                    <w14:schemeClr w14:val="tx1"/>
                  </w14:solidFill>
                </w14:textFill>
              </w:rPr>
              <w:t>1.</w:t>
            </w:r>
            <w:r>
              <w:rPr>
                <w:rFonts w:hint="eastAsia"/>
                <w:color w:val="000000" w:themeColor="text1"/>
                <w:sz w:val="24"/>
                <w:szCs w:val="21"/>
                <w:highlight w:val="none"/>
                <w:lang w:val="en-US" w:eastAsia="zh-CN"/>
                <w14:textFill>
                  <w14:solidFill>
                    <w14:schemeClr w14:val="tx1"/>
                  </w14:solidFill>
                </w14:textFill>
              </w:rPr>
              <w:t>6</w:t>
            </w:r>
            <w:r>
              <w:rPr>
                <w:color w:val="000000" w:themeColor="text1"/>
                <w:sz w:val="24"/>
                <w:szCs w:val="21"/>
                <w:highlight w:val="none"/>
                <w14:textFill>
                  <w14:solidFill>
                    <w14:schemeClr w14:val="tx1"/>
                  </w14:solidFill>
                </w14:textFill>
              </w:rPr>
              <w:t xml:space="preserve"> </w:t>
            </w:r>
            <w:r>
              <w:rPr>
                <w:rFonts w:hint="eastAsia"/>
                <w:color w:val="000000" w:themeColor="text1"/>
                <w:sz w:val="24"/>
                <w:szCs w:val="21"/>
                <w:highlight w:val="none"/>
                <w:lang w:val="en-US" w:eastAsia="zh-CN"/>
                <w14:textFill>
                  <w14:solidFill>
                    <w14:schemeClr w14:val="tx1"/>
                  </w14:solidFill>
                </w14:textFill>
              </w:rPr>
              <w:t>与</w:t>
            </w:r>
            <w:r>
              <w:rPr>
                <w:rFonts w:hint="default"/>
                <w:color w:val="000000" w:themeColor="text1"/>
                <w:sz w:val="24"/>
                <w:szCs w:val="21"/>
                <w:highlight w:val="none"/>
                <w:lang w:val="en-US" w:eastAsia="zh-CN"/>
                <w14:textFill>
                  <w14:solidFill>
                    <w14:schemeClr w14:val="tx1"/>
                  </w14:solidFill>
                </w14:textFill>
              </w:rPr>
              <w:t>生态环境分区管控要求的</w:t>
            </w:r>
            <w:r>
              <w:rPr>
                <w:rFonts w:hint="eastAsia"/>
                <w:color w:val="000000" w:themeColor="text1"/>
                <w:sz w:val="24"/>
                <w:szCs w:val="21"/>
                <w:highlight w:val="none"/>
                <w14:textFill>
                  <w14:solidFill>
                    <w14:schemeClr w14:val="tx1"/>
                  </w14:solidFill>
                </w14:textFill>
              </w:rPr>
              <w:t>符合性分析</w:t>
            </w:r>
          </w:p>
          <w:p w14:paraId="67166C7C">
            <w:pPr>
              <w:spacing w:line="360" w:lineRule="auto"/>
              <w:ind w:firstLine="480" w:firstLineChars="20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eastAsia"/>
                <w:color w:val="000000" w:themeColor="text1"/>
                <w:sz w:val="24"/>
                <w:szCs w:val="24"/>
                <w:highlight w:val="none"/>
                <w:lang w:eastAsia="zh-CN"/>
                <w14:textFill>
                  <w14:solidFill>
                    <w14:schemeClr w14:val="tx1"/>
                  </w14:solidFill>
                </w14:textFill>
              </w:rPr>
              <w:t>《福州市生态环境局关于发布福州市2024年生态环境分区管控动态更新成果的通知》（榕环保综〔2025〕1号），</w:t>
            </w:r>
            <w:r>
              <w:rPr>
                <w:rFonts w:hint="eastAsia"/>
                <w:color w:val="000000" w:themeColor="text1"/>
                <w:sz w:val="24"/>
                <w:szCs w:val="24"/>
                <w:highlight w:val="none"/>
                <w:lang w:val="en-US" w:eastAsia="zh-CN"/>
                <w14:textFill>
                  <w14:solidFill>
                    <w14:schemeClr w14:val="tx1"/>
                  </w14:solidFill>
                </w14:textFill>
              </w:rPr>
              <w:t>本项目与福州市生态环境分区管控要求的</w:t>
            </w:r>
            <w:r>
              <w:rPr>
                <w:rFonts w:hint="eastAsia"/>
                <w:color w:val="000000" w:themeColor="text1"/>
                <w:sz w:val="24"/>
                <w:szCs w:val="24"/>
                <w:highlight w:val="none"/>
                <w14:textFill>
                  <w14:solidFill>
                    <w14:schemeClr w14:val="tx1"/>
                  </w14:solidFill>
                </w14:textFill>
              </w:rPr>
              <w:t>符合性分析如下</w:t>
            </w:r>
            <w:r>
              <w:rPr>
                <w:rFonts w:hint="eastAsia"/>
                <w:color w:val="000000" w:themeColor="text1"/>
                <w:sz w:val="24"/>
                <w:szCs w:val="24"/>
                <w:highlight w:val="none"/>
                <w:lang w:val="en-US" w:eastAsia="zh-CN"/>
                <w14:textFill>
                  <w14:solidFill>
                    <w14:schemeClr w14:val="tx1"/>
                  </w14:solidFill>
                </w14:textFill>
              </w:rPr>
              <w:t>表。</w:t>
            </w:r>
          </w:p>
          <w:p w14:paraId="399663EA">
            <w:pPr>
              <w:spacing w:line="360" w:lineRule="auto"/>
              <w:jc w:val="center"/>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表 1</w:t>
            </w:r>
            <w:r>
              <w:rPr>
                <w:b/>
                <w:color w:val="000000" w:themeColor="text1"/>
                <w:sz w:val="24"/>
                <w:szCs w:val="24"/>
                <w:highlight w:val="none"/>
                <w14:textFill>
                  <w14:solidFill>
                    <w14:schemeClr w14:val="tx1"/>
                  </w14:solidFill>
                </w14:textFill>
              </w:rPr>
              <w:t>-</w:t>
            </w:r>
            <w:r>
              <w:rPr>
                <w:rFonts w:hint="eastAsia"/>
                <w:b/>
                <w:color w:val="000000" w:themeColor="text1"/>
                <w:sz w:val="24"/>
                <w:szCs w:val="24"/>
                <w:highlight w:val="none"/>
                <w:lang w:val="en-US" w:eastAsia="zh-CN"/>
                <w14:textFill>
                  <w14:solidFill>
                    <w14:schemeClr w14:val="tx1"/>
                  </w14:solidFill>
                </w14:textFill>
              </w:rPr>
              <w:t>4</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14:textFill>
                  <w14:solidFill>
                    <w14:schemeClr w14:val="tx1"/>
                  </w14:solidFill>
                </w14:textFill>
              </w:rPr>
              <w:t>与</w:t>
            </w:r>
            <w:r>
              <w:rPr>
                <w:rFonts w:hint="eastAsia"/>
                <w:b/>
                <w:color w:val="000000" w:themeColor="text1"/>
                <w:sz w:val="24"/>
                <w:szCs w:val="24"/>
                <w:highlight w:val="none"/>
                <w:lang w:val="en-US" w:eastAsia="zh-CN"/>
                <w14:textFill>
                  <w14:solidFill>
                    <w14:schemeClr w14:val="tx1"/>
                  </w14:solidFill>
                </w14:textFill>
              </w:rPr>
              <w:t>生态环境分区管控要求的</w:t>
            </w:r>
            <w:r>
              <w:rPr>
                <w:rFonts w:hint="eastAsia"/>
                <w:b/>
                <w:color w:val="000000" w:themeColor="text1"/>
                <w:sz w:val="24"/>
                <w:szCs w:val="24"/>
                <w:highlight w:val="none"/>
                <w14:textFill>
                  <w14:solidFill>
                    <w14:schemeClr w14:val="tx1"/>
                  </w14:solidFill>
                </w14:textFill>
              </w:rPr>
              <w:t>符合性分析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6132"/>
              <w:gridCol w:w="914"/>
            </w:tblGrid>
            <w:tr w14:paraId="42BC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dxa"/>
                  <w:shd w:val="clear" w:color="auto" w:fill="auto"/>
                  <w:vAlign w:val="center"/>
                </w:tcPr>
                <w:p w14:paraId="2A37C453">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内容</w:t>
                  </w:r>
                </w:p>
              </w:tc>
              <w:tc>
                <w:tcPr>
                  <w:tcW w:w="6132" w:type="dxa"/>
                  <w:shd w:val="clear" w:color="auto" w:fill="auto"/>
                  <w:vAlign w:val="center"/>
                </w:tcPr>
                <w:p w14:paraId="5CAA482B">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项目分析</w:t>
                  </w:r>
                </w:p>
              </w:tc>
              <w:tc>
                <w:tcPr>
                  <w:tcW w:w="914" w:type="dxa"/>
                  <w:shd w:val="clear" w:color="auto" w:fill="auto"/>
                  <w:vAlign w:val="center"/>
                </w:tcPr>
                <w:p w14:paraId="3B611D47">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符合性分析</w:t>
                  </w:r>
                </w:p>
              </w:tc>
            </w:tr>
            <w:tr w14:paraId="0A0C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dxa"/>
                  <w:shd w:val="clear" w:color="auto" w:fill="auto"/>
                  <w:vAlign w:val="center"/>
                </w:tcPr>
                <w:p w14:paraId="3FE13C22">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生态保护红线</w:t>
                  </w:r>
                </w:p>
              </w:tc>
              <w:tc>
                <w:tcPr>
                  <w:tcW w:w="6132" w:type="dxa"/>
                  <w:shd w:val="clear" w:color="auto" w:fill="auto"/>
                  <w:vAlign w:val="center"/>
                </w:tcPr>
                <w:p w14:paraId="042A90FD">
                  <w:pPr>
                    <w:spacing w:line="276" w:lineRule="auto"/>
                    <w:jc w:val="both"/>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经查询福建省生态环境分区管控数据应用平台，本项目位于福州市生物医药和机电产业园中的机电产业园，不涉及生态保护红线</w:t>
                  </w:r>
                  <w:r>
                    <w:rPr>
                      <w:rFonts w:hint="eastAsia"/>
                      <w:color w:val="000000" w:themeColor="text1"/>
                      <w:sz w:val="21"/>
                      <w:szCs w:val="18"/>
                      <w:highlight w:val="none"/>
                      <w14:textFill>
                        <w14:solidFill>
                          <w14:schemeClr w14:val="tx1"/>
                        </w14:solidFill>
                      </w14:textFill>
                    </w:rPr>
                    <w:t>。因此，项目建设符合生态红线控制要求。</w:t>
                  </w:r>
                </w:p>
              </w:tc>
              <w:tc>
                <w:tcPr>
                  <w:tcW w:w="914" w:type="dxa"/>
                  <w:shd w:val="clear" w:color="auto" w:fill="auto"/>
                  <w:vAlign w:val="center"/>
                </w:tcPr>
                <w:p w14:paraId="52934663">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符合</w:t>
                  </w:r>
                </w:p>
              </w:tc>
            </w:tr>
            <w:tr w14:paraId="3362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 w:type="dxa"/>
                  <w:shd w:val="clear" w:color="auto" w:fill="auto"/>
                  <w:vAlign w:val="center"/>
                </w:tcPr>
                <w:p w14:paraId="62AFE50F">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环境质量底线</w:t>
                  </w:r>
                </w:p>
              </w:tc>
              <w:tc>
                <w:tcPr>
                  <w:tcW w:w="6132" w:type="dxa"/>
                  <w:shd w:val="clear" w:color="auto" w:fill="auto"/>
                  <w:vAlign w:val="center"/>
                </w:tcPr>
                <w:p w14:paraId="37324BC4">
                  <w:pPr>
                    <w:autoSpaceDE w:val="0"/>
                    <w:autoSpaceDN w:val="0"/>
                    <w:adjustRightInd w:val="0"/>
                    <w:spacing w:line="276" w:lineRule="auto"/>
                    <w:jc w:val="left"/>
                    <w:rPr>
                      <w:rFonts w:hint="eastAsia"/>
                      <w:color w:val="000000" w:themeColor="text1"/>
                      <w:sz w:val="21"/>
                      <w:szCs w:val="18"/>
                      <w:highlight w:val="none"/>
                      <w:lang w:eastAsia="zh-CN"/>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1</w:t>
                  </w: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水环境：水环境质量底线目标为：到2025年，国省控断面水质优良（达到或优于Ⅲ类）比例总体达97.2%以上；县级以上集中式饮用水水源水质达标率达100%。到2035年，国省控断面水质优良（达到或优于Ⅲ类）比例总体达到100%；生态系统实现良性循环。</w:t>
                  </w:r>
                  <w:r>
                    <w:rPr>
                      <w:rFonts w:hint="eastAsia"/>
                      <w:color w:val="000000" w:themeColor="text1"/>
                      <w:sz w:val="21"/>
                      <w:szCs w:val="18"/>
                      <w:highlight w:val="none"/>
                      <w14:textFill>
                        <w14:solidFill>
                          <w14:schemeClr w14:val="tx1"/>
                        </w14:solidFill>
                      </w14:textFill>
                    </w:rPr>
                    <w:t>项目附近地表水体</w:t>
                  </w:r>
                  <w:r>
                    <w:rPr>
                      <w:rFonts w:hint="eastAsia"/>
                      <w:color w:val="000000" w:themeColor="text1"/>
                      <w:sz w:val="21"/>
                      <w:szCs w:val="18"/>
                      <w:highlight w:val="none"/>
                      <w:lang w:val="en-US" w:eastAsia="zh-CN"/>
                      <w14:textFill>
                        <w14:solidFill>
                          <w14:schemeClr w14:val="tx1"/>
                        </w14:solidFill>
                      </w14:textFill>
                    </w:rPr>
                    <w:t>大樟溪</w:t>
                  </w:r>
                  <w:r>
                    <w:rPr>
                      <w:rFonts w:hint="eastAsia"/>
                      <w:color w:val="000000" w:themeColor="text1"/>
                      <w:sz w:val="21"/>
                      <w:szCs w:val="18"/>
                      <w:highlight w:val="none"/>
                      <w14:textFill>
                        <w14:solidFill>
                          <w14:schemeClr w14:val="tx1"/>
                        </w14:solidFill>
                      </w14:textFill>
                    </w:rPr>
                    <w:t>能满足《地表水环境质量标准》(GB3838-2002)中</w:t>
                  </w:r>
                  <w:r>
                    <w:rPr>
                      <w:rFonts w:hint="eastAsia"/>
                      <w:color w:val="000000" w:themeColor="text1"/>
                      <w:sz w:val="21"/>
                      <w:szCs w:val="18"/>
                      <w:highlight w:val="none"/>
                      <w:lang w:val="en-US" w:eastAsia="zh-CN"/>
                      <w14:textFill>
                        <w14:solidFill>
                          <w14:schemeClr w14:val="tx1"/>
                        </w14:solidFill>
                      </w14:textFill>
                    </w:rPr>
                    <w:t>Ⅲ</w:t>
                  </w:r>
                  <w:r>
                    <w:rPr>
                      <w:rFonts w:hint="eastAsia"/>
                      <w:color w:val="000000" w:themeColor="text1"/>
                      <w:sz w:val="21"/>
                      <w:szCs w:val="18"/>
                      <w:highlight w:val="none"/>
                      <w14:textFill>
                        <w14:solidFill>
                          <w14:schemeClr w14:val="tx1"/>
                        </w14:solidFill>
                      </w14:textFill>
                    </w:rPr>
                    <w:t>类水质标准。</w:t>
                  </w:r>
                  <w:r>
                    <w:rPr>
                      <w:rFonts w:hint="eastAsia"/>
                      <w:color w:val="000000" w:themeColor="text1"/>
                      <w:sz w:val="21"/>
                      <w:szCs w:val="18"/>
                      <w:highlight w:val="none"/>
                      <w:lang w:val="en-US" w:eastAsia="zh-CN"/>
                      <w14:textFill>
                        <w14:solidFill>
                          <w14:schemeClr w14:val="tx1"/>
                        </w14:solidFill>
                      </w14:textFill>
                    </w:rPr>
                    <w:t>项目生产废水处理后通过市政污水管网送往福州大学城污水处理厂集中处理，生活污水经隔油+化粪池处理达标后排入市政污水管网，送往福州大学城污水处理厂集中处理，对区域水环境质量影响较小</w:t>
                  </w:r>
                  <w:r>
                    <w:rPr>
                      <w:rFonts w:hint="eastAsia"/>
                      <w:color w:val="000000" w:themeColor="text1"/>
                      <w:sz w:val="21"/>
                      <w:szCs w:val="18"/>
                      <w:highlight w:val="none"/>
                      <w:lang w:eastAsia="zh-CN"/>
                      <w14:textFill>
                        <w14:solidFill>
                          <w14:schemeClr w14:val="tx1"/>
                        </w14:solidFill>
                      </w14:textFill>
                    </w:rPr>
                    <w:t>，项目建设不会突破区域水环境质量底线。</w:t>
                  </w:r>
                </w:p>
                <w:p w14:paraId="5394476F">
                  <w:pPr>
                    <w:autoSpaceDE w:val="0"/>
                    <w:autoSpaceDN w:val="0"/>
                    <w:adjustRightInd w:val="0"/>
                    <w:spacing w:line="276" w:lineRule="auto"/>
                    <w:jc w:val="left"/>
                    <w:rPr>
                      <w:rFonts w:hint="eastAsia"/>
                      <w:color w:val="000000" w:themeColor="text1"/>
                      <w:sz w:val="21"/>
                      <w:szCs w:val="18"/>
                      <w:highlight w:val="none"/>
                      <w:lang w:eastAsia="zh-CN"/>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2</w:t>
                  </w: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大气环境：大气环境质量底线目标为：到2025年，环境空气质量持续改善，细颗粒物（PM</w:t>
                  </w:r>
                  <w:r>
                    <w:rPr>
                      <w:rFonts w:hint="eastAsia"/>
                      <w:color w:val="000000" w:themeColor="text1"/>
                      <w:sz w:val="21"/>
                      <w:szCs w:val="18"/>
                      <w:highlight w:val="none"/>
                      <w:vertAlign w:val="subscript"/>
                      <w:lang w:val="en-US" w:eastAsia="zh-CN"/>
                      <w14:textFill>
                        <w14:solidFill>
                          <w14:schemeClr w14:val="tx1"/>
                        </w14:solidFill>
                      </w14:textFill>
                    </w:rPr>
                    <w:t>2.5</w:t>
                  </w:r>
                  <w:r>
                    <w:rPr>
                      <w:rFonts w:hint="eastAsia"/>
                      <w:color w:val="000000" w:themeColor="text1"/>
                      <w:sz w:val="21"/>
                      <w:szCs w:val="18"/>
                      <w:highlight w:val="none"/>
                      <w:lang w:val="en-US" w:eastAsia="zh-CN"/>
                      <w14:textFill>
                        <w14:solidFill>
                          <w14:schemeClr w14:val="tx1"/>
                        </w14:solidFill>
                      </w14:textFill>
                    </w:rPr>
                    <w:t>）年均浓度降至18.6</w:t>
                  </w:r>
                  <w:r>
                    <w:rPr>
                      <w:rFonts w:hint="default" w:ascii="Times New Roman" w:hAnsi="Times New Roman" w:cs="Times New Roman"/>
                      <w:color w:val="000000" w:themeColor="text1"/>
                      <w:sz w:val="21"/>
                      <w:szCs w:val="18"/>
                      <w:highlight w:val="none"/>
                      <w:lang w:val="en-US" w:eastAsia="zh-CN"/>
                      <w14:textFill>
                        <w14:solidFill>
                          <w14:schemeClr w14:val="tx1"/>
                        </w14:solidFill>
                      </w14:textFill>
                    </w:rPr>
                    <w:t>μ</w:t>
                  </w:r>
                  <w:r>
                    <w:rPr>
                      <w:rFonts w:hint="eastAsia"/>
                      <w:color w:val="000000" w:themeColor="text1"/>
                      <w:sz w:val="21"/>
                      <w:szCs w:val="18"/>
                      <w:highlight w:val="none"/>
                      <w:lang w:val="en-US" w:eastAsia="zh-CN"/>
                      <w14:textFill>
                        <w14:solidFill>
                          <w14:schemeClr w14:val="tx1"/>
                        </w14:solidFill>
                      </w14:textFill>
                    </w:rPr>
                    <w:t>g/m</w:t>
                  </w:r>
                  <w:r>
                    <w:rPr>
                      <w:rFonts w:hint="eastAsia"/>
                      <w:color w:val="000000" w:themeColor="text1"/>
                      <w:sz w:val="21"/>
                      <w:szCs w:val="18"/>
                      <w:highlight w:val="none"/>
                      <w:vertAlign w:val="superscript"/>
                      <w:lang w:val="en-US" w:eastAsia="zh-CN"/>
                      <w14:textFill>
                        <w14:solidFill>
                          <w14:schemeClr w14:val="tx1"/>
                        </w14:solidFill>
                      </w14:textFill>
                    </w:rPr>
                    <w:t>3</w:t>
                  </w:r>
                  <w:r>
                    <w:rPr>
                      <w:rFonts w:hint="eastAsia"/>
                      <w:color w:val="000000" w:themeColor="text1"/>
                      <w:sz w:val="21"/>
                      <w:szCs w:val="18"/>
                      <w:highlight w:val="none"/>
                      <w:lang w:val="en-US" w:eastAsia="zh-CN"/>
                      <w14:textFill>
                        <w14:solidFill>
                          <w14:schemeClr w14:val="tx1"/>
                        </w14:solidFill>
                      </w14:textFill>
                    </w:rPr>
                    <w:t>。到2035年，县级城市细颗粒物（PM</w:t>
                  </w:r>
                  <w:r>
                    <w:rPr>
                      <w:rFonts w:hint="eastAsia"/>
                      <w:color w:val="000000" w:themeColor="text1"/>
                      <w:sz w:val="21"/>
                      <w:szCs w:val="18"/>
                      <w:highlight w:val="none"/>
                      <w:vertAlign w:val="subscript"/>
                      <w:lang w:val="en-US" w:eastAsia="zh-CN"/>
                      <w14:textFill>
                        <w14:solidFill>
                          <w14:schemeClr w14:val="tx1"/>
                        </w14:solidFill>
                      </w14:textFill>
                    </w:rPr>
                    <w:t>2.5</w:t>
                  </w:r>
                  <w:r>
                    <w:rPr>
                      <w:rFonts w:hint="eastAsia"/>
                      <w:color w:val="000000" w:themeColor="text1"/>
                      <w:sz w:val="21"/>
                      <w:szCs w:val="18"/>
                      <w:highlight w:val="none"/>
                      <w:lang w:val="en-US" w:eastAsia="zh-CN"/>
                      <w14:textFill>
                        <w14:solidFill>
                          <w14:schemeClr w14:val="tx1"/>
                        </w14:solidFill>
                      </w14:textFill>
                    </w:rPr>
                    <w:t>）年均浓度小于15</w:t>
                  </w:r>
                  <w:r>
                    <w:rPr>
                      <w:rFonts w:hint="default" w:ascii="Times New Roman" w:hAnsi="Times New Roman" w:cs="Times New Roman"/>
                      <w:color w:val="000000" w:themeColor="text1"/>
                      <w:sz w:val="21"/>
                      <w:szCs w:val="18"/>
                      <w:highlight w:val="none"/>
                      <w:lang w:val="en-US" w:eastAsia="zh-CN"/>
                      <w14:textFill>
                        <w14:solidFill>
                          <w14:schemeClr w14:val="tx1"/>
                        </w14:solidFill>
                      </w14:textFill>
                    </w:rPr>
                    <w:t>μ</w:t>
                  </w:r>
                  <w:r>
                    <w:rPr>
                      <w:rFonts w:hint="eastAsia"/>
                      <w:color w:val="000000" w:themeColor="text1"/>
                      <w:sz w:val="21"/>
                      <w:szCs w:val="18"/>
                      <w:highlight w:val="none"/>
                      <w:lang w:val="en-US" w:eastAsia="zh-CN"/>
                      <w14:textFill>
                        <w14:solidFill>
                          <w14:schemeClr w14:val="tx1"/>
                        </w14:solidFill>
                      </w14:textFill>
                    </w:rPr>
                    <w:t>g/m</w:t>
                  </w:r>
                  <w:r>
                    <w:rPr>
                      <w:rFonts w:hint="eastAsia"/>
                      <w:color w:val="000000" w:themeColor="text1"/>
                      <w:sz w:val="21"/>
                      <w:szCs w:val="18"/>
                      <w:highlight w:val="none"/>
                      <w:vertAlign w:val="superscript"/>
                      <w:lang w:val="en-US" w:eastAsia="zh-CN"/>
                      <w14:textFill>
                        <w14:solidFill>
                          <w14:schemeClr w14:val="tx1"/>
                        </w14:solidFill>
                      </w14:textFill>
                    </w:rPr>
                    <w:t>3</w:t>
                  </w:r>
                  <w:r>
                    <w:rPr>
                      <w:rFonts w:hint="eastAsia"/>
                      <w:color w:val="000000" w:themeColor="text1"/>
                      <w:sz w:val="21"/>
                      <w:szCs w:val="18"/>
                      <w:highlight w:val="none"/>
                      <w:lang w:val="en-US" w:eastAsia="zh-CN"/>
                      <w14:textFill>
                        <w14:solidFill>
                          <w14:schemeClr w14:val="tx1"/>
                        </w14:solidFill>
                      </w14:textFill>
                    </w:rPr>
                    <w:t>，最终指标值以省下达指标为准。</w:t>
                  </w:r>
                  <w:r>
                    <w:rPr>
                      <w:rFonts w:hint="eastAsia"/>
                      <w:color w:val="000000" w:themeColor="text1"/>
                      <w:sz w:val="21"/>
                      <w:szCs w:val="18"/>
                      <w:highlight w:val="none"/>
                      <w14:textFill>
                        <w14:solidFill>
                          <w14:schemeClr w14:val="tx1"/>
                        </w14:solidFill>
                      </w14:textFill>
                    </w:rPr>
                    <w:t>根据大气环境质量现状可知，项目区域大气环境达到《环境空气质量标准》(GB3095-20</w:t>
                  </w:r>
                  <w:r>
                    <w:rPr>
                      <w:rFonts w:hint="eastAsia"/>
                      <w:color w:val="000000" w:themeColor="text1"/>
                      <w:sz w:val="21"/>
                      <w:szCs w:val="18"/>
                      <w:highlight w:val="none"/>
                      <w:lang w:val="en-US" w:eastAsia="zh-CN"/>
                      <w14:textFill>
                        <w14:solidFill>
                          <w14:schemeClr w14:val="tx1"/>
                        </w14:solidFill>
                      </w14:textFill>
                    </w:rPr>
                    <w:t>26</w:t>
                  </w:r>
                  <w:r>
                    <w:rPr>
                      <w:rFonts w:hint="eastAsia"/>
                      <w:color w:val="000000" w:themeColor="text1"/>
                      <w:sz w:val="21"/>
                      <w:szCs w:val="18"/>
                      <w:highlight w:val="none"/>
                      <w14:textFill>
                        <w14:solidFill>
                          <w14:schemeClr w14:val="tx1"/>
                        </w14:solidFill>
                      </w14:textFill>
                    </w:rPr>
                    <w:t>)中二级标准，区域大气环境具有一定的容量。项目废气经采取有效的治理措施后达标排放，对区域大气环境质量影响较小，项目的建设不会突破区域大气环境质量底线</w:t>
                  </w:r>
                  <w:r>
                    <w:rPr>
                      <w:rFonts w:hint="eastAsia"/>
                      <w:color w:val="000000" w:themeColor="text1"/>
                      <w:sz w:val="21"/>
                      <w:szCs w:val="18"/>
                      <w:highlight w:val="none"/>
                      <w:lang w:eastAsia="zh-CN"/>
                      <w14:textFill>
                        <w14:solidFill>
                          <w14:schemeClr w14:val="tx1"/>
                        </w14:solidFill>
                      </w14:textFill>
                    </w:rPr>
                    <w:t>。</w:t>
                  </w:r>
                </w:p>
                <w:p w14:paraId="53DCE317">
                  <w:pPr>
                    <w:autoSpaceDE w:val="0"/>
                    <w:autoSpaceDN w:val="0"/>
                    <w:adjustRightInd w:val="0"/>
                    <w:spacing w:line="276" w:lineRule="auto"/>
                    <w:jc w:val="left"/>
                    <w:rPr>
                      <w:rFonts w:ascii="宋体" w:cs="宋体"/>
                      <w:color w:val="000000" w:themeColor="text1"/>
                      <w:kern w:val="0"/>
                      <w:sz w:val="21"/>
                      <w:szCs w:val="18"/>
                      <w:highlight w:val="none"/>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3</w:t>
                  </w: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土壤环境：土壤环境风险防控底线为：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到2035年，全市土壤环境质量稳中向好，农用地和建设用地土壤环境得到有效保障，土壤环境风险得到全面管控。项目周边土壤环境相对不敏感，采取有效的防渗措施后，项目对土壤环境影响很小，基本不存在土壤环境污染途径</w:t>
                  </w:r>
                  <w:r>
                    <w:rPr>
                      <w:rFonts w:hint="eastAsia"/>
                      <w:color w:val="000000" w:themeColor="text1"/>
                      <w:sz w:val="21"/>
                      <w:szCs w:val="18"/>
                      <w:highlight w:val="none"/>
                      <w14:textFill>
                        <w14:solidFill>
                          <w14:schemeClr w14:val="tx1"/>
                        </w14:solidFill>
                      </w14:textFill>
                    </w:rPr>
                    <w:t>。</w:t>
                  </w:r>
                </w:p>
              </w:tc>
              <w:tc>
                <w:tcPr>
                  <w:tcW w:w="914" w:type="dxa"/>
                  <w:shd w:val="clear" w:color="auto" w:fill="auto"/>
                  <w:vAlign w:val="center"/>
                </w:tcPr>
                <w:p w14:paraId="09699346">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符合</w:t>
                  </w:r>
                </w:p>
              </w:tc>
            </w:tr>
            <w:tr w14:paraId="2DBE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dxa"/>
                  <w:shd w:val="clear" w:color="auto" w:fill="auto"/>
                  <w:vAlign w:val="center"/>
                </w:tcPr>
                <w:p w14:paraId="20D518CA">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资源利用上线</w:t>
                  </w:r>
                </w:p>
              </w:tc>
              <w:tc>
                <w:tcPr>
                  <w:tcW w:w="6132" w:type="dxa"/>
                  <w:shd w:val="clear" w:color="auto" w:fill="auto"/>
                  <w:vAlign w:val="center"/>
                </w:tcPr>
                <w:p w14:paraId="3733D023">
                  <w:pPr>
                    <w:rPr>
                      <w:rFonts w:hint="eastAsia"/>
                      <w:color w:val="000000" w:themeColor="text1"/>
                      <w:sz w:val="21"/>
                      <w:szCs w:val="18"/>
                      <w:highlight w:val="none"/>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1</w:t>
                  </w: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14:textFill>
                        <w14:solidFill>
                          <w14:schemeClr w14:val="tx1"/>
                        </w14:solidFill>
                      </w14:textFill>
                    </w:rPr>
                    <w:t>项目用水、用电为区域集中供应，项目运行过程通过内部管理、设备选择、原辅材料的选用和管理、废物回收利用、污染治理等多方面采取合理可行的防治措施，以“节能、降耗、减污”为目标，有效的控制污染。项目的水、电等资源利用不会突破区域的资源利用上线。</w:t>
                  </w:r>
                </w:p>
                <w:p w14:paraId="494C99E6">
                  <w:pPr>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2</w:t>
                  </w: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14:textFill>
                        <w14:solidFill>
                          <w14:schemeClr w14:val="tx1"/>
                        </w14:solidFill>
                      </w14:textFill>
                    </w:rPr>
                    <w:t>项目租赁已建厂房进行生产加工</w:t>
                  </w: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14:textFill>
                        <w14:solidFill>
                          <w14:schemeClr w14:val="tx1"/>
                        </w14:solidFill>
                      </w14:textFill>
                    </w:rPr>
                    <w:t>未新增占地，符合土地资源利用上线管控要求。</w:t>
                  </w:r>
                </w:p>
              </w:tc>
              <w:tc>
                <w:tcPr>
                  <w:tcW w:w="914" w:type="dxa"/>
                  <w:shd w:val="clear" w:color="auto" w:fill="auto"/>
                  <w:vAlign w:val="center"/>
                </w:tcPr>
                <w:p w14:paraId="0F4596CC">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符合</w:t>
                  </w:r>
                </w:p>
              </w:tc>
            </w:tr>
            <w:tr w14:paraId="2667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dxa"/>
                  <w:shd w:val="clear" w:color="auto" w:fill="auto"/>
                  <w:vAlign w:val="center"/>
                </w:tcPr>
                <w:p w14:paraId="240780FB">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环境准</w:t>
                  </w:r>
                </w:p>
                <w:p w14:paraId="242EB8EE">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入清单</w:t>
                  </w:r>
                </w:p>
              </w:tc>
              <w:tc>
                <w:tcPr>
                  <w:tcW w:w="6132" w:type="dxa"/>
                  <w:shd w:val="clear" w:color="auto" w:fill="auto"/>
                  <w:vAlign w:val="center"/>
                </w:tcPr>
                <w:p w14:paraId="3D0E8FB8">
                  <w:pPr>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经查询福建省生态环境分区管控数据应用平台，</w:t>
                  </w:r>
                  <w:r>
                    <w:rPr>
                      <w:rFonts w:hint="eastAsia"/>
                      <w:color w:val="000000" w:themeColor="text1"/>
                      <w:kern w:val="0"/>
                      <w:sz w:val="21"/>
                      <w:szCs w:val="18"/>
                      <w:highlight w:val="none"/>
                      <w:lang w:val="en-US" w:eastAsia="zh-CN"/>
                      <w14:textFill>
                        <w14:solidFill>
                          <w14:schemeClr w14:val="tx1"/>
                        </w14:solidFill>
                      </w14:textFill>
                    </w:rPr>
                    <w:t>本项目所在分区管控单元为“福州市生物医药和机电产业园”，管控单元分类为“重点管控单元”，环境管控单元编码为ZH35012120002。管控要求符合性分析见表1-6</w:t>
                  </w:r>
                  <w:r>
                    <w:rPr>
                      <w:rFonts w:hint="eastAsia"/>
                      <w:color w:val="000000" w:themeColor="text1"/>
                      <w:sz w:val="21"/>
                      <w:szCs w:val="18"/>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查询报告见附件11。</w:t>
                  </w:r>
                </w:p>
              </w:tc>
              <w:tc>
                <w:tcPr>
                  <w:tcW w:w="914" w:type="dxa"/>
                  <w:shd w:val="clear" w:color="auto" w:fill="auto"/>
                  <w:vAlign w:val="center"/>
                </w:tcPr>
                <w:p w14:paraId="75518F2C">
                  <w:pPr>
                    <w:jc w:val="center"/>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符合</w:t>
                  </w:r>
                </w:p>
              </w:tc>
            </w:tr>
          </w:tbl>
          <w:p w14:paraId="0F7BF4A7">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表 1</w:t>
            </w:r>
            <w:r>
              <w:rPr>
                <w:b/>
                <w:color w:val="000000" w:themeColor="text1"/>
                <w:sz w:val="24"/>
                <w:szCs w:val="24"/>
                <w:highlight w:val="none"/>
                <w14:textFill>
                  <w14:solidFill>
                    <w14:schemeClr w14:val="tx1"/>
                  </w14:solidFill>
                </w14:textFill>
              </w:rPr>
              <w:t>-</w:t>
            </w:r>
            <w:r>
              <w:rPr>
                <w:rFonts w:hint="eastAsia"/>
                <w:b/>
                <w:color w:val="000000" w:themeColor="text1"/>
                <w:sz w:val="24"/>
                <w:szCs w:val="24"/>
                <w:highlight w:val="none"/>
                <w:lang w:val="en-US" w:eastAsia="zh-CN"/>
                <w14:textFill>
                  <w14:solidFill>
                    <w14:schemeClr w14:val="tx1"/>
                  </w14:solidFill>
                </w14:textFill>
              </w:rPr>
              <w:t>5</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与福州市生态环境总体准入要求的</w:t>
            </w:r>
            <w:r>
              <w:rPr>
                <w:rFonts w:hint="eastAsia"/>
                <w:b/>
                <w:color w:val="000000" w:themeColor="text1"/>
                <w:sz w:val="24"/>
                <w:szCs w:val="24"/>
                <w:highlight w:val="none"/>
                <w14:textFill>
                  <w14:solidFill>
                    <w14:schemeClr w14:val="tx1"/>
                  </w14:solidFill>
                </w14:textFill>
              </w:rPr>
              <w:t>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695"/>
              <w:gridCol w:w="476"/>
              <w:gridCol w:w="5015"/>
              <w:gridCol w:w="1044"/>
              <w:gridCol w:w="692"/>
            </w:tblGrid>
            <w:tr w14:paraId="324AE0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20" w:hRule="atLeast"/>
                <w:tblHeader/>
                <w:jc w:val="center"/>
              </w:trPr>
              <w:tc>
                <w:tcPr>
                  <w:tcW w:w="695" w:type="dxa"/>
                  <w:tcBorders>
                    <w:tl2br w:val="nil"/>
                    <w:tr2bl w:val="nil"/>
                  </w:tcBorders>
                  <w:noWrap w:val="0"/>
                  <w:vAlign w:val="center"/>
                </w:tcPr>
                <w:p w14:paraId="0CD54E16">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适用范围</w:t>
                  </w:r>
                </w:p>
              </w:tc>
              <w:tc>
                <w:tcPr>
                  <w:tcW w:w="5491" w:type="dxa"/>
                  <w:gridSpan w:val="2"/>
                  <w:tcBorders>
                    <w:tl2br w:val="nil"/>
                    <w:tr2bl w:val="nil"/>
                  </w:tcBorders>
                  <w:noWrap w:val="0"/>
                  <w:vAlign w:val="center"/>
                </w:tcPr>
                <w:p w14:paraId="50E224DB">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准入要求</w:t>
                  </w:r>
                </w:p>
              </w:tc>
              <w:tc>
                <w:tcPr>
                  <w:tcW w:w="1044" w:type="dxa"/>
                  <w:tcBorders>
                    <w:tl2br w:val="nil"/>
                    <w:tr2bl w:val="nil"/>
                  </w:tcBorders>
                  <w:noWrap w:val="0"/>
                  <w:vAlign w:val="center"/>
                </w:tcPr>
                <w:p w14:paraId="45C98805">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本项目情况</w:t>
                  </w:r>
                </w:p>
              </w:tc>
              <w:tc>
                <w:tcPr>
                  <w:tcW w:w="692" w:type="dxa"/>
                  <w:tcBorders>
                    <w:tl2br w:val="nil"/>
                    <w:tr2bl w:val="nil"/>
                  </w:tcBorders>
                  <w:noWrap w:val="0"/>
                  <w:vAlign w:val="center"/>
                </w:tcPr>
                <w:p w14:paraId="1177B4E0">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符合性</w:t>
                  </w:r>
                </w:p>
              </w:tc>
            </w:tr>
            <w:tr w14:paraId="577668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20" w:hRule="atLeast"/>
                <w:jc w:val="center"/>
              </w:trPr>
              <w:tc>
                <w:tcPr>
                  <w:tcW w:w="695" w:type="dxa"/>
                  <w:vMerge w:val="restart"/>
                  <w:tcBorders>
                    <w:tl2br w:val="nil"/>
                    <w:tr2bl w:val="nil"/>
                  </w:tcBorders>
                  <w:noWrap w:val="0"/>
                  <w:vAlign w:val="center"/>
                </w:tcPr>
                <w:p w14:paraId="3B404690">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福州市陆域</w:t>
                  </w:r>
                </w:p>
              </w:tc>
              <w:tc>
                <w:tcPr>
                  <w:tcW w:w="476" w:type="dxa"/>
                  <w:vMerge w:val="restart"/>
                  <w:tcBorders>
                    <w:tl2br w:val="nil"/>
                    <w:tr2bl w:val="nil"/>
                  </w:tcBorders>
                  <w:noWrap w:val="0"/>
                  <w:vAlign w:val="center"/>
                </w:tcPr>
                <w:p w14:paraId="2C2979F9">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空间布局约束</w:t>
                  </w:r>
                </w:p>
              </w:tc>
              <w:tc>
                <w:tcPr>
                  <w:tcW w:w="5015" w:type="dxa"/>
                  <w:tcBorders>
                    <w:tl2br w:val="nil"/>
                    <w:tr2bl w:val="nil"/>
                  </w:tcBorders>
                  <w:noWrap w:val="0"/>
                  <w:vAlign w:val="center"/>
                </w:tcPr>
                <w:p w14:paraId="44CA9B1B">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一、优先保护单元中的生态保护红线</w:t>
                  </w:r>
                </w:p>
                <w:p w14:paraId="49E28050">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w:t>
                  </w:r>
                  <w:r>
                    <w:rPr>
                      <w:rFonts w:ascii="Times New Roman" w:hAnsi="Times New Roman"/>
                      <w:color w:val="000000" w:themeColor="text1"/>
                      <w:highlight w:val="none"/>
                      <w14:textFill>
                        <w14:solidFill>
                          <w14:schemeClr w14:val="tx1"/>
                        </w14:solidFill>
                      </w14:textFill>
                    </w:rPr>
                    <w:t>.根据《关于在国土空间规划中统筹划定落实三条控制线的指导意见》《自然资源部 生态环境部 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753A7F17">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（1）管护巡护、保护执法、科学研究、调查监测、测绘导航、防灾减灾救灾、军事国防、疫情防控等活动及相关的必要设施</w:t>
                  </w:r>
                  <w:r>
                    <w:rPr>
                      <w:rFonts w:hint="eastAsia"/>
                      <w:color w:val="000000" w:themeColor="text1"/>
                      <w:highlight w:val="none"/>
                      <w:lang w:val="en-US" w:eastAsia="zh-CN"/>
                      <w14:textFill>
                        <w14:solidFill>
                          <w14:schemeClr w14:val="tx1"/>
                        </w14:solidFill>
                      </w14:textFill>
                    </w:rPr>
                    <w:t>修缮</w:t>
                  </w:r>
                  <w:r>
                    <w:rPr>
                      <w:rFonts w:ascii="Times New Roman" w:hAnsi="Times New Roman"/>
                      <w:color w:val="000000" w:themeColor="text1"/>
                      <w:highlight w:val="none"/>
                      <w14:textFill>
                        <w14:solidFill>
                          <w14:schemeClr w14:val="tx1"/>
                        </w14:solidFill>
                      </w14:textFill>
                    </w:rPr>
                    <w:t>。</w:t>
                  </w:r>
                </w:p>
                <w:p w14:paraId="74C3DD8C">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505234BB">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（3）经依法批准的考古调查发掘、古生物化石调查发掘、标本采集和文物保护活动。</w:t>
                  </w:r>
                </w:p>
                <w:p w14:paraId="58A62496">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（4）按规定对人工商品林进行抚育采伐，或以提升森林质量、优化栖息地、建设生物防火隔离带等为目的的树种更新，依法开展的竹林采伐经营。</w:t>
                  </w:r>
                </w:p>
                <w:p w14:paraId="1D4D3391">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（5）不破坏生态功能的适度参观旅游、科普宣教及符合相关规划的配套性服务设施和相关的必要公共设施建设及维护。</w:t>
                  </w:r>
                </w:p>
                <w:p w14:paraId="47EC8364">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（6）必须且无法避让、符合县级以上国土空间规划的线性基础设施、通讯和防洪、供水设施建设和船舶航行、航道疏浚清淤等活动；已有的合法水利、交通运输等设施运行维护改造。</w:t>
                  </w:r>
                </w:p>
                <w:p w14:paraId="6F9F7106">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6A12474">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（8）依据县级以上国土空间规划和生态保护修复专项规划开展的生态修复。</w:t>
                  </w:r>
                </w:p>
                <w:p w14:paraId="106CD02D">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（9）法律法规规定允许的其他人为活动。</w:t>
                  </w:r>
                </w:p>
                <w:p w14:paraId="7FA2D352">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依据《福建省自然资源厅 福建省生态环境厅 福建省林业局关于进一步加强生态保护红线监管的通知（试行）》（闽自然资发〔2023〕56号），允许占用生态保护红线的重大项目范围：</w:t>
                  </w:r>
                </w:p>
                <w:p w14:paraId="67233E31">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（1）党中央、国务院发布文件或批准规划中明确具体名称的项目和国务院批准的项目。</w:t>
                  </w:r>
                </w:p>
                <w:p w14:paraId="0BC7D28E">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（2）中央军委及其有关部门批准的军事国防项目。</w:t>
                  </w:r>
                </w:p>
                <w:p w14:paraId="195D382B">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（3）国家级规划（指国务院及其有关部门正式颁布）明确的交通、水利项目。</w:t>
                  </w:r>
                </w:p>
                <w:p w14:paraId="312723FC">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（4）国家级规划明确的电网项目，国家级规划明确的且符合国家产业政策的能源矿产勘查开采、油气管线、水电、核电项目。</w:t>
                  </w:r>
                </w:p>
                <w:p w14:paraId="28CEF37D">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（5）为贯彻落实党中央、国务院重大决策部署，国务院投资主管部门或国务院投资主管部门会同有关部门确认的交通、能源、水利等基础设施项目。</w:t>
                  </w:r>
                </w:p>
                <w:p w14:paraId="16D6DDB9">
                  <w:pPr>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（6）按照国家重大项目用地保障工作机制要求，国家发展改革委会同有关部门确认的需中央加大建设用地保障力度，确实难以避让的国家重大项目</w:t>
                  </w:r>
                  <w:r>
                    <w:rPr>
                      <w:rFonts w:ascii="Times New Roman" w:hAnsi="Times New Roman"/>
                      <w:color w:val="000000" w:themeColor="text1"/>
                      <w:highlight w:val="none"/>
                      <w14:textFill>
                        <w14:solidFill>
                          <w14:schemeClr w14:val="tx1"/>
                        </w14:solidFill>
                      </w14:textFill>
                    </w:rPr>
                    <w:t>。</w:t>
                  </w:r>
                </w:p>
              </w:tc>
              <w:tc>
                <w:tcPr>
                  <w:tcW w:w="1044" w:type="dxa"/>
                  <w:tcBorders>
                    <w:tl2br w:val="nil"/>
                    <w:tr2bl w:val="nil"/>
                  </w:tcBorders>
                  <w:noWrap w:val="0"/>
                  <w:vAlign w:val="center"/>
                </w:tcPr>
                <w:p w14:paraId="13DEAF04">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本项目位于</w:t>
                  </w:r>
                  <w:r>
                    <w:rPr>
                      <w:rFonts w:hint="eastAsia" w:ascii="Times New Roman" w:hAnsi="Times New Roman"/>
                      <w:color w:val="000000" w:themeColor="text1"/>
                      <w:highlight w:val="none"/>
                      <w:lang w:val="en-US" w:eastAsia="zh-CN"/>
                      <w14:textFill>
                        <w14:solidFill>
                          <w14:schemeClr w14:val="tx1"/>
                        </w14:solidFill>
                      </w14:textFill>
                    </w:rPr>
                    <w:t>福州市生物医药和机电产业园中的机电产业园</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不涉及</w:t>
                  </w:r>
                  <w:r>
                    <w:rPr>
                      <w:rFonts w:hint="eastAsia" w:ascii="Times New Roman" w:hAnsi="Times New Roman"/>
                      <w:color w:val="000000" w:themeColor="text1"/>
                      <w:highlight w:val="none"/>
                      <w14:textFill>
                        <w14:solidFill>
                          <w14:schemeClr w14:val="tx1"/>
                        </w14:solidFill>
                      </w14:textFill>
                    </w:rPr>
                    <w:t>优先保护单元中的生态保护红线</w:t>
                  </w:r>
                </w:p>
              </w:tc>
              <w:tc>
                <w:tcPr>
                  <w:tcW w:w="692" w:type="dxa"/>
                  <w:tcBorders>
                    <w:tl2br w:val="nil"/>
                    <w:tr2bl w:val="nil"/>
                  </w:tcBorders>
                  <w:noWrap w:val="0"/>
                  <w:vAlign w:val="center"/>
                </w:tcPr>
                <w:p w14:paraId="7F2B2357">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符合</w:t>
                  </w:r>
                </w:p>
              </w:tc>
            </w:tr>
            <w:tr w14:paraId="3C67C5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20" w:hRule="atLeast"/>
                <w:jc w:val="center"/>
              </w:trPr>
              <w:tc>
                <w:tcPr>
                  <w:tcW w:w="695" w:type="dxa"/>
                  <w:vMerge w:val="continue"/>
                  <w:tcBorders>
                    <w:tl2br w:val="nil"/>
                    <w:tr2bl w:val="nil"/>
                  </w:tcBorders>
                  <w:noWrap w:val="0"/>
                  <w:vAlign w:val="center"/>
                </w:tcPr>
                <w:p w14:paraId="2995D413">
                  <w:pPr>
                    <w:jc w:val="center"/>
                    <w:rPr>
                      <w:color w:val="000000" w:themeColor="text1"/>
                      <w:highlight w:val="none"/>
                      <w14:textFill>
                        <w14:solidFill>
                          <w14:schemeClr w14:val="tx1"/>
                        </w14:solidFill>
                      </w14:textFill>
                    </w:rPr>
                  </w:pPr>
                </w:p>
              </w:tc>
              <w:tc>
                <w:tcPr>
                  <w:tcW w:w="476" w:type="dxa"/>
                  <w:vMerge w:val="continue"/>
                  <w:tcBorders>
                    <w:tl2br w:val="nil"/>
                    <w:tr2bl w:val="nil"/>
                  </w:tcBorders>
                  <w:noWrap w:val="0"/>
                  <w:vAlign w:val="center"/>
                </w:tcPr>
                <w:p w14:paraId="6FECFEAE">
                  <w:pPr>
                    <w:jc w:val="center"/>
                    <w:rPr>
                      <w:color w:val="000000" w:themeColor="text1"/>
                      <w:highlight w:val="none"/>
                      <w14:textFill>
                        <w14:solidFill>
                          <w14:schemeClr w14:val="tx1"/>
                        </w14:solidFill>
                      </w14:textFill>
                    </w:rPr>
                  </w:pPr>
                </w:p>
              </w:tc>
              <w:tc>
                <w:tcPr>
                  <w:tcW w:w="5015" w:type="dxa"/>
                  <w:tcBorders>
                    <w:tl2br w:val="nil"/>
                    <w:tr2bl w:val="nil"/>
                  </w:tcBorders>
                  <w:noWrap w:val="0"/>
                  <w:vAlign w:val="center"/>
                </w:tcPr>
                <w:p w14:paraId="661A0F9C">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二、优先保护单元中的一般生态空间</w:t>
                  </w:r>
                </w:p>
                <w:p w14:paraId="6D155196">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1.一般生态空间以保护和修复生态环境、提供生态产品和服务为首要任务，因地制宜地发展不影响主体功能定位的适宜产业。</w:t>
                  </w:r>
                </w:p>
                <w:p w14:paraId="3112B2A3">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2.一般生态空间内未纳入生态保护红线的饮用水水源保护区等</w:t>
                  </w:r>
                  <w:r>
                    <w:rPr>
                      <w:rFonts w:hint="eastAsia" w:ascii="Times New Roman" w:hAnsi="Times New Roman"/>
                      <w:color w:val="000000" w:themeColor="text1"/>
                      <w:highlight w:val="none"/>
                      <w14:textFill>
                        <w14:solidFill>
                          <w14:schemeClr w14:val="tx1"/>
                        </w14:solidFill>
                      </w14:textFill>
                    </w:rPr>
                    <w:t>各类</w:t>
                  </w:r>
                  <w:r>
                    <w:rPr>
                      <w:rFonts w:ascii="Times New Roman" w:hAnsi="Times New Roman"/>
                      <w:color w:val="000000" w:themeColor="text1"/>
                      <w:highlight w:val="none"/>
                      <w14:textFill>
                        <w14:solidFill>
                          <w14:schemeClr w14:val="tx1"/>
                        </w14:solidFill>
                      </w14:textFill>
                    </w:rPr>
                    <w:t>法定保护地，其管控要求依照相关法律法规执行。</w:t>
                  </w:r>
                </w:p>
                <w:p w14:paraId="2A538CB7">
                  <w:pP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3.一般生态空间内现有合法的水泥厂、矿山开发等生产性设施及生活垃圾处置等民生工程予以保留，应按照法律法规要求落实污染防治和生态保护措施，避免对生态功能造成破坏。</w:t>
                  </w:r>
                </w:p>
              </w:tc>
              <w:tc>
                <w:tcPr>
                  <w:tcW w:w="1044" w:type="dxa"/>
                  <w:tcBorders>
                    <w:tl2br w:val="nil"/>
                    <w:tr2bl w:val="nil"/>
                  </w:tcBorders>
                  <w:noWrap w:val="0"/>
                  <w:vAlign w:val="center"/>
                </w:tcPr>
                <w:p w14:paraId="67E394A4">
                  <w:pPr>
                    <w:jc w:val="center"/>
                    <w:rPr>
                      <w:rFonts w:hint="eastAsia" w:eastAsia="宋体"/>
                      <w:color w:val="000000" w:themeColor="text1"/>
                      <w:highlight w:val="none"/>
                      <w:lang w:eastAsia="zh-CN"/>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本项目位于</w:t>
                  </w:r>
                  <w:r>
                    <w:rPr>
                      <w:rFonts w:hint="eastAsia"/>
                      <w:color w:val="000000" w:themeColor="text1"/>
                      <w:highlight w:val="none"/>
                      <w:lang w:eastAsia="zh-CN"/>
                      <w14:textFill>
                        <w14:solidFill>
                          <w14:schemeClr w14:val="tx1"/>
                        </w14:solidFill>
                      </w14:textFill>
                    </w:rPr>
                    <w:t>福州市生物医药和机电产业园中的机电产业园</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不涉及</w:t>
                  </w:r>
                  <w:r>
                    <w:rPr>
                      <w:rFonts w:hint="eastAsia" w:ascii="Times New Roman" w:hAnsi="Times New Roman"/>
                      <w:color w:val="000000" w:themeColor="text1"/>
                      <w:highlight w:val="none"/>
                      <w14:textFill>
                        <w14:solidFill>
                          <w14:schemeClr w14:val="tx1"/>
                        </w14:solidFill>
                      </w14:textFill>
                    </w:rPr>
                    <w:t>优先保护单元中的一般生态空间</w:t>
                  </w:r>
                  <w:r>
                    <w:rPr>
                      <w:rFonts w:hint="eastAsia"/>
                      <w:color w:val="000000" w:themeColor="text1"/>
                      <w:highlight w:val="none"/>
                      <w:lang w:eastAsia="zh-CN"/>
                      <w14:textFill>
                        <w14:solidFill>
                          <w14:schemeClr w14:val="tx1"/>
                        </w14:solidFill>
                      </w14:textFill>
                    </w:rPr>
                    <w:t>。</w:t>
                  </w:r>
                </w:p>
              </w:tc>
              <w:tc>
                <w:tcPr>
                  <w:tcW w:w="692" w:type="dxa"/>
                  <w:tcBorders>
                    <w:tl2br w:val="nil"/>
                    <w:tr2bl w:val="nil"/>
                  </w:tcBorders>
                  <w:noWrap w:val="0"/>
                  <w:vAlign w:val="center"/>
                </w:tcPr>
                <w:p w14:paraId="0F73E77C">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符合</w:t>
                  </w:r>
                </w:p>
              </w:tc>
            </w:tr>
            <w:tr w14:paraId="29E623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20" w:hRule="atLeast"/>
                <w:jc w:val="center"/>
              </w:trPr>
              <w:tc>
                <w:tcPr>
                  <w:tcW w:w="695" w:type="dxa"/>
                  <w:vMerge w:val="continue"/>
                  <w:tcBorders>
                    <w:tl2br w:val="nil"/>
                    <w:tr2bl w:val="nil"/>
                  </w:tcBorders>
                  <w:noWrap w:val="0"/>
                  <w:vAlign w:val="center"/>
                </w:tcPr>
                <w:p w14:paraId="18066D27">
                  <w:pPr>
                    <w:jc w:val="center"/>
                    <w:rPr>
                      <w:color w:val="000000" w:themeColor="text1"/>
                      <w:highlight w:val="none"/>
                      <w14:textFill>
                        <w14:solidFill>
                          <w14:schemeClr w14:val="tx1"/>
                        </w14:solidFill>
                      </w14:textFill>
                    </w:rPr>
                  </w:pPr>
                </w:p>
              </w:tc>
              <w:tc>
                <w:tcPr>
                  <w:tcW w:w="476" w:type="dxa"/>
                  <w:vMerge w:val="continue"/>
                  <w:tcBorders>
                    <w:tl2br w:val="nil"/>
                    <w:tr2bl w:val="nil"/>
                  </w:tcBorders>
                  <w:noWrap w:val="0"/>
                  <w:vAlign w:val="center"/>
                </w:tcPr>
                <w:p w14:paraId="16E57E10">
                  <w:pPr>
                    <w:jc w:val="center"/>
                    <w:rPr>
                      <w:color w:val="000000" w:themeColor="text1"/>
                      <w:highlight w:val="none"/>
                      <w14:textFill>
                        <w14:solidFill>
                          <w14:schemeClr w14:val="tx1"/>
                        </w14:solidFill>
                      </w14:textFill>
                    </w:rPr>
                  </w:pPr>
                </w:p>
              </w:tc>
              <w:tc>
                <w:tcPr>
                  <w:tcW w:w="5015" w:type="dxa"/>
                  <w:tcBorders>
                    <w:tl2br w:val="nil"/>
                    <w:tr2bl w:val="nil"/>
                  </w:tcBorders>
                  <w:noWrap w:val="0"/>
                  <w:vAlign w:val="center"/>
                </w:tcPr>
                <w:p w14:paraId="1BF73601">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三、其它要求</w:t>
                  </w:r>
                </w:p>
                <w:p w14:paraId="6BF3F9CC">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1.福州市石化中上游项目重点在</w:t>
                  </w:r>
                  <w:r>
                    <w:rPr>
                      <w:rFonts w:hint="eastAsia" w:ascii="Times New Roman" w:hAnsi="Times New Roman"/>
                      <w:color w:val="000000" w:themeColor="text1"/>
                      <w:highlight w:val="none"/>
                      <w14:textFill>
                        <w14:solidFill>
                          <w14:schemeClr w14:val="tx1"/>
                        </w14:solidFill>
                      </w14:textFill>
                    </w:rPr>
                    <w:t>福州江阴港城经济区、可门港经济区</w:t>
                  </w:r>
                  <w:r>
                    <w:rPr>
                      <w:rFonts w:ascii="Times New Roman" w:hAnsi="Times New Roman"/>
                      <w:color w:val="000000" w:themeColor="text1"/>
                      <w:highlight w:val="none"/>
                      <w14:textFill>
                        <w14:solidFill>
                          <w14:schemeClr w14:val="tx1"/>
                        </w14:solidFill>
                      </w14:textFill>
                    </w:rPr>
                    <w:t>化工新材料产业园布局。</w:t>
                  </w:r>
                </w:p>
                <w:p w14:paraId="391BA28F">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2.禁止在闽江马尾罗星塔以上流域范围新、扩建制革项目，严控新（扩）建植物制浆、印染、合成革及人造革、电镀项目。</w:t>
                  </w:r>
                </w:p>
                <w:p w14:paraId="548B7964">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3.禁止在通风廊道和主导风向的上风向布局大气重污染企业，推进建成区大气重污染企业搬迁或升级改造、环境风险企业搬迁或关闭退出。</w:t>
                  </w:r>
                </w:p>
                <w:p w14:paraId="2B3D1746">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4.禁止新、改、扩建生产高VOCs含量有机溶剂型涂料、油墨和胶黏剂的项目。</w:t>
                  </w:r>
                </w:p>
                <w:p w14:paraId="7A50912B">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5.持续加强闽清等地建陶产业的环境综合治理，充分衔接国土空间规划和生态环境分区管控，并对照产业政策、城市总体发展规划等要求，进一步明确发展定位，优化产业布局和规模。</w:t>
                  </w:r>
                </w:p>
                <w:p w14:paraId="2C7ED6B5">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6.新建、扩建的涉及重点重金属污染物</w:t>
                  </w:r>
                  <w:r>
                    <w:rPr>
                      <w:rFonts w:ascii="Times New Roman" w:hAnsi="Times New Roman"/>
                      <w:color w:val="000000" w:themeColor="text1"/>
                      <w:highlight w:val="none"/>
                      <w:vertAlign w:val="superscript"/>
                      <w14:textFill>
                        <w14:solidFill>
                          <w14:schemeClr w14:val="tx1"/>
                        </w14:solidFill>
                      </w14:textFill>
                    </w:rPr>
                    <w:t>［1］</w:t>
                  </w:r>
                  <w:r>
                    <w:rPr>
                      <w:rFonts w:ascii="Times New Roman" w:hAnsi="Times New Roman"/>
                      <w:color w:val="000000" w:themeColor="text1"/>
                      <w:highlight w:val="none"/>
                      <w14:textFill>
                        <w14:solidFill>
                          <w14:schemeClr w14:val="tx1"/>
                        </w14:solidFill>
                      </w14:textFill>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0483A611">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7.禁止在流域上游新建、扩建重污染企业和项目。</w:t>
                  </w:r>
                </w:p>
                <w:p w14:paraId="497D72F2">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8.重要敏感水体及富营养化湖库生态缓冲带除相关政府部门批准的科学研究活动外，禁止其它可能对保护区构成危害或不良影响的大规模生产、建设活动。</w:t>
                  </w:r>
                </w:p>
                <w:p w14:paraId="2E4C4E18">
                  <w:pP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新、改、扩建煤电、钢铁、建材、石化、化工等“两高”项目，严格落实国家、省、市产业规划、产业政策、“三线一单”、规划环评，以及产能置换、煤炭消费减量替代、区域污染削减等相关要求。</w:t>
                  </w:r>
                </w:p>
                <w:p w14:paraId="28E5C846">
                  <w:pPr>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w:t>
                  </w:r>
                  <w:r>
                    <w:rPr>
                      <w:rFonts w:ascii="Times New Roman" w:hAnsi="Times New Roman"/>
                      <w:color w:val="000000" w:themeColor="text1"/>
                      <w:highlight w:val="none"/>
                      <w14:textFill>
                        <w14:solidFill>
                          <w14:schemeClr w14:val="tx1"/>
                        </w14:solidFill>
                      </w14:textFill>
                    </w:rPr>
                    <w:t>0.</w:t>
                  </w:r>
                  <w:r>
                    <w:rPr>
                      <w:rFonts w:hint="eastAsia" w:ascii="Times New Roman" w:hAnsi="Times New Roman"/>
                      <w:color w:val="000000" w:themeColor="text1"/>
                      <w:highlight w:val="none"/>
                      <w14:textFill>
                        <w14:solidFill>
                          <w14:schemeClr w14:val="tx1"/>
                        </w14:solidFill>
                      </w14:textFill>
                    </w:rPr>
                    <w:t>单元内涉及永久基本农田的，应按照《福建省基本农田保护条例》（2010年修正本）、《国土资源部关于全面实行永久</w:t>
                  </w:r>
                  <w:r>
                    <w:rPr>
                      <w:rFonts w:hint="eastAsia"/>
                      <w:color w:val="000000" w:themeColor="text1"/>
                      <w:highlight w:val="none"/>
                      <w:lang w:val="en-US" w:eastAsia="zh-CN"/>
                      <w14:textFill>
                        <w14:solidFill>
                          <w14:schemeClr w14:val="tx1"/>
                        </w14:solidFill>
                      </w14:textFill>
                    </w:rPr>
                    <w:t>基本</w:t>
                  </w:r>
                  <w:r>
                    <w:rPr>
                      <w:rFonts w:hint="eastAsia" w:ascii="Times New Roman" w:hAnsi="Times New Roman"/>
                      <w:color w:val="000000" w:themeColor="text1"/>
                      <w:highlight w:val="none"/>
                      <w14:textFill>
                        <w14:solidFill>
                          <w14:schemeClr w14:val="tx1"/>
                        </w14:solidFill>
                      </w14:textFill>
                    </w:rPr>
                    <w:t>农田特殊保护的通知》（国土资规</w:t>
                  </w:r>
                  <w:r>
                    <w:rPr>
                      <w:rFonts w:ascii="Times New Roman" w:hAnsi="Times New Roman"/>
                      <w:color w:val="000000" w:themeColor="text1"/>
                      <w:highlight w:val="none"/>
                      <w14:textFill>
                        <w14:solidFill>
                          <w14:schemeClr w14:val="tx1"/>
                        </w14:solidFill>
                      </w14:textFill>
                    </w:rPr>
                    <w:t>〔2018〕</w:t>
                  </w:r>
                  <w:r>
                    <w:rPr>
                      <w:rFonts w:hint="eastAsia" w:ascii="Times New Roman" w:hAnsi="Times New Roman"/>
                      <w:color w:val="000000" w:themeColor="text1"/>
                      <w:highlight w:val="none"/>
                      <w14:textFill>
                        <w14:solidFill>
                          <w14:schemeClr w14:val="tx1"/>
                        </w14:solidFill>
                      </w14:textFill>
                    </w:rPr>
                    <w:t>1号）、《中共中央</w:t>
                  </w:r>
                  <w:r>
                    <w:rPr>
                      <w:rFonts w:hint="eastAsia"/>
                      <w:color w:val="000000" w:themeColor="text1"/>
                      <w:highlight w:val="none"/>
                      <w:lang w:val="en-US" w:eastAsia="zh-CN"/>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国务院关于加强耕地保护和改进占补平衡的意见》（2017年1月9日）等相关文件要求进</w:t>
                  </w:r>
                  <w:r>
                    <w:rPr>
                      <w:rFonts w:hint="eastAsia"/>
                      <w:color w:val="000000" w:themeColor="text1"/>
                      <w:highlight w:val="none"/>
                      <w:lang w:eastAsia="zh-CN"/>
                      <w14:textFill>
                        <w14:solidFill>
                          <w14:schemeClr w14:val="tx1"/>
                        </w14:solidFill>
                      </w14:textFill>
                    </w:rPr>
                    <w:t>行严</w:t>
                  </w:r>
                  <w:r>
                    <w:rPr>
                      <w:rFonts w:hint="eastAsia" w:ascii="Times New Roman" w:hAnsi="Times New Roman"/>
                      <w:color w:val="000000" w:themeColor="text1"/>
                      <w:highlight w:val="none"/>
                      <w14:textFill>
                        <w14:solidFill>
                          <w14:schemeClr w14:val="tx1"/>
                        </w14:solidFill>
                      </w14:textFill>
                    </w:rPr>
                    <w:t>格管理，</w:t>
                  </w:r>
                  <w:r>
                    <w:rPr>
                      <w:rFonts w:ascii="Times New Roman" w:hAnsi="Times New Roman"/>
                      <w:color w:val="000000" w:themeColor="text1"/>
                      <w:highlight w:val="none"/>
                      <w14:textFill>
                        <w14:solidFill>
                          <w14:schemeClr w14:val="tx1"/>
                        </w14:solidFill>
                      </w14:textFill>
                    </w:rPr>
                    <w:t>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44" w:type="dxa"/>
                  <w:tcBorders>
                    <w:tl2br w:val="nil"/>
                    <w:tr2bl w:val="nil"/>
                  </w:tcBorders>
                  <w:noWrap w:val="0"/>
                  <w:vAlign w:val="center"/>
                </w:tcPr>
                <w:p w14:paraId="05C7EA09">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本项目位于</w:t>
                  </w:r>
                  <w:r>
                    <w:rPr>
                      <w:rFonts w:hint="eastAsia"/>
                      <w:color w:val="000000" w:themeColor="text1"/>
                      <w:highlight w:val="none"/>
                      <w:lang w:eastAsia="zh-CN"/>
                      <w14:textFill>
                        <w14:solidFill>
                          <w14:schemeClr w14:val="tx1"/>
                        </w14:solidFill>
                      </w14:textFill>
                    </w:rPr>
                    <w:t>福州市生物医药和机电产业园中的机电产业园</w:t>
                  </w:r>
                  <w:r>
                    <w:rPr>
                      <w:rFonts w:hint="eastAsia" w:ascii="Times New Roman" w:hAnsi="Times New Roman"/>
                      <w:color w:val="000000" w:themeColor="text1"/>
                      <w:highlight w:val="none"/>
                      <w14:textFill>
                        <w14:solidFill>
                          <w14:schemeClr w14:val="tx1"/>
                        </w14:solidFill>
                      </w14:textFill>
                    </w:rPr>
                    <w:t>，项目主要</w:t>
                  </w:r>
                  <w:r>
                    <w:rPr>
                      <w:rFonts w:hint="eastAsia" w:ascii="Times New Roman" w:hAnsi="Times New Roman"/>
                      <w:color w:val="000000" w:themeColor="text1"/>
                      <w:highlight w:val="none"/>
                      <w:lang w:val="en-US" w:eastAsia="zh-CN"/>
                      <w14:textFill>
                        <w14:solidFill>
                          <w14:schemeClr w14:val="tx1"/>
                        </w14:solidFill>
                      </w14:textFill>
                    </w:rPr>
                    <w:t>从事</w:t>
                  </w:r>
                  <w:r>
                    <w:rPr>
                      <w:rFonts w:hint="eastAsia"/>
                      <w:color w:val="000000" w:themeColor="text1"/>
                      <w:highlight w:val="none"/>
                      <w:lang w:val="en-US" w:eastAsia="zh-CN"/>
                      <w14:textFill>
                        <w14:solidFill>
                          <w14:schemeClr w14:val="tx1"/>
                        </w14:solidFill>
                      </w14:textFill>
                    </w:rPr>
                    <w:t>光学元器件</w:t>
                  </w:r>
                  <w:r>
                    <w:rPr>
                      <w:rFonts w:hint="eastAsia" w:ascii="Times New Roman" w:hAnsi="Times New Roman"/>
                      <w:color w:val="000000" w:themeColor="text1"/>
                      <w:highlight w:val="none"/>
                      <w:lang w:val="en-US" w:eastAsia="zh-CN"/>
                      <w14:textFill>
                        <w14:solidFill>
                          <w14:schemeClr w14:val="tx1"/>
                        </w14:solidFill>
                      </w14:textFill>
                    </w:rPr>
                    <w:t>生产</w:t>
                  </w:r>
                  <w:r>
                    <w:rPr>
                      <w:rFonts w:hint="eastAsia" w:ascii="Times New Roman" w:hAnsi="Times New Roman"/>
                      <w:color w:val="000000" w:themeColor="text1"/>
                      <w:highlight w:val="none"/>
                      <w14:textFill>
                        <w14:solidFill>
                          <w14:schemeClr w14:val="tx1"/>
                        </w14:solidFill>
                      </w14:textFill>
                    </w:rPr>
                    <w:t>，不属于禁止建设类项目。</w:t>
                  </w:r>
                </w:p>
              </w:tc>
              <w:tc>
                <w:tcPr>
                  <w:tcW w:w="692" w:type="dxa"/>
                  <w:tcBorders>
                    <w:tl2br w:val="nil"/>
                    <w:tr2bl w:val="nil"/>
                  </w:tcBorders>
                  <w:noWrap w:val="0"/>
                  <w:vAlign w:val="center"/>
                </w:tcPr>
                <w:p w14:paraId="63EDECFC">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符合</w:t>
                  </w:r>
                </w:p>
              </w:tc>
            </w:tr>
            <w:tr w14:paraId="216714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20" w:hRule="atLeast"/>
                <w:jc w:val="center"/>
              </w:trPr>
              <w:tc>
                <w:tcPr>
                  <w:tcW w:w="695" w:type="dxa"/>
                  <w:vMerge w:val="continue"/>
                  <w:tcBorders>
                    <w:tl2br w:val="nil"/>
                    <w:tr2bl w:val="nil"/>
                  </w:tcBorders>
                  <w:noWrap w:val="0"/>
                  <w:vAlign w:val="center"/>
                </w:tcPr>
                <w:p w14:paraId="366BE72A">
                  <w:pPr>
                    <w:rPr>
                      <w:color w:val="000000" w:themeColor="text1"/>
                      <w:highlight w:val="none"/>
                      <w14:textFill>
                        <w14:solidFill>
                          <w14:schemeClr w14:val="tx1"/>
                        </w14:solidFill>
                      </w14:textFill>
                    </w:rPr>
                  </w:pPr>
                </w:p>
              </w:tc>
              <w:tc>
                <w:tcPr>
                  <w:tcW w:w="476" w:type="dxa"/>
                  <w:tcBorders>
                    <w:tl2br w:val="nil"/>
                    <w:tr2bl w:val="nil"/>
                  </w:tcBorders>
                  <w:noWrap w:val="0"/>
                  <w:vAlign w:val="center"/>
                </w:tcPr>
                <w:p w14:paraId="1B39ED7E">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污染物排放管控</w:t>
                  </w:r>
                </w:p>
              </w:tc>
              <w:tc>
                <w:tcPr>
                  <w:tcW w:w="5015" w:type="dxa"/>
                  <w:tcBorders>
                    <w:tl2br w:val="nil"/>
                    <w:tr2bl w:val="nil"/>
                  </w:tcBorders>
                  <w:noWrap w:val="0"/>
                  <w:vAlign w:val="center"/>
                </w:tcPr>
                <w:p w14:paraId="15DF4D41">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75D1071B">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2.新、改、扩建涉VOCs排放项目</w:t>
                  </w:r>
                  <w:r>
                    <w:rPr>
                      <w:rFonts w:hint="eastAsia" w:ascii="Times New Roman" w:hAnsi="Times New Roman"/>
                      <w:color w:val="000000" w:themeColor="text1"/>
                      <w:highlight w:val="none"/>
                      <w14:textFill>
                        <w14:solidFill>
                          <w14:schemeClr w14:val="tx1"/>
                        </w14:solidFill>
                      </w14:textFill>
                    </w:rPr>
                    <w:t>污染物排放量应满足</w:t>
                  </w:r>
                  <w:r>
                    <w:rPr>
                      <w:rFonts w:ascii="Times New Roman" w:hAnsi="Times New Roman"/>
                      <w:color w:val="000000" w:themeColor="text1"/>
                      <w:highlight w:val="none"/>
                      <w14:textFill>
                        <w14:solidFill>
                          <w14:schemeClr w14:val="tx1"/>
                        </w14:solidFill>
                      </w14:textFill>
                    </w:rPr>
                    <w:t>《福州市“十四五”空气质量持续改善计划》</w:t>
                  </w:r>
                  <w:r>
                    <w:rPr>
                      <w:rFonts w:hint="eastAsia" w:ascii="Times New Roman" w:hAnsi="Times New Roman"/>
                      <w:color w:val="000000" w:themeColor="text1"/>
                      <w:highlight w:val="none"/>
                      <w14:textFill>
                        <w14:solidFill>
                          <w14:schemeClr w14:val="tx1"/>
                        </w14:solidFill>
                      </w14:textFill>
                    </w:rPr>
                    <w:t>（榕环保综〔2023〕40号）</w:t>
                  </w:r>
                  <w:r>
                    <w:rPr>
                      <w:rFonts w:ascii="Times New Roman" w:hAnsi="Times New Roman"/>
                      <w:color w:val="000000" w:themeColor="text1"/>
                      <w:highlight w:val="none"/>
                      <w14:textFill>
                        <w14:solidFill>
                          <w14:schemeClr w14:val="tx1"/>
                        </w14:solidFill>
                      </w14:textFill>
                    </w:rPr>
                    <w:t>，应从源头加强控制，使用低（无）VOCs含量的原辅材料</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 xml:space="preserve"> </w:t>
                  </w:r>
                </w:p>
                <w:p w14:paraId="118B728A">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3.严格控制新建、改建、扩建钢铁、水泥、平板玻璃、有色金属冶炼、化工等工业项目。新</w:t>
                  </w:r>
                  <w:r>
                    <w:rPr>
                      <w:rFonts w:hint="eastAsia" w:ascii="Times New Roman" w:hAnsi="Times New Roman"/>
                      <w:color w:val="000000" w:themeColor="text1"/>
                      <w:highlight w:val="none"/>
                      <w14:textFill>
                        <w14:solidFill>
                          <w14:schemeClr w14:val="tx1"/>
                        </w14:solidFill>
                      </w14:textFill>
                    </w:rPr>
                    <w:t>改扩</w:t>
                  </w:r>
                  <w:r>
                    <w:rPr>
                      <w:rFonts w:ascii="Times New Roman" w:hAnsi="Times New Roman"/>
                      <w:color w:val="000000" w:themeColor="text1"/>
                      <w:highlight w:val="none"/>
                      <w14:textFill>
                        <w14:solidFill>
                          <w14:schemeClr w14:val="tx1"/>
                        </w14:solidFill>
                      </w14:textFill>
                    </w:rPr>
                    <w:t>建钢铁、火电</w:t>
                  </w:r>
                  <w:r>
                    <w:rPr>
                      <w:rFonts w:hint="eastAsia" w:ascii="Times New Roman" w:hAnsi="Times New Roman"/>
                      <w:color w:val="000000" w:themeColor="text1"/>
                      <w:highlight w:val="none"/>
                      <w14:textFill>
                        <w14:solidFill>
                          <w14:schemeClr w14:val="tx1"/>
                        </w14:solidFill>
                      </w14:textFill>
                    </w:rPr>
                    <w:t>项目应执行超低排放限值，</w:t>
                  </w:r>
                  <w:r>
                    <w:rPr>
                      <w:rFonts w:ascii="Times New Roman" w:hAnsi="Times New Roman"/>
                      <w:color w:val="000000" w:themeColor="text1"/>
                      <w:highlight w:val="none"/>
                      <w14:textFill>
                        <w14:solidFill>
                          <w14:schemeClr w14:val="tx1"/>
                        </w14:solidFill>
                      </w14:textFill>
                    </w:rPr>
                    <w:t>有色项目应当执行大气污染物特别排放限值。重点控制区新建化工、石化应当执行大气污染物特别排放限值。</w:t>
                  </w:r>
                </w:p>
                <w:p w14:paraId="59C6F94C">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4.氟化工、印染、电镀等行业企业实行水污染物特别排放限值。</w:t>
                  </w:r>
                </w:p>
                <w:p w14:paraId="3F04AE2A">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w:t>
                  </w:r>
                  <w:r>
                    <w:rPr>
                      <w:rFonts w:hint="eastAsia" w:ascii="Times New Roman" w:hAnsi="Times New Roman"/>
                      <w:color w:val="000000" w:themeColor="text1"/>
                      <w:highlight w:val="none"/>
                      <w14:textFill>
                        <w14:solidFill>
                          <w14:schemeClr w14:val="tx1"/>
                        </w14:solidFill>
                      </w14:textFill>
                    </w:rPr>
                    <w:t>新、改、扩建重点行业</w:t>
                  </w:r>
                  <w:r>
                    <w:rPr>
                      <w:rFonts w:hint="eastAsia" w:ascii="Times New Roman" w:hAnsi="Times New Roman"/>
                      <w:color w:val="000000" w:themeColor="text1"/>
                      <w:highlight w:val="none"/>
                      <w:vertAlign w:val="superscript"/>
                      <w14:textFill>
                        <w14:solidFill>
                          <w14:schemeClr w14:val="tx1"/>
                        </w14:solidFill>
                      </w14:textFill>
                    </w:rPr>
                    <w:t>［</w:t>
                  </w:r>
                  <w:r>
                    <w:rPr>
                      <w:rFonts w:ascii="Times New Roman" w:hAnsi="Times New Roman"/>
                      <w:color w:val="000000" w:themeColor="text1"/>
                      <w:highlight w:val="none"/>
                      <w:vertAlign w:val="superscript"/>
                      <w14:textFill>
                        <w14:solidFill>
                          <w14:schemeClr w14:val="tx1"/>
                        </w14:solidFill>
                      </w14:textFill>
                    </w:rPr>
                    <w:t>2</w:t>
                  </w:r>
                  <w:r>
                    <w:rPr>
                      <w:rFonts w:hint="eastAsia" w:ascii="Times New Roman" w:hAnsi="Times New Roman"/>
                      <w:color w:val="000000" w:themeColor="text1"/>
                      <w:highlight w:val="none"/>
                      <w:vertAlign w:val="superscript"/>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建设项目要遵循重点重金属污染物排放</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等量替代</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原则，总量来源原则上应是同一重点行业内的削减量，当同一重点行业无法满足时可从其他重点行业调剂。</w:t>
                  </w:r>
                </w:p>
                <w:p w14:paraId="23C1D438">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w:t>
                  </w:r>
                  <w:r>
                    <w:rPr>
                      <w:rFonts w:hint="eastAsia" w:ascii="Times New Roman" w:hAnsi="Times New Roman"/>
                      <w:color w:val="000000" w:themeColor="text1"/>
                      <w:highlight w:val="none"/>
                      <w14:textFill>
                        <w14:solidFill>
                          <w14:schemeClr w14:val="tx1"/>
                        </w14:solidFill>
                      </w14:textFill>
                    </w:rPr>
                    <w:t>每小时</w:t>
                  </w:r>
                  <w:r>
                    <w:rPr>
                      <w:rFonts w:ascii="Times New Roman" w:hAnsi="Times New Roman"/>
                      <w:color w:val="000000" w:themeColor="text1"/>
                      <w:highlight w:val="none"/>
                      <w14:textFill>
                        <w14:solidFill>
                          <w14:schemeClr w14:val="tx1"/>
                        </w14:solidFill>
                      </w14:textFill>
                    </w:rPr>
                    <w:t>35</w:t>
                  </w:r>
                  <w:r>
                    <w:rPr>
                      <w:rFonts w:hint="eastAsia" w:ascii="Times New Roman" w:hAnsi="Times New Roman"/>
                      <w:color w:val="000000" w:themeColor="text1"/>
                      <w:highlight w:val="none"/>
                      <w14:textFill>
                        <w14:solidFill>
                          <w14:schemeClr w14:val="tx1"/>
                        </w14:solidFill>
                      </w14:textFill>
                    </w:rPr>
                    <w:t>（含）</w:t>
                  </w:r>
                  <w:r>
                    <w:rPr>
                      <w:rFonts w:ascii="Times New Roman" w:hAnsi="Times New Roman"/>
                      <w:color w:val="000000" w:themeColor="text1"/>
                      <w:highlight w:val="none"/>
                      <w14:textFill>
                        <w14:solidFill>
                          <w14:schemeClr w14:val="tx1"/>
                        </w14:solidFill>
                      </w14:textFill>
                    </w:rPr>
                    <w:t>—65</w:t>
                  </w:r>
                  <w:r>
                    <w:rPr>
                      <w:rFonts w:hint="eastAsia" w:ascii="Times New Roman" w:hAnsi="Times New Roman"/>
                      <w:color w:val="000000" w:themeColor="text1"/>
                      <w:highlight w:val="none"/>
                      <w14:textFill>
                        <w14:solidFill>
                          <w14:schemeClr w14:val="tx1"/>
                        </w14:solidFill>
                      </w14:textFill>
                    </w:rPr>
                    <w:t>蒸吨燃煤锅炉和位于县级及以上城市建成区内保留的燃煤、燃油、燃生物质锅炉，原则上</w:t>
                  </w:r>
                  <w:r>
                    <w:rPr>
                      <w:rFonts w:ascii="Times New Roman" w:hAnsi="Times New Roman"/>
                      <w:color w:val="000000" w:themeColor="text1"/>
                      <w:highlight w:val="none"/>
                      <w14:textFill>
                        <w14:solidFill>
                          <w14:schemeClr w14:val="tx1"/>
                        </w14:solidFill>
                      </w14:textFill>
                    </w:rPr>
                    <w:t>2024</w:t>
                  </w:r>
                  <w:r>
                    <w:rPr>
                      <w:rFonts w:hint="eastAsia" w:ascii="Times New Roman" w:hAnsi="Times New Roman"/>
                      <w:color w:val="000000" w:themeColor="text1"/>
                      <w:highlight w:val="none"/>
                      <w14:textFill>
                        <w14:solidFill>
                          <w14:schemeClr w14:val="tx1"/>
                        </w14:solidFill>
                      </w14:textFill>
                    </w:rPr>
                    <w:t>年底前必须全面实现超低排放。</w:t>
                  </w:r>
                </w:p>
                <w:p w14:paraId="4E86DDC7">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w:t>
                  </w:r>
                  <w:r>
                    <w:rPr>
                      <w:rFonts w:hint="eastAsia" w:ascii="Times New Roman" w:hAnsi="Times New Roman"/>
                      <w:color w:val="000000" w:themeColor="text1"/>
                      <w:highlight w:val="none"/>
                      <w14:textFill>
                        <w14:solidFill>
                          <w14:schemeClr w14:val="tx1"/>
                        </w14:solidFill>
                      </w14:textFill>
                    </w:rPr>
                    <w:t>水泥行业新改扩建项目严格对照超低排放、能效标杆水平建设实施；现有项目超低排放改造应按文件（闽环规〔</w:t>
                  </w:r>
                  <w:r>
                    <w:rPr>
                      <w:rFonts w:ascii="Times New Roman" w:hAnsi="Times New Roman"/>
                      <w:color w:val="000000" w:themeColor="text1"/>
                      <w:highlight w:val="none"/>
                      <w14:textFill>
                        <w14:solidFill>
                          <w14:schemeClr w14:val="tx1"/>
                        </w14:solidFill>
                      </w14:textFill>
                    </w:rPr>
                    <w:t>2023</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号）的时限要求分步推进，</w:t>
                  </w:r>
                  <w:r>
                    <w:rPr>
                      <w:rFonts w:ascii="Times New Roman" w:hAnsi="Times New Roman"/>
                      <w:color w:val="000000" w:themeColor="text1"/>
                      <w:highlight w:val="none"/>
                      <w14:textFill>
                        <w14:solidFill>
                          <w14:schemeClr w14:val="tx1"/>
                        </w14:solidFill>
                      </w14:textFill>
                    </w:rPr>
                    <w:t>2025</w:t>
                  </w:r>
                  <w:r>
                    <w:rPr>
                      <w:rFonts w:hint="eastAsia" w:ascii="Times New Roman" w:hAnsi="Times New Roman"/>
                      <w:color w:val="000000" w:themeColor="text1"/>
                      <w:highlight w:val="none"/>
                      <w14:textFill>
                        <w14:solidFill>
                          <w14:schemeClr w14:val="tx1"/>
                        </w14:solidFill>
                      </w14:textFill>
                    </w:rPr>
                    <w:t>年底前</w:t>
                  </w:r>
                  <w:r>
                    <w:rPr>
                      <w:rFonts w:ascii="Times New Roman" w:hAnsi="Times New Roman"/>
                      <w:color w:val="000000" w:themeColor="text1"/>
                      <w:highlight w:val="none"/>
                      <w14:textFill>
                        <w14:solidFill>
                          <w14:schemeClr w14:val="tx1"/>
                        </w14:solidFill>
                      </w14:textFill>
                    </w:rPr>
                    <w:t>全面完成</w:t>
                  </w:r>
                  <w:r>
                    <w:rPr>
                      <w:rFonts w:ascii="Times New Roman" w:hAnsi="Times New Roman"/>
                      <w:color w:val="000000" w:themeColor="text1"/>
                      <w:highlight w:val="none"/>
                      <w:vertAlign w:val="superscript"/>
                      <w14:textFill>
                        <w14:solidFill>
                          <w14:schemeClr w14:val="tx1"/>
                        </w14:solidFill>
                      </w14:textFill>
                    </w:rPr>
                    <w:t>［3］［4］</w:t>
                  </w:r>
                  <w:r>
                    <w:rPr>
                      <w:rFonts w:ascii="Times New Roman" w:hAnsi="Times New Roman"/>
                      <w:color w:val="000000" w:themeColor="text1"/>
                      <w:highlight w:val="none"/>
                      <w14:textFill>
                        <w14:solidFill>
                          <w14:schemeClr w14:val="tx1"/>
                        </w14:solidFill>
                      </w14:textFill>
                    </w:rPr>
                    <w:t>。</w:t>
                  </w:r>
                </w:p>
                <w:p w14:paraId="40D8EE82">
                  <w:pPr>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r>
                    <w:rPr>
                      <w:rFonts w:ascii="Times New Roman" w:hAnsi="Times New Roman"/>
                      <w:color w:val="000000" w:themeColor="text1"/>
                      <w:highlight w:val="none"/>
                      <w14:textFill>
                        <w14:solidFill>
                          <w14:schemeClr w14:val="tx1"/>
                        </w14:solidFill>
                      </w14:textFill>
                    </w:rPr>
                    <w:t>。</w:t>
                  </w:r>
                </w:p>
              </w:tc>
              <w:tc>
                <w:tcPr>
                  <w:tcW w:w="1044" w:type="dxa"/>
                  <w:tcBorders>
                    <w:tl2br w:val="nil"/>
                    <w:tr2bl w:val="nil"/>
                  </w:tcBorders>
                  <w:noWrap w:val="0"/>
                  <w:vAlign w:val="center"/>
                </w:tcPr>
                <w:p w14:paraId="6DAC0698">
                  <w:pPr>
                    <w:jc w:val="center"/>
                    <w:rPr>
                      <w:color w:val="000000" w:themeColor="text1"/>
                      <w:highlight w:val="none"/>
                      <w14:textFill>
                        <w14:solidFill>
                          <w14:schemeClr w14:val="tx1"/>
                        </w14:solidFill>
                      </w14:textFill>
                    </w:rPr>
                  </w:pPr>
                  <w:r>
                    <w:rPr>
                      <w:rFonts w:hint="eastAsia" w:cs="Times New Roman"/>
                      <w:color w:val="000000" w:themeColor="text1"/>
                      <w:kern w:val="0"/>
                      <w:sz w:val="21"/>
                      <w:szCs w:val="18"/>
                      <w:highlight w:val="none"/>
                      <w:lang w:val="en-US" w:eastAsia="zh-CN"/>
                      <w14:textFill>
                        <w14:solidFill>
                          <w14:schemeClr w14:val="tx1"/>
                        </w14:solidFill>
                      </w14:textFill>
                    </w:rPr>
                    <w:t>项目新增</w:t>
                  </w:r>
                  <w:r>
                    <w:rPr>
                      <w:rFonts w:hint="default" w:ascii="Times New Roman" w:hAnsi="Times New Roman" w:cs="Times New Roman"/>
                      <w:color w:val="000000" w:themeColor="text1"/>
                      <w:kern w:val="0"/>
                      <w:sz w:val="21"/>
                      <w:szCs w:val="18"/>
                      <w:highlight w:val="none"/>
                      <w14:textFill>
                        <w14:solidFill>
                          <w14:schemeClr w14:val="tx1"/>
                        </w14:solidFill>
                      </w14:textFill>
                    </w:rPr>
                    <w:t>VOCs</w:t>
                  </w:r>
                  <w:r>
                    <w:rPr>
                      <w:rFonts w:hint="eastAsia" w:cs="Times New Roman"/>
                      <w:color w:val="000000" w:themeColor="text1"/>
                      <w:kern w:val="0"/>
                      <w:sz w:val="21"/>
                      <w:szCs w:val="18"/>
                      <w:highlight w:val="none"/>
                      <w:lang w:val="en-US" w:eastAsia="zh-CN"/>
                      <w14:textFill>
                        <w14:solidFill>
                          <w14:schemeClr w14:val="tx1"/>
                        </w14:solidFill>
                      </w14:textFill>
                    </w:rPr>
                    <w:t>落实</w:t>
                  </w:r>
                  <w:r>
                    <w:rPr>
                      <w:rFonts w:hint="default" w:ascii="Times New Roman" w:hAnsi="Times New Roman" w:cs="Times New Roman"/>
                      <w:color w:val="000000" w:themeColor="text1"/>
                      <w:kern w:val="0"/>
                      <w:sz w:val="21"/>
                      <w:szCs w:val="18"/>
                      <w:highlight w:val="none"/>
                      <w:lang w:val="en-US" w:eastAsia="zh-CN"/>
                      <w14:textFill>
                        <w14:solidFill>
                          <w14:schemeClr w14:val="tx1"/>
                        </w14:solidFill>
                      </w14:textFill>
                    </w:rPr>
                    <w:t>排放总量控制要求</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项目生产废水处理后通过市政污水管网送往福州大学城污水处理厂集中处理，生活污水经隔油+化粪池处理达标后排入市政污水管网，送往福州大学城污水处理厂集中处理</w:t>
                  </w:r>
                  <w:r>
                    <w:rPr>
                      <w:rFonts w:ascii="Times New Roman" w:hAnsi="Times New Roman"/>
                      <w:color w:val="000000" w:themeColor="text1"/>
                      <w:highlight w:val="none"/>
                      <w14:textFill>
                        <w14:solidFill>
                          <w14:schemeClr w14:val="tx1"/>
                        </w14:solidFill>
                      </w14:textFill>
                    </w:rPr>
                    <w:t>，符合要求。</w:t>
                  </w:r>
                </w:p>
              </w:tc>
              <w:tc>
                <w:tcPr>
                  <w:tcW w:w="692" w:type="dxa"/>
                  <w:tcBorders>
                    <w:tl2br w:val="nil"/>
                    <w:tr2bl w:val="nil"/>
                  </w:tcBorders>
                  <w:noWrap w:val="0"/>
                  <w:vAlign w:val="center"/>
                </w:tcPr>
                <w:p w14:paraId="07315053">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符合</w:t>
                  </w:r>
                </w:p>
              </w:tc>
            </w:tr>
            <w:tr w14:paraId="05E0CD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20" w:hRule="atLeast"/>
                <w:jc w:val="center"/>
              </w:trPr>
              <w:tc>
                <w:tcPr>
                  <w:tcW w:w="695" w:type="dxa"/>
                  <w:vMerge w:val="continue"/>
                  <w:tcBorders>
                    <w:tl2br w:val="nil"/>
                    <w:tr2bl w:val="nil"/>
                  </w:tcBorders>
                  <w:noWrap w:val="0"/>
                  <w:vAlign w:val="center"/>
                </w:tcPr>
                <w:p w14:paraId="3E111C08">
                  <w:pPr>
                    <w:rPr>
                      <w:color w:val="000000" w:themeColor="text1"/>
                      <w:highlight w:val="none"/>
                      <w14:textFill>
                        <w14:solidFill>
                          <w14:schemeClr w14:val="tx1"/>
                        </w14:solidFill>
                      </w14:textFill>
                    </w:rPr>
                  </w:pPr>
                </w:p>
              </w:tc>
              <w:tc>
                <w:tcPr>
                  <w:tcW w:w="476" w:type="dxa"/>
                  <w:tcBorders>
                    <w:tl2br w:val="nil"/>
                    <w:tr2bl w:val="nil"/>
                  </w:tcBorders>
                  <w:noWrap w:val="0"/>
                  <w:vAlign w:val="center"/>
                </w:tcPr>
                <w:p w14:paraId="0E6FCF2C">
                  <w:pPr>
                    <w:jc w:val="cente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资源开发效率要求</w:t>
                  </w:r>
                </w:p>
              </w:tc>
              <w:tc>
                <w:tcPr>
                  <w:tcW w:w="5015" w:type="dxa"/>
                  <w:tcBorders>
                    <w:tl2br w:val="nil"/>
                    <w:tr2bl w:val="nil"/>
                  </w:tcBorders>
                  <w:noWrap w:val="0"/>
                  <w:vAlign w:val="center"/>
                </w:tcPr>
                <w:p w14:paraId="3958A41B">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w:t>
                  </w:r>
                  <w:r>
                    <w:rPr>
                      <w:rFonts w:hint="eastAsia" w:ascii="Times New Roman" w:hAnsi="Times New Roman"/>
                      <w:color w:val="000000" w:themeColor="text1"/>
                      <w:highlight w:val="none"/>
                      <w14:textFill>
                        <w14:solidFill>
                          <w14:schemeClr w14:val="tx1"/>
                        </w14:solidFill>
                      </w14:textFill>
                    </w:rPr>
                    <w:t>禁止</w:t>
                  </w:r>
                  <w:r>
                    <w:rPr>
                      <w:rFonts w:ascii="Times New Roman" w:hAnsi="Times New Roman"/>
                      <w:color w:val="000000" w:themeColor="text1"/>
                      <w:highlight w:val="none"/>
                      <w14:textFill>
                        <w14:solidFill>
                          <w14:schemeClr w14:val="tx1"/>
                        </w14:solidFill>
                      </w14:textFill>
                    </w:rPr>
                    <w:t>新建每小时35蒸吨以下燃煤锅炉</w:t>
                  </w:r>
                  <w:r>
                    <w:rPr>
                      <w:rFonts w:hint="eastAsia" w:ascii="Times New Roman" w:hAnsi="Times New Roman"/>
                      <w:color w:val="000000" w:themeColor="text1"/>
                      <w:highlight w:val="none"/>
                      <w14:textFill>
                        <w14:solidFill>
                          <w14:schemeClr w14:val="tx1"/>
                        </w14:solidFill>
                      </w14:textFill>
                    </w:rPr>
                    <w:t>，以及每小时1</w:t>
                  </w:r>
                  <w:r>
                    <w:rPr>
                      <w:rFonts w:ascii="Times New Roman" w:hAnsi="Times New Roman"/>
                      <w:color w:val="000000" w:themeColor="text1"/>
                      <w:highlight w:val="none"/>
                      <w14:textFill>
                        <w14:solidFill>
                          <w14:schemeClr w14:val="tx1"/>
                        </w14:solidFill>
                      </w14:textFill>
                    </w:rPr>
                    <w:t>0</w:t>
                  </w:r>
                  <w:r>
                    <w:rPr>
                      <w:rFonts w:hint="eastAsia" w:ascii="Times New Roman" w:hAnsi="Times New Roman"/>
                      <w:color w:val="000000" w:themeColor="text1"/>
                      <w:highlight w:val="none"/>
                      <w14:textFill>
                        <w14:solidFill>
                          <w14:schemeClr w14:val="tx1"/>
                        </w14:solidFill>
                      </w14:textFill>
                    </w:rPr>
                    <w:t>蒸吨及以下燃生物质和其他使用高污染燃料的锅炉。</w:t>
                  </w:r>
                  <w:r>
                    <w:rPr>
                      <w:rFonts w:ascii="Times New Roman" w:hAnsi="Times New Roman"/>
                      <w:color w:val="000000" w:themeColor="text1"/>
                      <w:highlight w:val="none"/>
                      <w14:textFill>
                        <w14:solidFill>
                          <w14:schemeClr w14:val="tx1"/>
                        </w14:solidFill>
                      </w14:textFill>
                    </w:rPr>
                    <w:t>集中供热管网覆盖范围内禁止新建、扩建分散燃煤、燃油等供热锅炉。</w:t>
                  </w:r>
                </w:p>
                <w:p w14:paraId="7E9DAEAA">
                  <w:pPr>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2.按照“提气、转电、控煤”的发展思路，推动陶瓷行业进一步优化用能结构，实现能源消费清洁低碳化。</w:t>
                  </w:r>
                </w:p>
              </w:tc>
              <w:tc>
                <w:tcPr>
                  <w:tcW w:w="1044" w:type="dxa"/>
                  <w:tcBorders>
                    <w:tl2br w:val="nil"/>
                    <w:tr2bl w:val="nil"/>
                  </w:tcBorders>
                  <w:noWrap w:val="0"/>
                  <w:vAlign w:val="center"/>
                </w:tcPr>
                <w:p w14:paraId="7B650912">
                  <w:pPr>
                    <w:jc w:val="center"/>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本项目不涉及锅炉，使用能源为电能</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属于清洁能源。</w:t>
                  </w:r>
                </w:p>
              </w:tc>
              <w:tc>
                <w:tcPr>
                  <w:tcW w:w="692" w:type="dxa"/>
                  <w:tcBorders>
                    <w:tl2br w:val="nil"/>
                    <w:tr2bl w:val="nil"/>
                  </w:tcBorders>
                  <w:noWrap w:val="0"/>
                  <w:vAlign w:val="center"/>
                </w:tcPr>
                <w:p w14:paraId="4436C28F">
                  <w:pPr>
                    <w:jc w:val="center"/>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符合</w:t>
                  </w:r>
                </w:p>
              </w:tc>
            </w:tr>
            <w:tr w14:paraId="7D5E82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20" w:hRule="atLeast"/>
                <w:jc w:val="center"/>
              </w:trPr>
              <w:tc>
                <w:tcPr>
                  <w:tcW w:w="695" w:type="dxa"/>
                  <w:tcBorders>
                    <w:tl2br w:val="nil"/>
                    <w:tr2bl w:val="nil"/>
                  </w:tcBorders>
                  <w:noWrap w:val="0"/>
                  <w:vAlign w:val="center"/>
                </w:tcPr>
                <w:p w14:paraId="67DA09A8">
                  <w:pP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备注栏</w:t>
                  </w:r>
                </w:p>
              </w:tc>
              <w:tc>
                <w:tcPr>
                  <w:tcW w:w="476" w:type="dxa"/>
                  <w:tcBorders>
                    <w:tl2br w:val="nil"/>
                    <w:tr2bl w:val="nil"/>
                  </w:tcBorders>
                  <w:noWrap w:val="0"/>
                  <w:vAlign w:val="center"/>
                </w:tcPr>
                <w:p w14:paraId="30F671B7">
                  <w:pPr>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名词解释</w:t>
                  </w:r>
                </w:p>
              </w:tc>
              <w:tc>
                <w:tcPr>
                  <w:tcW w:w="6751" w:type="dxa"/>
                  <w:gridSpan w:val="3"/>
                  <w:tcBorders>
                    <w:tl2br w:val="nil"/>
                    <w:tr2bl w:val="nil"/>
                  </w:tcBorders>
                  <w:noWrap w:val="0"/>
                  <w:vAlign w:val="center"/>
                </w:tcPr>
                <w:p w14:paraId="0CB2250A">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［1］重点重金属污染物：包括铅、汞、镉、铬、砷、铊和锑，对其中铅、汞、镉、铬和砷五种重点重金属污染物排放量实施总量控制。</w:t>
                  </w:r>
                </w:p>
                <w:p w14:paraId="07D509DC">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w:t>
                  </w:r>
                </w:p>
                <w:p w14:paraId="7588B327">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［3］水泥行业超低排放实施范围：包括水泥熟料生产企业和独立水泥粉磨站（含生产特种水泥、协同处置固废的水泥企业）。</w:t>
                  </w:r>
                </w:p>
                <w:p w14:paraId="0C0F8AEB">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［4］水泥企业超低排放：是指所有生产环节（破碎、粉磨、配料、熟料煅烧、烘干、协同处置等，以及原料、燃料和产品储存运输）的大气污染物有组织、无组织排放及运输过程达到超低排放要求。</w:t>
                  </w:r>
                </w:p>
                <w:p w14:paraId="6DEBC7E3">
                  <w:p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［1］、［2］摘自《福建省进一步加强重金属污染防控实施方案》（闽环保固体〔2022〕17号）。</w:t>
                  </w:r>
                </w:p>
                <w:p w14:paraId="1DA2057E">
                  <w:pPr>
                    <w:jc w:val="both"/>
                    <w:rPr>
                      <w:rFonts w:hint="default" w:ascii="Times New Roman" w:hAnsi="Times New Roman" w:eastAsia="宋体"/>
                      <w:color w:val="000000" w:themeColor="text1"/>
                      <w:highlight w:val="none"/>
                      <w:lang w:val="en-US" w:eastAsia="zh-CN"/>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［3］、［4］摘自《关于全面实施水泥行业超低排放改造的意见》（闽环规〔2023〕2号）。</w:t>
                  </w:r>
                </w:p>
              </w:tc>
            </w:tr>
          </w:tbl>
          <w:p w14:paraId="6D23D024">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表 1</w:t>
            </w:r>
            <w:r>
              <w:rPr>
                <w:b/>
                <w:color w:val="000000" w:themeColor="text1"/>
                <w:sz w:val="24"/>
                <w:szCs w:val="24"/>
                <w:highlight w:val="none"/>
                <w14:textFill>
                  <w14:solidFill>
                    <w14:schemeClr w14:val="tx1"/>
                  </w14:solidFill>
                </w14:textFill>
              </w:rPr>
              <w:t>-</w:t>
            </w:r>
            <w:r>
              <w:rPr>
                <w:rFonts w:hint="eastAsia"/>
                <w:b/>
                <w:color w:val="000000" w:themeColor="text1"/>
                <w:sz w:val="24"/>
                <w:szCs w:val="24"/>
                <w:highlight w:val="none"/>
                <w:lang w:val="en-US" w:eastAsia="zh-CN"/>
                <w14:textFill>
                  <w14:solidFill>
                    <w14:schemeClr w14:val="tx1"/>
                  </w14:solidFill>
                </w14:textFill>
              </w:rPr>
              <w:t>6</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14:textFill>
                  <w14:solidFill>
                    <w14:schemeClr w14:val="tx1"/>
                  </w14:solidFill>
                </w14:textFill>
              </w:rPr>
              <w:t>与</w:t>
            </w:r>
            <w:r>
              <w:rPr>
                <w:rFonts w:hint="eastAsia"/>
                <w:b/>
                <w:color w:val="000000" w:themeColor="text1"/>
                <w:sz w:val="24"/>
                <w:highlight w:val="none"/>
                <w:lang w:val="en-US" w:eastAsia="zh-CN"/>
                <w14:textFill>
                  <w14:solidFill>
                    <w14:schemeClr w14:val="tx1"/>
                  </w14:solidFill>
                </w14:textFill>
              </w:rPr>
              <w:t>“福州市生物医药和机电产业园”</w:t>
            </w:r>
            <w:r>
              <w:rPr>
                <w:rFonts w:hint="eastAsia"/>
                <w:b/>
                <w:color w:val="000000" w:themeColor="text1"/>
                <w:sz w:val="24"/>
                <w:szCs w:val="24"/>
                <w:highlight w:val="none"/>
                <w:lang w:val="en-US" w:eastAsia="zh-CN"/>
                <w14:textFill>
                  <w14:solidFill>
                    <w14:schemeClr w14:val="tx1"/>
                  </w14:solidFill>
                </w14:textFill>
              </w:rPr>
              <w:t>管控单元管控要求的</w:t>
            </w:r>
            <w:r>
              <w:rPr>
                <w:rFonts w:hint="eastAsia"/>
                <w:b/>
                <w:color w:val="000000" w:themeColor="text1"/>
                <w:sz w:val="24"/>
                <w:szCs w:val="24"/>
                <w:highlight w:val="none"/>
                <w14:textFill>
                  <w14:solidFill>
                    <w14:schemeClr w14:val="tx1"/>
                  </w14:solidFill>
                </w14:textFill>
              </w:rPr>
              <w:t>符合性分析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39"/>
              <w:gridCol w:w="2950"/>
              <w:gridCol w:w="3525"/>
              <w:gridCol w:w="708"/>
            </w:tblGrid>
            <w:tr w14:paraId="6412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9" w:type="dxa"/>
                  <w:shd w:val="clear" w:color="auto" w:fill="auto"/>
                  <w:vAlign w:val="center"/>
                </w:tcPr>
                <w:p w14:paraId="2C8F0DED">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内容</w:t>
                  </w:r>
                </w:p>
              </w:tc>
              <w:tc>
                <w:tcPr>
                  <w:tcW w:w="2950" w:type="dxa"/>
                  <w:shd w:val="clear" w:color="auto" w:fill="auto"/>
                  <w:vAlign w:val="center"/>
                </w:tcPr>
                <w:p w14:paraId="0E3D619A">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准入要求</w:t>
                  </w:r>
                </w:p>
              </w:tc>
              <w:tc>
                <w:tcPr>
                  <w:tcW w:w="3525" w:type="dxa"/>
                  <w:shd w:val="clear" w:color="auto" w:fill="auto"/>
                  <w:vAlign w:val="center"/>
                </w:tcPr>
                <w:p w14:paraId="3CFAAA55">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符合性分析</w:t>
                  </w:r>
                </w:p>
              </w:tc>
              <w:tc>
                <w:tcPr>
                  <w:tcW w:w="708" w:type="dxa"/>
                  <w:shd w:val="clear" w:color="auto" w:fill="auto"/>
                  <w:vAlign w:val="center"/>
                </w:tcPr>
                <w:p w14:paraId="4F400A15">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是否</w:t>
                  </w:r>
                  <w:r>
                    <w:rPr>
                      <w:rFonts w:hint="eastAsia"/>
                      <w:color w:val="000000" w:themeColor="text1"/>
                      <w:sz w:val="21"/>
                      <w:szCs w:val="18"/>
                      <w:highlight w:val="none"/>
                      <w14:textFill>
                        <w14:solidFill>
                          <w14:schemeClr w14:val="tx1"/>
                        </w14:solidFill>
                      </w14:textFill>
                    </w:rPr>
                    <w:t>符合</w:t>
                  </w:r>
                </w:p>
              </w:tc>
            </w:tr>
            <w:tr w14:paraId="2358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9" w:type="dxa"/>
                  <w:shd w:val="clear" w:color="auto" w:fill="auto"/>
                  <w:vAlign w:val="center"/>
                </w:tcPr>
                <w:p w14:paraId="618311D2">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空间布局约束</w:t>
                  </w:r>
                </w:p>
              </w:tc>
              <w:tc>
                <w:tcPr>
                  <w:tcW w:w="2950" w:type="dxa"/>
                  <w:shd w:val="clear" w:color="auto" w:fill="auto"/>
                  <w:vAlign w:val="center"/>
                </w:tcPr>
                <w:p w14:paraId="36AE16AF">
                  <w:pPr>
                    <w:keepNext w:val="0"/>
                    <w:keepLines w:val="0"/>
                    <w:pageBreakBefore w:val="0"/>
                    <w:widowControl w:val="0"/>
                    <w:kinsoku/>
                    <w:wordWrap/>
                    <w:overflowPunct/>
                    <w:topLinePunct w:val="0"/>
                    <w:bidi w:val="0"/>
                    <w:adjustRightInd/>
                    <w:snapToGrid/>
                    <w:spacing w:line="240" w:lineRule="auto"/>
                    <w:jc w:val="both"/>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1.除配套的久策气体项目和国电金山分布式能源站项目外，禁止其他化工和能源项目入园。</w:t>
                  </w:r>
                </w:p>
                <w:p w14:paraId="7CCF4CFC">
                  <w:pPr>
                    <w:keepNext w:val="0"/>
                    <w:keepLines w:val="0"/>
                    <w:pageBreakBefore w:val="0"/>
                    <w:widowControl w:val="0"/>
                    <w:kinsoku/>
                    <w:wordWrap/>
                    <w:overflowPunct/>
                    <w:topLinePunct w:val="0"/>
                    <w:bidi w:val="0"/>
                    <w:adjustRightInd/>
                    <w:snapToGrid/>
                    <w:spacing w:line="240" w:lineRule="auto"/>
                    <w:jc w:val="both"/>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2.生物医药产业限制产生恶臭的行业入驻；禁止引入水污染严重型产业。</w:t>
                  </w:r>
                </w:p>
                <w:p w14:paraId="72844BBE">
                  <w:pPr>
                    <w:keepNext w:val="0"/>
                    <w:keepLines w:val="0"/>
                    <w:pageBreakBefore w:val="0"/>
                    <w:widowControl w:val="0"/>
                    <w:kinsoku/>
                    <w:wordWrap/>
                    <w:overflowPunct/>
                    <w:topLinePunct w:val="0"/>
                    <w:bidi w:val="0"/>
                    <w:adjustRightInd/>
                    <w:snapToGrid/>
                    <w:spacing w:line="240" w:lineRule="auto"/>
                    <w:jc w:val="both"/>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3.居住用地周边禁止布局潜在废气扰民的建设项目。</w:t>
                  </w:r>
                </w:p>
              </w:tc>
              <w:tc>
                <w:tcPr>
                  <w:tcW w:w="3525" w:type="dxa"/>
                  <w:shd w:val="clear" w:color="auto" w:fill="auto"/>
                  <w:vAlign w:val="center"/>
                </w:tcPr>
                <w:p w14:paraId="1F94792F">
                  <w:pPr>
                    <w:keepNext w:val="0"/>
                    <w:keepLines w:val="0"/>
                    <w:pageBreakBefore w:val="0"/>
                    <w:widowControl w:val="0"/>
                    <w:kinsoku/>
                    <w:wordWrap/>
                    <w:overflowPunct/>
                    <w:topLinePunct w:val="0"/>
                    <w:bidi w:val="0"/>
                    <w:adjustRightInd/>
                    <w:snapToGrid/>
                    <w:spacing w:line="240" w:lineRule="auto"/>
                    <w:jc w:val="both"/>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本项目从事</w:t>
                  </w:r>
                  <w:r>
                    <w:rPr>
                      <w:rFonts w:hint="eastAsia"/>
                      <w:color w:val="000000" w:themeColor="text1"/>
                      <w:sz w:val="21"/>
                      <w:szCs w:val="18"/>
                      <w:highlight w:val="none"/>
                      <w:lang w:eastAsia="zh-CN"/>
                      <w14:textFill>
                        <w14:solidFill>
                          <w14:schemeClr w14:val="tx1"/>
                        </w14:solidFill>
                      </w14:textFill>
                    </w:rPr>
                    <w:t>光学元器件</w:t>
                  </w:r>
                  <w:r>
                    <w:rPr>
                      <w:rFonts w:hint="eastAsia"/>
                      <w:color w:val="000000" w:themeColor="text1"/>
                      <w:sz w:val="21"/>
                      <w:szCs w:val="18"/>
                      <w:highlight w:val="none"/>
                      <w14:textFill>
                        <w14:solidFill>
                          <w14:schemeClr w14:val="tx1"/>
                        </w14:solidFill>
                      </w14:textFill>
                    </w:rPr>
                    <w:t>生产，不属于化工，能源项目。项目生产过程中无恶臭产生，生产废水</w:t>
                  </w:r>
                  <w:r>
                    <w:rPr>
                      <w:rFonts w:hint="eastAsia"/>
                      <w:color w:val="000000" w:themeColor="text1"/>
                      <w:sz w:val="21"/>
                      <w:szCs w:val="18"/>
                      <w:highlight w:val="none"/>
                      <w:lang w:val="en-US" w:eastAsia="zh-CN"/>
                      <w14:textFill>
                        <w14:solidFill>
                          <w14:schemeClr w14:val="tx1"/>
                        </w14:solidFill>
                      </w14:textFill>
                    </w:rPr>
                    <w:t>排入本次新建污水处理站</w:t>
                  </w:r>
                  <w:r>
                    <w:rPr>
                      <w:rFonts w:hint="eastAsia"/>
                      <w:color w:val="000000" w:themeColor="text1"/>
                      <w:sz w:val="21"/>
                      <w:szCs w:val="18"/>
                      <w:highlight w:val="none"/>
                      <w14:textFill>
                        <w14:solidFill>
                          <w14:schemeClr w14:val="tx1"/>
                        </w14:solidFill>
                      </w14:textFill>
                    </w:rPr>
                    <w:t>处理后纳入福州大学城污水处理厂统一处理</w:t>
                  </w:r>
                  <w:r>
                    <w:rPr>
                      <w:rFonts w:hint="eastAsia"/>
                      <w:color w:val="000000" w:themeColor="text1"/>
                      <w:sz w:val="21"/>
                      <w:szCs w:val="18"/>
                      <w:highlight w:val="none"/>
                      <w:lang w:eastAsia="zh-CN"/>
                      <w14:textFill>
                        <w14:solidFill>
                          <w14:schemeClr w14:val="tx1"/>
                        </w14:solidFill>
                      </w14:textFill>
                    </w:rPr>
                    <w:t>，</w:t>
                  </w:r>
                  <w:r>
                    <w:rPr>
                      <w:rFonts w:hint="eastAsia"/>
                      <w:color w:val="000000" w:themeColor="text1"/>
                      <w:sz w:val="21"/>
                      <w:szCs w:val="18"/>
                      <w:highlight w:val="none"/>
                      <w:lang w:val="en-US" w:eastAsia="zh-CN"/>
                      <w14:textFill>
                        <w14:solidFill>
                          <w14:schemeClr w14:val="tx1"/>
                        </w14:solidFill>
                      </w14:textFill>
                    </w:rPr>
                    <w:t>生活污水通过</w:t>
                  </w:r>
                  <w:r>
                    <w:rPr>
                      <w:rFonts w:hint="eastAsia"/>
                      <w:color w:val="000000" w:themeColor="text1"/>
                      <w:sz w:val="21"/>
                      <w:szCs w:val="18"/>
                      <w:highlight w:val="none"/>
                      <w14:textFill>
                        <w14:solidFill>
                          <w14:schemeClr w14:val="tx1"/>
                        </w14:solidFill>
                      </w14:textFill>
                    </w:rPr>
                    <w:t>市政污水管网</w:t>
                  </w:r>
                  <w:r>
                    <w:rPr>
                      <w:rFonts w:hint="eastAsia"/>
                      <w:color w:val="000000" w:themeColor="text1"/>
                      <w:sz w:val="21"/>
                      <w:szCs w:val="18"/>
                      <w:highlight w:val="none"/>
                      <w:lang w:val="en-US" w:eastAsia="zh-CN"/>
                      <w14:textFill>
                        <w14:solidFill>
                          <w14:schemeClr w14:val="tx1"/>
                        </w14:solidFill>
                      </w14:textFill>
                    </w:rPr>
                    <w:t>也</w:t>
                  </w:r>
                  <w:r>
                    <w:rPr>
                      <w:rFonts w:hint="eastAsia"/>
                      <w:color w:val="000000" w:themeColor="text1"/>
                      <w:sz w:val="21"/>
                      <w:szCs w:val="18"/>
                      <w:highlight w:val="none"/>
                      <w14:textFill>
                        <w14:solidFill>
                          <w14:schemeClr w14:val="tx1"/>
                        </w14:solidFill>
                      </w14:textFill>
                    </w:rPr>
                    <w:t>纳入福州大学城污水处理厂统一处理，不属于水污染严重产业。项目用地属于工业用地。</w:t>
                  </w:r>
                </w:p>
              </w:tc>
              <w:tc>
                <w:tcPr>
                  <w:tcW w:w="708" w:type="dxa"/>
                  <w:shd w:val="clear" w:color="auto" w:fill="auto"/>
                  <w:vAlign w:val="center"/>
                </w:tcPr>
                <w:p w14:paraId="15DF401A">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符合</w:t>
                  </w:r>
                </w:p>
              </w:tc>
            </w:tr>
            <w:tr w14:paraId="4B5F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9" w:type="dxa"/>
                  <w:shd w:val="clear" w:color="auto" w:fill="auto"/>
                  <w:vAlign w:val="center"/>
                </w:tcPr>
                <w:p w14:paraId="454AFF95">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污染物排放管控</w:t>
                  </w:r>
                </w:p>
              </w:tc>
              <w:tc>
                <w:tcPr>
                  <w:tcW w:w="2950" w:type="dxa"/>
                  <w:shd w:val="clear" w:color="auto" w:fill="auto"/>
                  <w:vAlign w:val="center"/>
                </w:tcPr>
                <w:p w14:paraId="53B91F6C">
                  <w:pPr>
                    <w:keepNext w:val="0"/>
                    <w:keepLines w:val="0"/>
                    <w:pageBreakBefore w:val="0"/>
                    <w:widowControl w:val="0"/>
                    <w:kinsoku/>
                    <w:wordWrap/>
                    <w:overflowPunct/>
                    <w:topLinePunct w:val="0"/>
                    <w:bidi w:val="0"/>
                    <w:adjustRightInd/>
                    <w:snapToGrid/>
                    <w:spacing w:line="240" w:lineRule="auto"/>
                    <w:textAlignment w:val="auto"/>
                    <w:rPr>
                      <w:rFonts w:ascii="宋体" w:cs="宋体"/>
                      <w:color w:val="000000" w:themeColor="text1"/>
                      <w:kern w:val="0"/>
                      <w:sz w:val="21"/>
                      <w:szCs w:val="18"/>
                      <w:highlight w:val="none"/>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落实新增VOCs排放总量控制要求</w:t>
                  </w:r>
                  <w:r>
                    <w:rPr>
                      <w:rFonts w:hint="eastAsia"/>
                      <w:color w:val="000000" w:themeColor="text1"/>
                      <w:sz w:val="21"/>
                      <w:szCs w:val="18"/>
                      <w:highlight w:val="none"/>
                      <w:lang w:eastAsia="zh-CN"/>
                      <w14:textFill>
                        <w14:solidFill>
                          <w14:schemeClr w14:val="tx1"/>
                        </w14:solidFill>
                      </w14:textFill>
                    </w:rPr>
                    <w:t>。</w:t>
                  </w:r>
                </w:p>
              </w:tc>
              <w:tc>
                <w:tcPr>
                  <w:tcW w:w="3525" w:type="dxa"/>
                  <w:shd w:val="clear" w:color="auto" w:fill="auto"/>
                  <w:vAlign w:val="center"/>
                </w:tcPr>
                <w:p w14:paraId="3C05B61C">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ascii="宋体" w:cs="宋体"/>
                      <w:color w:val="000000" w:themeColor="text1"/>
                      <w:kern w:val="0"/>
                      <w:sz w:val="21"/>
                      <w:szCs w:val="18"/>
                      <w:highlight w:val="none"/>
                      <w14:textFill>
                        <w14:solidFill>
                          <w14:schemeClr w14:val="tx1"/>
                        </w14:solidFill>
                      </w14:textFill>
                    </w:rPr>
                  </w:pPr>
                  <w:r>
                    <w:rPr>
                      <w:rFonts w:hint="default" w:ascii="Times New Roman" w:hAnsi="Times New Roman" w:cs="Times New Roman"/>
                      <w:color w:val="000000" w:themeColor="text1"/>
                      <w:kern w:val="0"/>
                      <w:sz w:val="21"/>
                      <w:szCs w:val="18"/>
                      <w:highlight w:val="none"/>
                      <w14:textFill>
                        <w14:solidFill>
                          <w14:schemeClr w14:val="tx1"/>
                        </w14:solidFill>
                      </w14:textFill>
                    </w:rPr>
                    <w:t>.项目涉新增VOCs排放，</w:t>
                  </w:r>
                  <w:r>
                    <w:rPr>
                      <w:rFonts w:hint="eastAsia" w:cs="Times New Roman"/>
                      <w:color w:val="000000" w:themeColor="text1"/>
                      <w:kern w:val="0"/>
                      <w:sz w:val="21"/>
                      <w:szCs w:val="18"/>
                      <w:highlight w:val="none"/>
                      <w:lang w:val="en-US" w:eastAsia="zh-CN"/>
                      <w14:textFill>
                        <w14:solidFill>
                          <w14:schemeClr w14:val="tx1"/>
                        </w14:solidFill>
                      </w14:textFill>
                    </w:rPr>
                    <w:t>项目新增</w:t>
                  </w:r>
                  <w:r>
                    <w:rPr>
                      <w:rFonts w:hint="default" w:ascii="Times New Roman" w:hAnsi="Times New Roman" w:cs="Times New Roman"/>
                      <w:color w:val="000000" w:themeColor="text1"/>
                      <w:kern w:val="0"/>
                      <w:sz w:val="21"/>
                      <w:szCs w:val="18"/>
                      <w:highlight w:val="none"/>
                      <w14:textFill>
                        <w14:solidFill>
                          <w14:schemeClr w14:val="tx1"/>
                        </w14:solidFill>
                      </w14:textFill>
                    </w:rPr>
                    <w:t>VOCs</w:t>
                  </w:r>
                  <w:r>
                    <w:rPr>
                      <w:rFonts w:hint="eastAsia" w:cs="Times New Roman"/>
                      <w:color w:val="000000" w:themeColor="text1"/>
                      <w:kern w:val="0"/>
                      <w:sz w:val="21"/>
                      <w:szCs w:val="18"/>
                      <w:highlight w:val="none"/>
                      <w:lang w:val="en-US" w:eastAsia="zh-CN"/>
                      <w14:textFill>
                        <w14:solidFill>
                          <w14:schemeClr w14:val="tx1"/>
                        </w14:solidFill>
                      </w14:textFill>
                    </w:rPr>
                    <w:t>落实</w:t>
                  </w:r>
                  <w:r>
                    <w:rPr>
                      <w:rFonts w:hint="default" w:ascii="Times New Roman" w:hAnsi="Times New Roman" w:cs="Times New Roman"/>
                      <w:color w:val="000000" w:themeColor="text1"/>
                      <w:kern w:val="0"/>
                      <w:sz w:val="21"/>
                      <w:szCs w:val="18"/>
                      <w:highlight w:val="none"/>
                      <w:lang w:val="en-US" w:eastAsia="zh-CN"/>
                      <w14:textFill>
                        <w14:solidFill>
                          <w14:schemeClr w14:val="tx1"/>
                        </w14:solidFill>
                      </w14:textFill>
                    </w:rPr>
                    <w:t>排放总量控制要求</w:t>
                  </w:r>
                  <w:r>
                    <w:rPr>
                      <w:rFonts w:hint="default" w:ascii="Times New Roman" w:hAnsi="Times New Roman" w:cs="Times New Roman"/>
                      <w:color w:val="000000" w:themeColor="text1"/>
                      <w:kern w:val="0"/>
                      <w:sz w:val="21"/>
                      <w:szCs w:val="18"/>
                      <w:highlight w:val="none"/>
                      <w14:textFill>
                        <w14:solidFill>
                          <w14:schemeClr w14:val="tx1"/>
                        </w14:solidFill>
                      </w14:textFill>
                    </w:rPr>
                    <w:t>。</w:t>
                  </w:r>
                </w:p>
              </w:tc>
              <w:tc>
                <w:tcPr>
                  <w:tcW w:w="708" w:type="dxa"/>
                  <w:shd w:val="clear" w:color="auto" w:fill="auto"/>
                  <w:vAlign w:val="center"/>
                </w:tcPr>
                <w:p w14:paraId="17F1F892">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符合</w:t>
                  </w:r>
                </w:p>
              </w:tc>
            </w:tr>
            <w:tr w14:paraId="4D0E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9" w:type="dxa"/>
                  <w:shd w:val="clear" w:color="auto" w:fill="auto"/>
                  <w:vAlign w:val="center"/>
                </w:tcPr>
                <w:p w14:paraId="124A7A20">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环境风险防控</w:t>
                  </w:r>
                </w:p>
              </w:tc>
              <w:tc>
                <w:tcPr>
                  <w:tcW w:w="2950" w:type="dxa"/>
                  <w:shd w:val="clear" w:color="auto" w:fill="auto"/>
                  <w:vAlign w:val="center"/>
                </w:tcPr>
                <w:p w14:paraId="3E6BA29B">
                  <w:pPr>
                    <w:keepNext w:val="0"/>
                    <w:keepLines w:val="0"/>
                    <w:pageBreakBefore w:val="0"/>
                    <w:widowControl w:val="0"/>
                    <w:kinsoku/>
                    <w:wordWrap/>
                    <w:overflowPunct/>
                    <w:topLinePunct w:val="0"/>
                    <w:bidi w:val="0"/>
                    <w:adjustRightInd/>
                    <w:snapToGrid/>
                    <w:spacing w:line="240" w:lineRule="auto"/>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1.建立健全环境风险防控体系，制定环境风险应急预案，建设事故应急池，成立应急组织机构，防止在处理安全生产事故过程中产生的可能严重污染水体的消防废水、废液直接排入水体。2.应采取有效措施防止园区建设对区域地下水、土壤造成污染</w:t>
                  </w:r>
                  <w:r>
                    <w:rPr>
                      <w:rFonts w:hint="eastAsia"/>
                      <w:color w:val="000000" w:themeColor="text1"/>
                      <w:sz w:val="21"/>
                      <w:szCs w:val="18"/>
                      <w:highlight w:val="none"/>
                      <w:lang w:eastAsia="zh-CN"/>
                      <w14:textFill>
                        <w14:solidFill>
                          <w14:schemeClr w14:val="tx1"/>
                        </w14:solidFill>
                      </w14:textFill>
                    </w:rPr>
                    <w:t>。</w:t>
                  </w:r>
                </w:p>
              </w:tc>
              <w:tc>
                <w:tcPr>
                  <w:tcW w:w="3525" w:type="dxa"/>
                  <w:shd w:val="clear" w:color="auto" w:fill="auto"/>
                  <w:vAlign w:val="center"/>
                </w:tcPr>
                <w:p w14:paraId="0E9FDF46">
                  <w:pPr>
                    <w:keepNext w:val="0"/>
                    <w:keepLines w:val="0"/>
                    <w:pageBreakBefore w:val="0"/>
                    <w:widowControl w:val="0"/>
                    <w:kinsoku/>
                    <w:wordWrap/>
                    <w:overflowPunct/>
                    <w:topLinePunct w:val="0"/>
                    <w:bidi w:val="0"/>
                    <w:adjustRightInd/>
                    <w:snapToGrid/>
                    <w:spacing w:line="240" w:lineRule="auto"/>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本项目环境风险较小，建设单位在采取本评价建议的环境风险防范和减缓措施，可杜绝风险事故的发生。本项目的环境风险在可接受范围内。</w:t>
                  </w:r>
                </w:p>
              </w:tc>
              <w:tc>
                <w:tcPr>
                  <w:tcW w:w="708" w:type="dxa"/>
                  <w:shd w:val="clear" w:color="auto" w:fill="auto"/>
                  <w:vAlign w:val="center"/>
                </w:tcPr>
                <w:p w14:paraId="52ACEEF8">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14:textFill>
                        <w14:solidFill>
                          <w14:schemeClr w14:val="tx1"/>
                        </w14:solidFill>
                      </w14:textFill>
                    </w:rPr>
                    <w:t>符合</w:t>
                  </w:r>
                </w:p>
              </w:tc>
            </w:tr>
            <w:tr w14:paraId="5E8E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9" w:type="dxa"/>
                  <w:shd w:val="clear" w:color="auto" w:fill="auto"/>
                  <w:vAlign w:val="center"/>
                </w:tcPr>
                <w:p w14:paraId="04F46CDA">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eastAsia="zh-CN"/>
                      <w14:textFill>
                        <w14:solidFill>
                          <w14:schemeClr w14:val="tx1"/>
                        </w14:solidFill>
                      </w14:textFill>
                    </w:rPr>
                    <w:t>资源开发效率要求</w:t>
                  </w:r>
                </w:p>
              </w:tc>
              <w:tc>
                <w:tcPr>
                  <w:tcW w:w="2950" w:type="dxa"/>
                  <w:shd w:val="clear" w:color="auto" w:fill="auto"/>
                  <w:vAlign w:val="center"/>
                </w:tcPr>
                <w:p w14:paraId="3B471F79">
                  <w:pPr>
                    <w:keepNext w:val="0"/>
                    <w:keepLines w:val="0"/>
                    <w:pageBreakBefore w:val="0"/>
                    <w:widowControl w:val="0"/>
                    <w:kinsoku/>
                    <w:wordWrap/>
                    <w:overflowPunct/>
                    <w:topLinePunct w:val="0"/>
                    <w:bidi w:val="0"/>
                    <w:adjustRightInd/>
                    <w:snapToGrid/>
                    <w:spacing w:line="240" w:lineRule="auto"/>
                    <w:textAlignment w:val="auto"/>
                    <w:rPr>
                      <w:color w:val="000000" w:themeColor="text1"/>
                      <w:sz w:val="21"/>
                      <w:szCs w:val="18"/>
                      <w:highlight w:val="none"/>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无</w:t>
                  </w:r>
                </w:p>
              </w:tc>
              <w:tc>
                <w:tcPr>
                  <w:tcW w:w="3525" w:type="dxa"/>
                  <w:shd w:val="clear" w:color="auto" w:fill="auto"/>
                  <w:vAlign w:val="center"/>
                </w:tcPr>
                <w:p w14:paraId="3EF95633">
                  <w:pPr>
                    <w:keepNext w:val="0"/>
                    <w:keepLines w:val="0"/>
                    <w:pageBreakBefore w:val="0"/>
                    <w:widowControl w:val="0"/>
                    <w:kinsoku/>
                    <w:wordWrap/>
                    <w:overflowPunct/>
                    <w:topLinePunct w:val="0"/>
                    <w:bidi w:val="0"/>
                    <w:adjustRightInd/>
                    <w:snapToGrid/>
                    <w:spacing w:line="240" w:lineRule="auto"/>
                    <w:textAlignment w:val="auto"/>
                    <w:rPr>
                      <w:rFonts w:hint="eastAsia" w:eastAsia="宋体"/>
                      <w:color w:val="000000" w:themeColor="text1"/>
                      <w:sz w:val="21"/>
                      <w:szCs w:val="18"/>
                      <w:highlight w:val="none"/>
                      <w:lang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w:t>
                  </w:r>
                </w:p>
              </w:tc>
              <w:tc>
                <w:tcPr>
                  <w:tcW w:w="708" w:type="dxa"/>
                  <w:shd w:val="clear" w:color="auto" w:fill="auto"/>
                  <w:vAlign w:val="center"/>
                </w:tcPr>
                <w:p w14:paraId="0D29C131">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符合</w:t>
                  </w:r>
                </w:p>
              </w:tc>
            </w:tr>
          </w:tbl>
          <w:p w14:paraId="240638AE">
            <w:pPr>
              <w:pStyle w:val="91"/>
              <w:ind w:firstLine="42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default"/>
                <w:color w:val="000000" w:themeColor="text1"/>
                <w:sz w:val="24"/>
                <w:szCs w:val="24"/>
                <w:highlight w:val="none"/>
                <w:lang w:val="en-US"/>
                <w14:textFill>
                  <w14:solidFill>
                    <w14:schemeClr w14:val="tx1"/>
                  </w14:solidFill>
                </w14:textFill>
              </w:rPr>
              <w:t>上表</w:t>
            </w:r>
            <w:r>
              <w:rPr>
                <w:rFonts w:hint="eastAsia"/>
                <w:color w:val="000000" w:themeColor="text1"/>
                <w:sz w:val="24"/>
                <w:szCs w:val="24"/>
                <w:highlight w:val="none"/>
                <w14:textFill>
                  <w14:solidFill>
                    <w14:schemeClr w14:val="tx1"/>
                  </w14:solidFill>
                </w14:textFill>
              </w:rPr>
              <w:t>分析，项目不涉及生态保护红线、符合资源利用上限要求、符合环境质量底线要求</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符合生态环境分区管控单元的管控要求</w:t>
            </w:r>
            <w:r>
              <w:rPr>
                <w:rFonts w:hint="eastAsia"/>
                <w:color w:val="000000" w:themeColor="text1"/>
                <w:sz w:val="24"/>
                <w:szCs w:val="24"/>
                <w:highlight w:val="none"/>
                <w14:textFill>
                  <w14:solidFill>
                    <w14:schemeClr w14:val="tx1"/>
                  </w14:solidFill>
                </w14:textFill>
              </w:rPr>
              <w:t>。</w:t>
            </w:r>
          </w:p>
          <w:p w14:paraId="63420A1F">
            <w:pPr>
              <w:pStyle w:val="37"/>
              <w:rPr>
                <w:rFonts w:hint="eastAsia"/>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1.</w:t>
            </w:r>
            <w:r>
              <w:rPr>
                <w:rFonts w:hint="eastAsia"/>
                <w:color w:val="000000" w:themeColor="text1"/>
                <w:sz w:val="24"/>
                <w:szCs w:val="21"/>
                <w:highlight w:val="none"/>
                <w:lang w:val="en-US" w:eastAsia="zh-CN"/>
                <w14:textFill>
                  <w14:solidFill>
                    <w14:schemeClr w14:val="tx1"/>
                  </w14:solidFill>
                </w14:textFill>
              </w:rPr>
              <w:t>7</w:t>
            </w:r>
            <w:r>
              <w:rPr>
                <w:rFonts w:hint="eastAsia" w:ascii="黑体" w:hAnsi="黑体"/>
                <w:color w:val="000000" w:themeColor="text1"/>
                <w:sz w:val="24"/>
                <w:szCs w:val="21"/>
                <w:highlight w:val="none"/>
                <w14:textFill>
                  <w14:solidFill>
                    <w14:schemeClr w14:val="tx1"/>
                  </w14:solidFill>
                </w14:textFill>
              </w:rPr>
              <w:t>与</w:t>
            </w:r>
            <w:r>
              <w:rPr>
                <w:rFonts w:hint="eastAsia" w:ascii="黑体" w:hAnsi="黑体"/>
                <w:color w:val="000000" w:themeColor="text1"/>
                <w:sz w:val="24"/>
                <w:szCs w:val="21"/>
                <w:highlight w:val="none"/>
                <w:lang w:val="en-US" w:eastAsia="zh-CN"/>
                <w14:textFill>
                  <w14:solidFill>
                    <w14:schemeClr w14:val="tx1"/>
                  </w14:solidFill>
                </w14:textFill>
              </w:rPr>
              <w:t>挥发性有机物污染防治相关政策的</w:t>
            </w:r>
            <w:r>
              <w:rPr>
                <w:rFonts w:hint="eastAsia"/>
                <w:color w:val="000000" w:themeColor="text1"/>
                <w:sz w:val="24"/>
                <w:szCs w:val="21"/>
                <w:highlight w:val="none"/>
                <w14:textFill>
                  <w14:solidFill>
                    <w14:schemeClr w14:val="tx1"/>
                  </w14:solidFill>
                </w14:textFill>
              </w:rPr>
              <w:t>符合性分析</w:t>
            </w:r>
          </w:p>
          <w:p w14:paraId="7FB6095D">
            <w:pPr>
              <w:pStyle w:val="37"/>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1.7.1与《福建省重点行业挥发性有机物污染防治工作方案》(闽环保大气〔2017〕6号)的符合性分析</w:t>
            </w:r>
          </w:p>
          <w:p w14:paraId="3686707B">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7692586B">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严格环境准入：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24AE4E53">
            <w:pPr>
              <w:pStyle w:val="91"/>
              <w:ind w:firstLine="420"/>
              <w:rPr>
                <w:rFonts w:hint="default"/>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3BE623C4">
            <w:pPr>
              <w:pStyle w:val="91"/>
              <w:ind w:firstLine="420"/>
              <w:rPr>
                <w:rFonts w:hint="default"/>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本项目使用低VOCs含量原辅材料，且使用量较少，项目VOCs通过采取“集气罩+二级活性炭吸附装置”处理后达标后经30m排气筒排放，符合文件要求。</w:t>
            </w:r>
          </w:p>
          <w:p w14:paraId="13E76625">
            <w:pPr>
              <w:pStyle w:val="37"/>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1.7.2与《福建省重点行业挥发性有机物排放控制要求(试行)的通知》(闽环保大气〔2017〕9号)的符合性分析</w:t>
            </w:r>
          </w:p>
          <w:p w14:paraId="13044578">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76E4EA4C">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产生有机废气的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w:t>
            </w:r>
          </w:p>
          <w:p w14:paraId="4C69F0FE">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23B74CA4">
            <w:pPr>
              <w:pStyle w:val="91"/>
              <w:ind w:firstLine="420"/>
              <w:rPr>
                <w:rFonts w:hint="default"/>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为光学元器件生产项目，项目原辅材料均采用密闭桶装暂存，并存放于室内仓库；产生废气的生产工艺和装置均在密闭的车间内进行，且车间内设有收集系统和净化处理装置，无露天作业；密闭式负压收集的逸散的VOCs废气收集率达到90%以上；项目有机废气经“集气罩收集+二级活性炭吸附”处理后排放，符合文件要求。</w:t>
            </w:r>
          </w:p>
          <w:p w14:paraId="22D1C138">
            <w:pPr>
              <w:pStyle w:val="37"/>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1.7.3与《福建省臭氧污染防治工作方案》（闽环保大气〔2018〕8号）的符合性分析</w:t>
            </w:r>
          </w:p>
          <w:p w14:paraId="285868D0">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0A4DEAB4">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工业源治理：加强对重点行业的监管，推广低VOCs含量的原辅材料使用，提升末端治理水平。</w:t>
            </w:r>
          </w:p>
          <w:p w14:paraId="78AD25AF">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41942EAA">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本项目为光学元器件生产项目，项目使用的原辅材料属低VOCs含量材料，有机废气经“集气罩收集+二级活性炭吸附”处理后排放，符合文件要求。</w:t>
            </w:r>
          </w:p>
          <w:p w14:paraId="53B61A6D">
            <w:pPr>
              <w:pStyle w:val="37"/>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1.7.4与《福建省2020年挥发性有机物治理攻坚实施方案》的通知（闽环保大气〔2020〕6号）的符合性分析</w:t>
            </w:r>
          </w:p>
          <w:p w14:paraId="5298D3C0">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1C0C0919">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大力推进源头替代，有效减少VOCs产生：大力推进低(无)VOCs含量原辅材料替代。聚焦治污设施“三率”，提升综合治理效率：行业排放标准中规定特别排放限值和控制要求的，应按相关规定执行；按照“应收尽收”的原则提高废气收集率；按照“适宜高效”的原则提高治理设施去除率，不得释排放。</w:t>
            </w:r>
          </w:p>
          <w:p w14:paraId="14CBDC0B">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3FE4CA48">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本项目使用的原辅材料属低VOCs含量材料，有机废气经“集气罩收集+二级活性炭吸附”处理后排放，参照执行《工业企业挥发性有机物排放标准》（DB35/1782-2018）中排放限值要求，符合文件要求。</w:t>
            </w:r>
          </w:p>
          <w:p w14:paraId="01C3EEDF">
            <w:pPr>
              <w:pStyle w:val="37"/>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1.7.5与《福建省“十四五”空气质量改善规划》的符合性分析</w:t>
            </w:r>
          </w:p>
          <w:p w14:paraId="0F7E7686">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6CB07EFA">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深化VOCs末端治理。按照“应收尽收、分质收集”原则，将无组织排放转变为有组织排放，进行集中处理，选择适宜高效治理技术，对治理难度大、单一治理工艺难以稳定达标的，要采用多种技术的组合工艺，重点行业末端治理一般不使用等离子、光催化氧化等单级治理技术，全面提升治理设施“三率”，加强运行维护管理，治理设施及生产设备要做到“先启后停”。</w:t>
            </w:r>
          </w:p>
          <w:p w14:paraId="47D96A1E">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2CAC4A3A">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项目使用低VOCs含量的原辅材料，使用量较少并配备有机废气收集处理装置；项目产生的VOCs通过采取“集气罩+二级活性炭吸附装置”处理后达标后经30m排气筒排放，符合文件要求。</w:t>
            </w:r>
          </w:p>
          <w:p w14:paraId="724B4E72">
            <w:pPr>
              <w:pStyle w:val="37"/>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1.7.6与《福建省空气质量持续改善实施方案》(闽政文〔2024〕361号)的符合性分析</w:t>
            </w:r>
          </w:p>
          <w:p w14:paraId="1F026477">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6A1A392B">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优化含VOCs原辅材料和产品结构 ：严格控制生产和使用高VOCs含量涂料、油墨、胶粘剂、清洗剂等建设项目。加大工业涂装、包装印刷和电子行业低（无）VOCs含量原辅材料替代力度。鼓励制鞋行业推广使用无溶剂聚氨酯热熔胶、水性聚氨酯等低（无）VOCs含量的胶粘剂。</w:t>
            </w:r>
          </w:p>
          <w:p w14:paraId="40F302B7">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推动绿色环保产业健康发展：在低（无）VOCs含量原辅材料生产和使用、VOCs污染治理、超低排放、环境和大气成分监测等领域支持培育一批龙头企业。</w:t>
            </w:r>
          </w:p>
          <w:p w14:paraId="56F462BA">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4DB53C99">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本项目为光学元器件生产项目，不属于涂料、油墨、胶粘剂、清洗剂等建设项目；项目有机废气经“集气罩收集+二级活性炭吸附”处理后排放，符合文件要求。</w:t>
            </w:r>
          </w:p>
          <w:p w14:paraId="245FD469">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1.7.7与《福州市挥发性有机物污染整治工作方案》的符合性分析</w:t>
            </w:r>
          </w:p>
          <w:p w14:paraId="2EC9ECA4">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03C67835">
            <w:pPr>
              <w:pStyle w:val="91"/>
              <w:ind w:firstLine="420"/>
              <w:rPr>
                <w:rFonts w:hint="default"/>
                <w:color w:val="000000" w:themeColor="text1"/>
                <w:sz w:val="24"/>
                <w:szCs w:val="21"/>
                <w:highlight w:val="none"/>
                <w:lang w:val="en-US" w:eastAsia="zh-CN"/>
                <w14:textFill>
                  <w14:solidFill>
                    <w14:schemeClr w14:val="tx1"/>
                  </w14:solidFill>
                </w14:textFill>
              </w:rPr>
            </w:pPr>
            <w:r>
              <w:rPr>
                <w:rFonts w:hint="default"/>
                <w:color w:val="000000" w:themeColor="text1"/>
                <w:sz w:val="24"/>
                <w:szCs w:val="21"/>
                <w:highlight w:val="none"/>
                <w:lang w:val="en-US" w:eastAsia="zh-CN"/>
                <w14:textFill>
                  <w14:solidFill>
                    <w14:schemeClr w14:val="tx1"/>
                  </w14:solidFill>
                </w14:textFill>
              </w:rPr>
              <w:t>严格VOCs项目环境准入提高行业准入门槛，鼓励支持企业通过技改减少挥发性有机物排放，严格控制新增污染物排放量，对挥发性有机物新增排放量实行现役源2倍削减量替代。</w:t>
            </w:r>
          </w:p>
          <w:p w14:paraId="3C864023">
            <w:pPr>
              <w:pStyle w:val="91"/>
              <w:ind w:firstLine="420"/>
              <w:rPr>
                <w:rFonts w:hint="default"/>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6D9C9162">
            <w:pPr>
              <w:pStyle w:val="91"/>
              <w:ind w:firstLine="480" w:firstLineChars="20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14:textFill>
                  <w14:solidFill>
                    <w14:schemeClr w14:val="tx1"/>
                  </w14:solidFill>
                </w14:textFill>
              </w:rPr>
              <w:t>本项目使用低VOCs含量的原辅材料，使用量较少并配备有机废气收集处理装置；项目产生的VOCs通过采取“集气罩+二级活性炭吸附装置”处理后达标后经25m排气筒排放，</w:t>
            </w:r>
            <w:r>
              <w:rPr>
                <w:rFonts w:hint="eastAsia"/>
                <w:color w:val="000000" w:themeColor="text1"/>
                <w:sz w:val="24"/>
                <w:szCs w:val="21"/>
                <w:highlight w:val="none"/>
                <w:lang w:val="en-US" w:eastAsia="zh-CN"/>
                <w14:textFill>
                  <w14:solidFill>
                    <w14:schemeClr w14:val="tx1"/>
                  </w14:solidFill>
                </w14:textFill>
              </w:rPr>
              <w:t>项目新增</w:t>
            </w:r>
            <w:r>
              <w:rPr>
                <w:rFonts w:hint="eastAsia"/>
                <w:color w:val="000000" w:themeColor="text1"/>
                <w:sz w:val="24"/>
                <w:szCs w:val="21"/>
                <w:highlight w:val="none"/>
                <w14:textFill>
                  <w14:solidFill>
                    <w14:schemeClr w14:val="tx1"/>
                  </w14:solidFill>
                </w14:textFill>
              </w:rPr>
              <w:t>VOCs</w:t>
            </w:r>
            <w:r>
              <w:rPr>
                <w:rFonts w:hint="eastAsia"/>
                <w:color w:val="000000" w:themeColor="text1"/>
                <w:sz w:val="24"/>
                <w:szCs w:val="21"/>
                <w:highlight w:val="none"/>
                <w:lang w:val="en-US" w:eastAsia="zh-CN"/>
                <w14:textFill>
                  <w14:solidFill>
                    <w14:schemeClr w14:val="tx1"/>
                  </w14:solidFill>
                </w14:textFill>
              </w:rPr>
              <w:t>落实排放总量控制要求</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符合文件要求。</w:t>
            </w:r>
          </w:p>
          <w:p w14:paraId="72BC7866">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1.7.8与《福州市生态环境局关于开展福州市重点行业挥发性有机物综合治理工作(VOCs2.0)的通知》的符合性分析</w:t>
            </w:r>
          </w:p>
          <w:p w14:paraId="15F7355B">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010E8694">
            <w:pPr>
              <w:pStyle w:val="91"/>
              <w:ind w:firstLine="480" w:firstLineChars="200"/>
              <w:rPr>
                <w:rFonts w:hint="eastAsia"/>
                <w:color w:val="000000" w:themeColor="text1"/>
                <w:sz w:val="24"/>
                <w:szCs w:val="21"/>
                <w:highlight w:val="none"/>
                <w:lang w:eastAsia="zh-CN"/>
                <w14:textFill>
                  <w14:solidFill>
                    <w14:schemeClr w14:val="tx1"/>
                  </w14:solidFill>
                </w14:textFill>
              </w:rPr>
            </w:pPr>
            <w:r>
              <w:rPr>
                <w:rFonts w:hint="eastAsia"/>
                <w:color w:val="000000" w:themeColor="text1"/>
                <w:sz w:val="24"/>
                <w:szCs w:val="21"/>
                <w:highlight w:val="none"/>
                <w14:textFill>
                  <w14:solidFill>
                    <w14:schemeClr w14:val="tx1"/>
                  </w14:solidFill>
                </w14:textFill>
              </w:rPr>
              <w:t>严格审批，加强管控</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14:textFill>
                  <w14:solidFill>
                    <w14:schemeClr w14:val="tx1"/>
                  </w14:solidFill>
                </w14:textFill>
              </w:rPr>
              <w:t>严格涉挥发性有机物建设项目环境影响评价审批。新、改、扩建排放挥发性有机物的建设项目实行倍量替代。鼓励使用低(无)挥发性有机物含量的原辅材料</w:t>
            </w:r>
            <w:r>
              <w:rPr>
                <w:rFonts w:hint="eastAsia"/>
                <w:color w:val="000000" w:themeColor="text1"/>
                <w:sz w:val="24"/>
                <w:szCs w:val="21"/>
                <w:highlight w:val="none"/>
                <w:lang w:eastAsia="zh-CN"/>
                <w14:textFill>
                  <w14:solidFill>
                    <w14:schemeClr w14:val="tx1"/>
                  </w14:solidFill>
                </w14:textFill>
              </w:rPr>
              <w:t>。</w:t>
            </w:r>
          </w:p>
          <w:p w14:paraId="6173FEA6">
            <w:pPr>
              <w:pStyle w:val="91"/>
              <w:ind w:firstLine="420"/>
              <w:rPr>
                <w:rFonts w:hint="default"/>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0F3A2383">
            <w:pPr>
              <w:pStyle w:val="91"/>
              <w:ind w:firstLine="480" w:firstLineChars="20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w:t>
            </w:r>
            <w:r>
              <w:rPr>
                <w:rFonts w:hint="eastAsia" w:ascii="Times New Roman" w:eastAsia="宋体"/>
                <w:color w:val="000000" w:themeColor="text1"/>
                <w:sz w:val="24"/>
                <w:szCs w:val="21"/>
                <w:highlight w:val="none"/>
                <w:lang w:val="en-US" w:eastAsia="zh-CN"/>
                <w14:textFill>
                  <w14:solidFill>
                    <w14:schemeClr w14:val="tx1"/>
                  </w14:solidFill>
                </w14:textFill>
              </w:rPr>
              <w:t>项目新增</w:t>
            </w:r>
            <w:r>
              <w:rPr>
                <w:rFonts w:hint="eastAsia"/>
                <w:color w:val="000000" w:themeColor="text1"/>
                <w:sz w:val="24"/>
                <w:szCs w:val="21"/>
                <w:highlight w:val="none"/>
                <w14:textFill>
                  <w14:solidFill>
                    <w14:schemeClr w14:val="tx1"/>
                  </w14:solidFill>
                </w14:textFill>
              </w:rPr>
              <w:t>VOCs</w:t>
            </w:r>
            <w:r>
              <w:rPr>
                <w:rFonts w:hint="eastAsia" w:ascii="Times New Roman" w:eastAsia="宋体"/>
                <w:color w:val="000000" w:themeColor="text1"/>
                <w:sz w:val="24"/>
                <w:szCs w:val="21"/>
                <w:highlight w:val="none"/>
                <w:lang w:val="en-US" w:eastAsia="zh-CN"/>
                <w14:textFill>
                  <w14:solidFill>
                    <w14:schemeClr w14:val="tx1"/>
                  </w14:solidFill>
                </w14:textFill>
              </w:rPr>
              <w:t>落实排放总量控制要求</w:t>
            </w:r>
            <w:r>
              <w:rPr>
                <w:rFonts w:hint="eastAsia"/>
                <w:color w:val="000000" w:themeColor="text1"/>
                <w:sz w:val="24"/>
                <w:szCs w:val="21"/>
                <w:highlight w:val="none"/>
                <w:lang w:eastAsia="zh-CN"/>
                <w14:textFill>
                  <w14:solidFill>
                    <w14:schemeClr w14:val="tx1"/>
                  </w14:solidFill>
                </w14:textFill>
              </w:rPr>
              <w:t>，项目拟使用的原料为低VOCs原料，</w:t>
            </w:r>
            <w:r>
              <w:rPr>
                <w:rFonts w:hint="eastAsia"/>
                <w:color w:val="000000" w:themeColor="text1"/>
                <w:sz w:val="24"/>
                <w:szCs w:val="21"/>
                <w:highlight w:val="none"/>
                <w:lang w:val="en-US" w:eastAsia="zh-CN"/>
                <w14:textFill>
                  <w14:solidFill>
                    <w14:schemeClr w14:val="tx1"/>
                  </w14:solidFill>
                </w14:textFill>
              </w:rPr>
              <w:t>符合文件要求。</w:t>
            </w:r>
          </w:p>
          <w:p w14:paraId="56C632A5">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1.7.9与《挥发性有机物（VOCs）污染防治技术政策》的符合性分析</w:t>
            </w:r>
          </w:p>
          <w:p w14:paraId="2F239717">
            <w:pPr>
              <w:pStyle w:val="91"/>
              <w:ind w:firstLine="42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1</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相关内容</w:t>
            </w:r>
          </w:p>
          <w:p w14:paraId="3989B608">
            <w:pPr>
              <w:pStyle w:val="91"/>
              <w:ind w:firstLine="480" w:firstLineChars="20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含VOCs产品的使用过程中，应采取废气收集措施，提高废气收集效率，减少废气的无组织排放与逸散，并对收集后的废气进行回收或处理后达标排放。</w:t>
            </w:r>
          </w:p>
          <w:p w14:paraId="37EF0841">
            <w:pPr>
              <w:pStyle w:val="91"/>
              <w:ind w:firstLine="420"/>
              <w:rPr>
                <w:rFonts w:hint="default"/>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（2）符合性分析</w:t>
            </w:r>
          </w:p>
          <w:p w14:paraId="520F9A0E">
            <w:pPr>
              <w:pStyle w:val="91"/>
              <w:ind w:firstLine="480" w:firstLineChars="200"/>
              <w:rPr>
                <w:rFonts w:hint="default"/>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w:t>
            </w:r>
            <w:r>
              <w:rPr>
                <w:rFonts w:hint="eastAsia"/>
                <w:color w:val="000000" w:themeColor="text1"/>
                <w:sz w:val="24"/>
                <w:szCs w:val="21"/>
                <w:highlight w:val="none"/>
                <w:lang w:eastAsia="zh-CN"/>
                <w14:textFill>
                  <w14:solidFill>
                    <w14:schemeClr w14:val="tx1"/>
                  </w14:solidFill>
                </w14:textFill>
              </w:rPr>
              <w:t>项目</w:t>
            </w:r>
            <w:r>
              <w:rPr>
                <w:rFonts w:hint="eastAsia"/>
                <w:color w:val="000000" w:themeColor="text1"/>
                <w:sz w:val="24"/>
                <w:szCs w:val="21"/>
                <w:highlight w:val="none"/>
                <w:lang w:val="en-US" w:eastAsia="zh-CN"/>
                <w14:textFill>
                  <w14:solidFill>
                    <w14:schemeClr w14:val="tx1"/>
                  </w14:solidFill>
                </w14:textFill>
              </w:rPr>
              <w:t>含VOCs产品的使用过程中，采取了废气收集措施，提高了废气收集效率，减少了废气的无组织排放与逸散，并对收集后的废气进行了处理后达标排放。符合文件要求。</w:t>
            </w:r>
          </w:p>
          <w:p w14:paraId="4C5B94F1">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1.8与《市场准入负面清单》(2025年版)的符合性分析</w:t>
            </w:r>
          </w:p>
          <w:p w14:paraId="711C067F">
            <w:pPr>
              <w:pStyle w:val="91"/>
              <w:ind w:firstLine="480" w:firstLineChars="20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14:textFill>
                  <w14:solidFill>
                    <w14:schemeClr w14:val="tx1"/>
                  </w14:solidFill>
                </w14:textFill>
              </w:rPr>
              <w:t>本项目</w:t>
            </w:r>
            <w:r>
              <w:rPr>
                <w:rFonts w:hint="eastAsia"/>
                <w:color w:val="000000" w:themeColor="text1"/>
                <w:sz w:val="24"/>
                <w:szCs w:val="21"/>
                <w:highlight w:val="none"/>
                <w:lang w:val="en-US" w:eastAsia="zh-CN"/>
                <w14:textFill>
                  <w14:solidFill>
                    <w14:schemeClr w14:val="tx1"/>
                  </w14:solidFill>
                </w14:textFill>
              </w:rPr>
              <w:t>为光学元器件生产项目</w:t>
            </w:r>
            <w:r>
              <w:rPr>
                <w:rFonts w:hint="eastAsia"/>
                <w:color w:val="000000" w:themeColor="text1"/>
                <w:sz w:val="24"/>
                <w:szCs w:val="21"/>
                <w:highlight w:val="none"/>
                <w14:textFill>
                  <w14:solidFill>
                    <w14:schemeClr w14:val="tx1"/>
                  </w14:solidFill>
                </w14:textFill>
              </w:rPr>
              <w:t>，属于</w:t>
            </w:r>
            <w:r>
              <w:rPr>
                <w:rFonts w:hint="eastAsia"/>
                <w:color w:val="000000" w:themeColor="text1"/>
                <w:sz w:val="24"/>
                <w:szCs w:val="21"/>
                <w:highlight w:val="none"/>
                <w:lang w:val="en-US" w:eastAsia="zh-CN"/>
                <w14:textFill>
                  <w14:solidFill>
                    <w14:schemeClr w14:val="tx1"/>
                  </w14:solidFill>
                </w14:textFill>
              </w:rPr>
              <w:t>C3989 其他电子元件制造</w:t>
            </w:r>
            <w:r>
              <w:rPr>
                <w:rFonts w:hint="eastAsia"/>
                <w:color w:val="000000" w:themeColor="text1"/>
                <w:sz w:val="24"/>
                <w:szCs w:val="21"/>
                <w:highlight w:val="none"/>
                <w14:textFill>
                  <w14:solidFill>
                    <w14:schemeClr w14:val="tx1"/>
                  </w14:solidFill>
                </w14:textFill>
              </w:rPr>
              <w:t>。经查阅《市场准入负面清单》(2025年版)，本项目不属于禁止或限制准入类行业，且已通过</w:t>
            </w:r>
            <w:r>
              <w:rPr>
                <w:rFonts w:hint="eastAsia"/>
                <w:color w:val="000000" w:themeColor="text1"/>
                <w:sz w:val="24"/>
                <w:szCs w:val="21"/>
                <w:highlight w:val="none"/>
                <w:lang w:eastAsia="zh-CN"/>
                <w14:textFill>
                  <w14:solidFill>
                    <w14:schemeClr w14:val="tx1"/>
                  </w14:solidFill>
                </w14:textFill>
              </w:rPr>
              <w:t>福州高新区经济发展局</w:t>
            </w:r>
            <w:r>
              <w:rPr>
                <w:rFonts w:hint="eastAsia"/>
                <w:color w:val="000000" w:themeColor="text1"/>
                <w:sz w:val="24"/>
                <w:szCs w:val="21"/>
                <w:highlight w:val="none"/>
                <w14:textFill>
                  <w14:solidFill>
                    <w14:schemeClr w14:val="tx1"/>
                  </w14:solidFill>
                </w14:textFill>
              </w:rPr>
              <w:t>备案（</w:t>
            </w:r>
            <w:r>
              <w:rPr>
                <w:rFonts w:hint="eastAsia"/>
                <w:color w:val="000000" w:themeColor="text1"/>
                <w:sz w:val="24"/>
                <w:szCs w:val="21"/>
                <w:highlight w:val="none"/>
                <w:lang w:eastAsia="zh-CN"/>
                <w14:textFill>
                  <w14:solidFill>
                    <w14:schemeClr w14:val="tx1"/>
                  </w14:solidFill>
                </w14:textFill>
              </w:rPr>
              <w:t>闽工信备[2025]A140209号</w:t>
            </w:r>
            <w:r>
              <w:rPr>
                <w:rFonts w:hint="eastAsia"/>
                <w:color w:val="000000" w:themeColor="text1"/>
                <w:sz w:val="24"/>
                <w:szCs w:val="21"/>
                <w:highlight w:val="none"/>
                <w14:textFill>
                  <w14:solidFill>
                    <w14:schemeClr w14:val="tx1"/>
                  </w14:solidFill>
                </w14:textFill>
              </w:rPr>
              <w:t>），符合市场准入要求</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因此符合《市场准入负面清单》(2025年版)文件要求。</w:t>
            </w:r>
          </w:p>
          <w:p w14:paraId="48E19E20">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1.9与《“十四五”节能减排综合工作方案》（国发〔2021〕33号）的符合性分析</w:t>
            </w:r>
          </w:p>
          <w:p w14:paraId="1B09906F">
            <w:pPr>
              <w:pStyle w:val="91"/>
              <w:ind w:firstLine="480" w:firstLineChars="200"/>
              <w:rPr>
                <w:rFonts w:hint="eastAsia"/>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本项目采用电能作为能源，无燃煤锅炉，符合“推动能源清洁低碳化”要求；项目新增</w:t>
            </w:r>
            <w:r>
              <w:rPr>
                <w:rFonts w:hint="eastAsia"/>
                <w:color w:val="000000" w:themeColor="text1"/>
                <w:sz w:val="24"/>
                <w:szCs w:val="21"/>
                <w:highlight w:val="none"/>
                <w14:textFill>
                  <w14:solidFill>
                    <w14:schemeClr w14:val="tx1"/>
                  </w14:solidFill>
                </w14:textFill>
              </w:rPr>
              <w:t>VOCs</w:t>
            </w:r>
            <w:r>
              <w:rPr>
                <w:rFonts w:hint="eastAsia"/>
                <w:color w:val="000000" w:themeColor="text1"/>
                <w:sz w:val="24"/>
                <w:szCs w:val="21"/>
                <w:highlight w:val="none"/>
                <w:lang w:val="en-US" w:eastAsia="zh-CN"/>
                <w14:textFill>
                  <w14:solidFill>
                    <w14:schemeClr w14:val="tx1"/>
                  </w14:solidFill>
                </w14:textFill>
              </w:rPr>
              <w:t>落实排放总量控制要求，符合“挥发性有机物减排”要求。因此本项目符合《“十四五”节能减排综合工作方案》（国发〔2021〕33号）文件要求。</w:t>
            </w:r>
          </w:p>
          <w:p w14:paraId="1098BB2A">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1.10与《国家污染防治技术指导目录》（环办科财函〔2025〕197号）、《国家先进污染防治技术目录》的符合性分析</w:t>
            </w:r>
          </w:p>
          <w:p w14:paraId="15D7E4F4">
            <w:pPr>
              <w:pStyle w:val="91"/>
              <w:ind w:firstLine="480" w:firstLineChars="200"/>
              <w:rPr>
                <w:rFonts w:hint="default"/>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采用的“集气罩+二级活性炭吸附”技术属于《国家污染防治技术指导目录》推荐的可行技术，不属于低效类技术；项目废气治理技术（活性炭吸附）与《目录》中“有机废气吸附净化技术”一致，技术成熟、运行稳定。因此本项目符合《国家污染防治技术指导目录》（环办科财函〔2025〕197号）、《国家先进污染防治技术目录》的文件要求。</w:t>
            </w:r>
          </w:p>
          <w:p w14:paraId="52D38B99">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1.11与建设用地控制相关文件的符合性分析</w:t>
            </w:r>
          </w:p>
          <w:p w14:paraId="49FA0B80">
            <w:pPr>
              <w:pStyle w:val="91"/>
              <w:ind w:firstLine="480" w:firstLineChars="200"/>
              <w:rPr>
                <w:rFonts w:hint="eastAsia"/>
                <w:color w:val="000000" w:themeColor="text1"/>
                <w:sz w:val="24"/>
                <w:szCs w:val="21"/>
                <w:highlight w:val="none"/>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w:t>
            </w:r>
            <w:r>
              <w:rPr>
                <w:rFonts w:hint="eastAsia"/>
                <w:bCs/>
                <w:color w:val="000000" w:themeColor="text1"/>
                <w:sz w:val="24"/>
                <w:szCs w:val="32"/>
                <w:highlight w:val="none"/>
                <w14:textFill>
                  <w14:solidFill>
                    <w14:schemeClr w14:val="tx1"/>
                  </w14:solidFill>
                </w14:textFill>
              </w:rPr>
              <w:t>租用已建厂房，不新增用地</w:t>
            </w:r>
            <w:r>
              <w:rPr>
                <w:rFonts w:hint="eastAsia"/>
                <w:color w:val="000000" w:themeColor="text1"/>
                <w:sz w:val="24"/>
                <w:szCs w:val="21"/>
                <w:highlight w:val="none"/>
                <w:lang w:val="en-US" w:eastAsia="zh-CN"/>
                <w14:textFill>
                  <w14:solidFill>
                    <w14:schemeClr w14:val="tx1"/>
                  </w14:solidFill>
                </w14:textFill>
              </w:rPr>
              <w:t>，容积率、建筑密度等指标符合福建省工业用地控制要求。因此本项目符合《自然资源要素支撑产业高质量发展指导目录（2024年本）》《工业项目建设用地控制指标》（自然资发〔2023〕72号）、《福建省工业项目建设用地控制指标》（闽自然资发〔2024〕31号）文件要求。</w:t>
            </w:r>
          </w:p>
          <w:p w14:paraId="388C4FB9">
            <w:pPr>
              <w:pStyle w:val="91"/>
              <w:ind w:firstLine="480" w:firstLineChars="200"/>
              <w:rPr>
                <w:rFonts w:hint="eastAsia"/>
                <w:color w:val="000000" w:themeColor="text1"/>
                <w:sz w:val="24"/>
                <w:szCs w:val="21"/>
                <w:highlight w:val="none"/>
                <w14:textFill>
                  <w14:solidFill>
                    <w14:schemeClr w14:val="tx1"/>
                  </w14:solidFill>
                </w14:textFill>
              </w:rPr>
            </w:pPr>
          </w:p>
          <w:p w14:paraId="72C6F29E">
            <w:pPr>
              <w:pStyle w:val="91"/>
              <w:ind w:firstLine="480" w:firstLineChars="200"/>
              <w:rPr>
                <w:rFonts w:hint="eastAsia"/>
                <w:color w:val="000000" w:themeColor="text1"/>
                <w:sz w:val="24"/>
                <w:szCs w:val="21"/>
                <w:highlight w:val="none"/>
                <w14:textFill>
                  <w14:solidFill>
                    <w14:schemeClr w14:val="tx1"/>
                  </w14:solidFill>
                </w14:textFill>
              </w:rPr>
            </w:pPr>
          </w:p>
          <w:p w14:paraId="2ACFDE92">
            <w:pPr>
              <w:pStyle w:val="91"/>
              <w:ind w:firstLine="480" w:firstLineChars="200"/>
              <w:rPr>
                <w:rFonts w:hint="eastAsia"/>
                <w:color w:val="000000" w:themeColor="text1"/>
                <w:sz w:val="24"/>
                <w:szCs w:val="21"/>
                <w:highlight w:val="none"/>
                <w14:textFill>
                  <w14:solidFill>
                    <w14:schemeClr w14:val="tx1"/>
                  </w14:solidFill>
                </w14:textFill>
              </w:rPr>
            </w:pPr>
          </w:p>
          <w:p w14:paraId="59CBB4D0">
            <w:pPr>
              <w:pStyle w:val="91"/>
              <w:ind w:firstLine="480" w:firstLineChars="200"/>
              <w:rPr>
                <w:rFonts w:hint="eastAsia"/>
                <w:color w:val="000000" w:themeColor="text1"/>
                <w:sz w:val="24"/>
                <w:szCs w:val="21"/>
                <w:highlight w:val="none"/>
                <w14:textFill>
                  <w14:solidFill>
                    <w14:schemeClr w14:val="tx1"/>
                  </w14:solidFill>
                </w14:textFill>
              </w:rPr>
            </w:pPr>
          </w:p>
          <w:p w14:paraId="37377F3F">
            <w:pPr>
              <w:pStyle w:val="91"/>
              <w:ind w:firstLine="480" w:firstLineChars="200"/>
              <w:rPr>
                <w:rFonts w:hint="eastAsia"/>
                <w:color w:val="000000" w:themeColor="text1"/>
                <w:sz w:val="24"/>
                <w:szCs w:val="21"/>
                <w:highlight w:val="none"/>
                <w14:textFill>
                  <w14:solidFill>
                    <w14:schemeClr w14:val="tx1"/>
                  </w14:solidFill>
                </w14:textFill>
              </w:rPr>
            </w:pPr>
          </w:p>
          <w:p w14:paraId="6C776F1F">
            <w:pPr>
              <w:pStyle w:val="91"/>
              <w:ind w:firstLine="480" w:firstLineChars="200"/>
              <w:rPr>
                <w:rFonts w:hint="eastAsia"/>
                <w:color w:val="000000" w:themeColor="text1"/>
                <w:sz w:val="24"/>
                <w:szCs w:val="21"/>
                <w:highlight w:val="none"/>
                <w14:textFill>
                  <w14:solidFill>
                    <w14:schemeClr w14:val="tx1"/>
                  </w14:solidFill>
                </w14:textFill>
              </w:rPr>
            </w:pPr>
          </w:p>
          <w:p w14:paraId="20774093">
            <w:pPr>
              <w:pStyle w:val="91"/>
              <w:ind w:firstLine="480" w:firstLineChars="200"/>
              <w:rPr>
                <w:rFonts w:hint="eastAsia"/>
                <w:color w:val="000000" w:themeColor="text1"/>
                <w:sz w:val="24"/>
                <w:szCs w:val="21"/>
                <w:highlight w:val="none"/>
                <w14:textFill>
                  <w14:solidFill>
                    <w14:schemeClr w14:val="tx1"/>
                  </w14:solidFill>
                </w14:textFill>
              </w:rPr>
            </w:pPr>
          </w:p>
          <w:p w14:paraId="0AF5542D">
            <w:pPr>
              <w:pStyle w:val="91"/>
              <w:ind w:firstLine="480" w:firstLineChars="200"/>
              <w:rPr>
                <w:rFonts w:hint="eastAsia"/>
                <w:color w:val="000000" w:themeColor="text1"/>
                <w:sz w:val="24"/>
                <w:szCs w:val="21"/>
                <w:highlight w:val="none"/>
                <w14:textFill>
                  <w14:solidFill>
                    <w14:schemeClr w14:val="tx1"/>
                  </w14:solidFill>
                </w14:textFill>
              </w:rPr>
            </w:pPr>
          </w:p>
          <w:p w14:paraId="52D19A41">
            <w:pPr>
              <w:pStyle w:val="91"/>
              <w:ind w:firstLine="480" w:firstLineChars="200"/>
              <w:rPr>
                <w:rFonts w:hint="eastAsia"/>
                <w:color w:val="000000" w:themeColor="text1"/>
                <w:sz w:val="24"/>
                <w:szCs w:val="21"/>
                <w:highlight w:val="none"/>
                <w14:textFill>
                  <w14:solidFill>
                    <w14:schemeClr w14:val="tx1"/>
                  </w14:solidFill>
                </w14:textFill>
              </w:rPr>
            </w:pPr>
          </w:p>
          <w:p w14:paraId="1A8F016D">
            <w:pPr>
              <w:pStyle w:val="91"/>
              <w:ind w:firstLine="480" w:firstLineChars="200"/>
              <w:rPr>
                <w:rFonts w:hint="eastAsia"/>
                <w:color w:val="000000" w:themeColor="text1"/>
                <w:sz w:val="24"/>
                <w:szCs w:val="21"/>
                <w:highlight w:val="none"/>
                <w14:textFill>
                  <w14:solidFill>
                    <w14:schemeClr w14:val="tx1"/>
                  </w14:solidFill>
                </w14:textFill>
              </w:rPr>
            </w:pPr>
          </w:p>
          <w:p w14:paraId="06954127">
            <w:pPr>
              <w:pStyle w:val="91"/>
              <w:ind w:firstLine="480" w:firstLineChars="200"/>
              <w:rPr>
                <w:rFonts w:hint="eastAsia"/>
                <w:color w:val="000000" w:themeColor="text1"/>
                <w:sz w:val="24"/>
                <w:szCs w:val="21"/>
                <w:highlight w:val="none"/>
                <w14:textFill>
                  <w14:solidFill>
                    <w14:schemeClr w14:val="tx1"/>
                  </w14:solidFill>
                </w14:textFill>
              </w:rPr>
            </w:pPr>
          </w:p>
          <w:p w14:paraId="2796FC45">
            <w:pPr>
              <w:pStyle w:val="91"/>
              <w:ind w:firstLine="480" w:firstLineChars="200"/>
              <w:rPr>
                <w:rFonts w:hint="eastAsia"/>
                <w:color w:val="000000" w:themeColor="text1"/>
                <w:sz w:val="24"/>
                <w:szCs w:val="21"/>
                <w:highlight w:val="none"/>
                <w14:textFill>
                  <w14:solidFill>
                    <w14:schemeClr w14:val="tx1"/>
                  </w14:solidFill>
                </w14:textFill>
              </w:rPr>
            </w:pPr>
          </w:p>
          <w:p w14:paraId="0EC1090B">
            <w:pPr>
              <w:pStyle w:val="91"/>
              <w:ind w:firstLine="480" w:firstLineChars="200"/>
              <w:rPr>
                <w:rFonts w:hint="eastAsia"/>
                <w:color w:val="000000" w:themeColor="text1"/>
                <w:sz w:val="24"/>
                <w:szCs w:val="21"/>
                <w:highlight w:val="none"/>
                <w14:textFill>
                  <w14:solidFill>
                    <w14:schemeClr w14:val="tx1"/>
                  </w14:solidFill>
                </w14:textFill>
              </w:rPr>
            </w:pPr>
          </w:p>
          <w:p w14:paraId="40918C7E">
            <w:pPr>
              <w:pStyle w:val="91"/>
              <w:ind w:firstLine="480" w:firstLineChars="200"/>
              <w:rPr>
                <w:rFonts w:hint="eastAsia"/>
                <w:color w:val="000000" w:themeColor="text1"/>
                <w:sz w:val="24"/>
                <w:szCs w:val="21"/>
                <w:highlight w:val="none"/>
                <w14:textFill>
                  <w14:solidFill>
                    <w14:schemeClr w14:val="tx1"/>
                  </w14:solidFill>
                </w14:textFill>
              </w:rPr>
            </w:pPr>
          </w:p>
          <w:p w14:paraId="40C73D67">
            <w:pPr>
              <w:pStyle w:val="91"/>
              <w:ind w:firstLine="480" w:firstLineChars="200"/>
              <w:rPr>
                <w:rFonts w:hint="eastAsia"/>
                <w:color w:val="000000" w:themeColor="text1"/>
                <w:sz w:val="24"/>
                <w:szCs w:val="21"/>
                <w:highlight w:val="none"/>
                <w14:textFill>
                  <w14:solidFill>
                    <w14:schemeClr w14:val="tx1"/>
                  </w14:solidFill>
                </w14:textFill>
              </w:rPr>
            </w:pPr>
          </w:p>
          <w:p w14:paraId="0527E5CB">
            <w:pPr>
              <w:pStyle w:val="91"/>
              <w:ind w:firstLine="480" w:firstLineChars="200"/>
              <w:rPr>
                <w:rFonts w:hint="eastAsia"/>
                <w:color w:val="000000" w:themeColor="text1"/>
                <w:sz w:val="24"/>
                <w:szCs w:val="21"/>
                <w:highlight w:val="none"/>
                <w14:textFill>
                  <w14:solidFill>
                    <w14:schemeClr w14:val="tx1"/>
                  </w14:solidFill>
                </w14:textFill>
              </w:rPr>
            </w:pPr>
          </w:p>
          <w:p w14:paraId="074923D2">
            <w:pPr>
              <w:pStyle w:val="91"/>
              <w:ind w:firstLine="480" w:firstLineChars="200"/>
              <w:rPr>
                <w:rFonts w:hint="eastAsia"/>
                <w:color w:val="000000" w:themeColor="text1"/>
                <w:sz w:val="24"/>
                <w:szCs w:val="21"/>
                <w:highlight w:val="none"/>
                <w14:textFill>
                  <w14:solidFill>
                    <w14:schemeClr w14:val="tx1"/>
                  </w14:solidFill>
                </w14:textFill>
              </w:rPr>
            </w:pPr>
          </w:p>
          <w:p w14:paraId="4CF9D4C1">
            <w:pPr>
              <w:pStyle w:val="91"/>
              <w:ind w:firstLine="480" w:firstLineChars="200"/>
              <w:rPr>
                <w:rFonts w:hint="eastAsia"/>
                <w:color w:val="000000" w:themeColor="text1"/>
                <w:sz w:val="24"/>
                <w:szCs w:val="21"/>
                <w:highlight w:val="none"/>
                <w14:textFill>
                  <w14:solidFill>
                    <w14:schemeClr w14:val="tx1"/>
                  </w14:solidFill>
                </w14:textFill>
              </w:rPr>
            </w:pPr>
          </w:p>
          <w:p w14:paraId="2E758823">
            <w:pPr>
              <w:pStyle w:val="91"/>
              <w:ind w:firstLine="480" w:firstLineChars="200"/>
              <w:rPr>
                <w:rFonts w:hint="eastAsia"/>
                <w:color w:val="000000" w:themeColor="text1"/>
                <w:sz w:val="24"/>
                <w:szCs w:val="21"/>
                <w:highlight w:val="none"/>
                <w14:textFill>
                  <w14:solidFill>
                    <w14:schemeClr w14:val="tx1"/>
                  </w14:solidFill>
                </w14:textFill>
              </w:rPr>
            </w:pPr>
          </w:p>
          <w:p w14:paraId="2342F44D">
            <w:pPr>
              <w:pStyle w:val="91"/>
              <w:ind w:firstLine="480" w:firstLineChars="200"/>
              <w:rPr>
                <w:rFonts w:hint="eastAsia"/>
                <w:color w:val="000000" w:themeColor="text1"/>
                <w:sz w:val="24"/>
                <w:szCs w:val="21"/>
                <w:highlight w:val="none"/>
                <w14:textFill>
                  <w14:solidFill>
                    <w14:schemeClr w14:val="tx1"/>
                  </w14:solidFill>
                </w14:textFill>
              </w:rPr>
            </w:pPr>
          </w:p>
          <w:p w14:paraId="030462B3">
            <w:pPr>
              <w:pStyle w:val="91"/>
              <w:ind w:firstLine="480" w:firstLineChars="200"/>
              <w:rPr>
                <w:rFonts w:hint="eastAsia"/>
                <w:color w:val="000000" w:themeColor="text1"/>
                <w:sz w:val="24"/>
                <w:szCs w:val="21"/>
                <w:highlight w:val="none"/>
                <w14:textFill>
                  <w14:solidFill>
                    <w14:schemeClr w14:val="tx1"/>
                  </w14:solidFill>
                </w14:textFill>
              </w:rPr>
            </w:pPr>
          </w:p>
          <w:p w14:paraId="7419048A">
            <w:pPr>
              <w:pStyle w:val="91"/>
              <w:ind w:firstLine="480" w:firstLineChars="200"/>
              <w:rPr>
                <w:rFonts w:hint="eastAsia"/>
                <w:color w:val="000000" w:themeColor="text1"/>
                <w:sz w:val="24"/>
                <w:szCs w:val="21"/>
                <w:highlight w:val="none"/>
                <w14:textFill>
                  <w14:solidFill>
                    <w14:schemeClr w14:val="tx1"/>
                  </w14:solidFill>
                </w14:textFill>
              </w:rPr>
            </w:pPr>
          </w:p>
          <w:p w14:paraId="3034DD3A">
            <w:pPr>
              <w:pStyle w:val="91"/>
              <w:ind w:firstLine="480" w:firstLineChars="200"/>
              <w:rPr>
                <w:rFonts w:hint="eastAsia"/>
                <w:color w:val="000000" w:themeColor="text1"/>
                <w:sz w:val="24"/>
                <w:szCs w:val="21"/>
                <w:highlight w:val="none"/>
                <w14:textFill>
                  <w14:solidFill>
                    <w14:schemeClr w14:val="tx1"/>
                  </w14:solidFill>
                </w14:textFill>
              </w:rPr>
            </w:pPr>
          </w:p>
          <w:p w14:paraId="1B2762EC">
            <w:pPr>
              <w:pStyle w:val="91"/>
              <w:ind w:firstLine="480" w:firstLineChars="200"/>
              <w:rPr>
                <w:rFonts w:hint="eastAsia"/>
                <w:color w:val="000000" w:themeColor="text1"/>
                <w:sz w:val="24"/>
                <w:szCs w:val="21"/>
                <w:highlight w:val="none"/>
                <w14:textFill>
                  <w14:solidFill>
                    <w14:schemeClr w14:val="tx1"/>
                  </w14:solidFill>
                </w14:textFill>
              </w:rPr>
            </w:pPr>
          </w:p>
          <w:p w14:paraId="5BD8BF54">
            <w:pPr>
              <w:pStyle w:val="91"/>
              <w:ind w:firstLine="480" w:firstLineChars="200"/>
              <w:rPr>
                <w:rFonts w:hint="eastAsia"/>
                <w:color w:val="000000" w:themeColor="text1"/>
                <w:sz w:val="24"/>
                <w:szCs w:val="21"/>
                <w:highlight w:val="none"/>
                <w14:textFill>
                  <w14:solidFill>
                    <w14:schemeClr w14:val="tx1"/>
                  </w14:solidFill>
                </w14:textFill>
              </w:rPr>
            </w:pPr>
          </w:p>
        </w:tc>
      </w:tr>
    </w:tbl>
    <w:p w14:paraId="26901827">
      <w:pPr>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br w:type="page"/>
      </w:r>
    </w:p>
    <w:p w14:paraId="180FBB2B">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7" w:name="_Toc12109"/>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bookmarkEnd w:id="7"/>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498"/>
      </w:tblGrid>
      <w:tr w14:paraId="2BA14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310" w:type="pct"/>
            <w:vAlign w:val="center"/>
          </w:tcPr>
          <w:p w14:paraId="09F8E2CF">
            <w:pPr>
              <w:pStyle w:val="26"/>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建设内容</w:t>
            </w:r>
          </w:p>
        </w:tc>
        <w:tc>
          <w:tcPr>
            <w:tcW w:w="4690" w:type="pct"/>
          </w:tcPr>
          <w:p w14:paraId="4F24ECDB">
            <w:pPr>
              <w:pStyle w:val="37"/>
              <w:rPr>
                <w:b w:val="0"/>
                <w:color w:val="000000" w:themeColor="text1"/>
                <w:sz w:val="24"/>
                <w:szCs w:val="21"/>
                <w:highlight w:val="none"/>
                <w14:textFill>
                  <w14:solidFill>
                    <w14:schemeClr w14:val="tx1"/>
                  </w14:solidFill>
                </w14:textFill>
              </w:rPr>
            </w:pPr>
            <w:r>
              <w:rPr>
                <w:b w:val="0"/>
                <w:color w:val="000000" w:themeColor="text1"/>
                <w:sz w:val="24"/>
                <w:szCs w:val="21"/>
                <w:highlight w:val="none"/>
                <w14:textFill>
                  <w14:solidFill>
                    <w14:schemeClr w14:val="tx1"/>
                  </w14:solidFill>
                </w14:textFill>
              </w:rPr>
              <w:t>2.1 项目情况</w:t>
            </w:r>
          </w:p>
          <w:p w14:paraId="569F691F">
            <w:pPr>
              <w:spacing w:line="360" w:lineRule="auto"/>
              <w:ind w:firstLine="480" w:firstLineChars="20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1、项目由来</w:t>
            </w:r>
          </w:p>
          <w:p w14:paraId="37FF8E34">
            <w:pPr>
              <w:spacing w:line="360" w:lineRule="auto"/>
              <w:ind w:firstLine="480" w:firstLineChars="200"/>
              <w:rPr>
                <w:rFonts w:hint="eastAsia"/>
                <w:color w:val="000000" w:themeColor="text1"/>
                <w:sz w:val="24"/>
                <w:szCs w:val="32"/>
                <w:highlight w:val="none"/>
                <w:lang w:eastAsia="zh-CN"/>
                <w14:textFill>
                  <w14:solidFill>
                    <w14:schemeClr w14:val="tx1"/>
                  </w14:solidFill>
                </w14:textFill>
              </w:rPr>
            </w:pPr>
            <w:r>
              <w:rPr>
                <w:rFonts w:hint="eastAsia"/>
                <w:color w:val="000000" w:themeColor="text1"/>
                <w:sz w:val="24"/>
                <w:szCs w:val="32"/>
                <w:highlight w:val="none"/>
                <w:lang w:eastAsia="zh-CN"/>
                <w14:textFill>
                  <w14:solidFill>
                    <w14:schemeClr w14:val="tx1"/>
                  </w14:solidFill>
                </w14:textFill>
              </w:rPr>
              <w:t>福建至期光子科技有限公司（</w:t>
            </w:r>
            <w:r>
              <w:rPr>
                <w:rFonts w:hint="eastAsia"/>
                <w:color w:val="000000" w:themeColor="text1"/>
                <w:sz w:val="24"/>
                <w:szCs w:val="32"/>
                <w:highlight w:val="none"/>
                <w:lang w:val="en-US" w:eastAsia="zh-CN"/>
                <w14:textFill>
                  <w14:solidFill>
                    <w14:schemeClr w14:val="tx1"/>
                  </w14:solidFill>
                </w14:textFill>
              </w:rPr>
              <w:t>以下简称“</w:t>
            </w:r>
            <w:r>
              <w:rPr>
                <w:rFonts w:hint="eastAsia"/>
                <w:color w:val="000000" w:themeColor="text1"/>
                <w:sz w:val="24"/>
                <w:szCs w:val="32"/>
                <w:highlight w:val="none"/>
                <w:lang w:eastAsia="zh-CN"/>
                <w14:textFill>
                  <w14:solidFill>
                    <w14:schemeClr w14:val="tx1"/>
                  </w14:solidFill>
                </w14:textFill>
              </w:rPr>
              <w:t>至期光子</w:t>
            </w:r>
            <w:r>
              <w:rPr>
                <w:rFonts w:hint="eastAsia"/>
                <w:color w:val="000000" w:themeColor="text1"/>
                <w:sz w:val="24"/>
                <w:szCs w:val="32"/>
                <w:highlight w:val="none"/>
                <w:lang w:val="en-US" w:eastAsia="zh-CN"/>
                <w14:textFill>
                  <w14:solidFill>
                    <w14:schemeClr w14:val="tx1"/>
                  </w14:solidFill>
                </w14:textFill>
              </w:rPr>
              <w:t>”</w:t>
            </w:r>
            <w:r>
              <w:rPr>
                <w:rFonts w:hint="eastAsia"/>
                <w:color w:val="000000" w:themeColor="text1"/>
                <w:sz w:val="24"/>
                <w:szCs w:val="32"/>
                <w:highlight w:val="none"/>
                <w:lang w:eastAsia="zh-CN"/>
                <w14:textFill>
                  <w14:solidFill>
                    <w14:schemeClr w14:val="tx1"/>
                  </w14:solidFill>
                </w14:textFill>
              </w:rPr>
              <w:t>）成立于2022年12月，</w:t>
            </w:r>
            <w:r>
              <w:rPr>
                <w:rFonts w:hint="eastAsia"/>
                <w:color w:val="000000" w:themeColor="text1"/>
                <w:sz w:val="24"/>
                <w:szCs w:val="32"/>
                <w:highlight w:val="none"/>
                <w:lang w:val="en-US" w:eastAsia="zh-CN"/>
                <w14:textFill>
                  <w14:solidFill>
                    <w14:schemeClr w14:val="tx1"/>
                  </w14:solidFill>
                </w14:textFill>
              </w:rPr>
              <w:t>现有项目</w:t>
            </w:r>
            <w:r>
              <w:rPr>
                <w:rFonts w:hint="eastAsia"/>
                <w:color w:val="000000" w:themeColor="text1"/>
                <w:sz w:val="24"/>
                <w:szCs w:val="32"/>
                <w:highlight w:val="none"/>
                <w:lang w:eastAsia="zh-CN"/>
                <w14:textFill>
                  <w14:solidFill>
                    <w14:schemeClr w14:val="tx1"/>
                  </w14:solidFill>
                </w14:textFill>
              </w:rPr>
              <w:t>生产厂址位于福州市高新区南屿镇窗厦村尧溪路3号2#厂房，主要从事超精密核心光学及晶体元器件生产制造。</w:t>
            </w:r>
          </w:p>
          <w:p w14:paraId="700F6DB8">
            <w:pPr>
              <w:spacing w:line="360" w:lineRule="auto"/>
              <w:ind w:firstLine="480" w:firstLineChars="200"/>
              <w:rPr>
                <w:rFonts w:hint="eastAsia"/>
                <w:color w:val="000000" w:themeColor="text1"/>
                <w:sz w:val="24"/>
                <w:szCs w:val="32"/>
                <w:highlight w:val="none"/>
                <w:lang w:eastAsia="zh-CN"/>
                <w14:textFill>
                  <w14:solidFill>
                    <w14:schemeClr w14:val="tx1"/>
                  </w14:solidFill>
                </w14:textFill>
              </w:rPr>
            </w:pPr>
            <w:r>
              <w:rPr>
                <w:rFonts w:hint="eastAsia"/>
                <w:color w:val="000000" w:themeColor="text1"/>
                <w:sz w:val="24"/>
                <w:szCs w:val="32"/>
                <w:highlight w:val="none"/>
                <w:lang w:eastAsia="zh-CN"/>
                <w14:textFill>
                  <w14:solidFill>
                    <w14:schemeClr w14:val="tx1"/>
                  </w14:solidFill>
                </w14:textFill>
              </w:rPr>
              <w:t>2023年2月，至期光子委托厦门正诺达环保科技有限公司编制《福建至期光子科技有限公司超精密核心光学及晶体元器件生产项目建设环境影响评价报告表》，于2023年3月31日取得福州高新技术产业开发区生态环境局批复（榕高新区环评〔2023〕6号）。2023年12月3日企业完成排污登记（91350102MAC6AQCU19001X）。2024年10月，至期光子委托福建创投环保科技有限公司编制《福建至期光子科技有限公司超精密核心光学及晶体元器件生产项目建设竣工环境保护验收监测</w:t>
            </w:r>
            <w:r>
              <w:rPr>
                <w:rFonts w:hint="eastAsia"/>
                <w:color w:val="000000" w:themeColor="text1"/>
                <w:sz w:val="24"/>
                <w:szCs w:val="32"/>
                <w:highlight w:val="none"/>
                <w:lang w:val="en-US" w:eastAsia="zh-CN"/>
                <w14:textFill>
                  <w14:solidFill>
                    <w14:schemeClr w14:val="tx1"/>
                  </w14:solidFill>
                </w14:textFill>
              </w:rPr>
              <w:t>报告</w:t>
            </w:r>
            <w:r>
              <w:rPr>
                <w:rFonts w:hint="eastAsia"/>
                <w:color w:val="000000" w:themeColor="text1"/>
                <w:sz w:val="24"/>
                <w:szCs w:val="32"/>
                <w:highlight w:val="none"/>
                <w:lang w:eastAsia="zh-CN"/>
                <w14:textFill>
                  <w14:solidFill>
                    <w14:schemeClr w14:val="tx1"/>
                  </w14:solidFill>
                </w14:textFill>
              </w:rPr>
              <w:t>表》；2024年10月12日，该项目通过验收组验收。</w:t>
            </w:r>
          </w:p>
          <w:p w14:paraId="1E7D9531">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2025年，</w:t>
            </w:r>
            <w:r>
              <w:rPr>
                <w:rFonts w:hint="eastAsia"/>
                <w:color w:val="000000" w:themeColor="text1"/>
                <w:sz w:val="24"/>
                <w:szCs w:val="32"/>
                <w:highlight w:val="none"/>
                <w:lang w:eastAsia="zh-CN"/>
                <w14:textFill>
                  <w14:solidFill>
                    <w14:schemeClr w14:val="tx1"/>
                  </w14:solidFill>
                </w14:textFill>
              </w:rPr>
              <w:t>至期光子租赁福建省菲格园区开发管理有限公司2#厂房2层，</w:t>
            </w:r>
            <w:r>
              <w:rPr>
                <w:rFonts w:hint="eastAsia"/>
                <w:color w:val="000000" w:themeColor="text1"/>
                <w:sz w:val="24"/>
                <w:szCs w:val="32"/>
                <w:highlight w:val="none"/>
                <w:lang w:val="en-US" w:eastAsia="zh-CN"/>
                <w14:textFill>
                  <w14:solidFill>
                    <w14:schemeClr w14:val="tx1"/>
                  </w14:solidFill>
                </w14:textFill>
              </w:rPr>
              <w:t>拟</w:t>
            </w:r>
            <w:r>
              <w:rPr>
                <w:rFonts w:hint="eastAsia"/>
                <w:color w:val="000000" w:themeColor="text1"/>
                <w:sz w:val="24"/>
                <w:szCs w:val="32"/>
                <w:highlight w:val="none"/>
                <w:lang w:eastAsia="zh-CN"/>
                <w14:textFill>
                  <w14:solidFill>
                    <w14:schemeClr w14:val="tx1"/>
                  </w14:solidFill>
                </w14:textFill>
              </w:rPr>
              <w:t>建设GE项目改造工程。至期光子委托福建环诺科技有限公司</w:t>
            </w:r>
            <w:r>
              <w:rPr>
                <w:rFonts w:hint="eastAsia"/>
                <w:color w:val="000000" w:themeColor="text1"/>
                <w:sz w:val="24"/>
                <w:szCs w:val="32"/>
                <w:highlight w:val="none"/>
                <w:lang w:val="en-US" w:eastAsia="zh-CN"/>
                <w14:textFill>
                  <w14:solidFill>
                    <w14:schemeClr w14:val="tx1"/>
                  </w14:solidFill>
                </w14:textFill>
              </w:rPr>
              <w:t>于2025年9月</w:t>
            </w:r>
            <w:r>
              <w:rPr>
                <w:rFonts w:hint="eastAsia"/>
                <w:color w:val="000000" w:themeColor="text1"/>
                <w:sz w:val="24"/>
                <w:szCs w:val="32"/>
                <w:highlight w:val="none"/>
                <w:lang w:eastAsia="zh-CN"/>
                <w14:textFill>
                  <w14:solidFill>
                    <w14:schemeClr w14:val="tx1"/>
                  </w14:solidFill>
                </w14:textFill>
              </w:rPr>
              <w:t>编制</w:t>
            </w:r>
            <w:r>
              <w:rPr>
                <w:rFonts w:hint="eastAsia"/>
                <w:color w:val="000000" w:themeColor="text1"/>
                <w:sz w:val="24"/>
                <w:szCs w:val="32"/>
                <w:highlight w:val="none"/>
                <w:lang w:val="en-US" w:eastAsia="zh-CN"/>
                <w14:textFill>
                  <w14:solidFill>
                    <w14:schemeClr w14:val="tx1"/>
                  </w14:solidFill>
                </w14:textFill>
              </w:rPr>
              <w:t>完成</w:t>
            </w:r>
            <w:r>
              <w:rPr>
                <w:rFonts w:hint="eastAsia"/>
                <w:color w:val="000000" w:themeColor="text1"/>
                <w:sz w:val="24"/>
                <w:szCs w:val="32"/>
                <w:highlight w:val="none"/>
                <w:lang w:eastAsia="zh-CN"/>
                <w14:textFill>
                  <w14:solidFill>
                    <w14:schemeClr w14:val="tx1"/>
                  </w14:solidFill>
                </w14:textFill>
              </w:rPr>
              <w:t>《GE项目改造工程环境影响报告表》，并于2025年9月25日取得福州高新技术产业开发区生态环境局的批复(榕高新区环评〔202</w:t>
            </w:r>
            <w:r>
              <w:rPr>
                <w:rFonts w:hint="eastAsia"/>
                <w:color w:val="000000" w:themeColor="text1"/>
                <w:sz w:val="24"/>
                <w:szCs w:val="32"/>
                <w:highlight w:val="none"/>
                <w:lang w:val="en-US" w:eastAsia="zh-CN"/>
                <w14:textFill>
                  <w14:solidFill>
                    <w14:schemeClr w14:val="tx1"/>
                  </w14:solidFill>
                </w14:textFill>
              </w:rPr>
              <w:t>5</w:t>
            </w:r>
            <w:r>
              <w:rPr>
                <w:rFonts w:hint="eastAsia"/>
                <w:color w:val="000000" w:themeColor="text1"/>
                <w:sz w:val="24"/>
                <w:szCs w:val="32"/>
                <w:highlight w:val="none"/>
                <w:lang w:eastAsia="zh-CN"/>
                <w14:textFill>
                  <w14:solidFill>
                    <w14:schemeClr w14:val="tx1"/>
                  </w14:solidFill>
                </w14:textFill>
              </w:rPr>
              <w:t>〕21号)。20</w:t>
            </w:r>
            <w:r>
              <w:rPr>
                <w:rFonts w:hint="eastAsia"/>
                <w:color w:val="000000" w:themeColor="text1"/>
                <w:sz w:val="24"/>
                <w:szCs w:val="32"/>
                <w:highlight w:val="none"/>
                <w:lang w:val="en-US" w:eastAsia="zh-CN"/>
                <w14:textFill>
                  <w14:solidFill>
                    <w14:schemeClr w14:val="tx1"/>
                  </w14:solidFill>
                </w14:textFill>
              </w:rPr>
              <w:t>25</w:t>
            </w:r>
            <w:r>
              <w:rPr>
                <w:rFonts w:hint="eastAsia"/>
                <w:color w:val="000000" w:themeColor="text1"/>
                <w:sz w:val="24"/>
                <w:szCs w:val="32"/>
                <w:highlight w:val="none"/>
                <w:lang w:eastAsia="zh-CN"/>
                <w14:textFill>
                  <w14:solidFill>
                    <w14:schemeClr w14:val="tx1"/>
                  </w14:solidFill>
                </w14:textFill>
              </w:rPr>
              <w:t>年</w:t>
            </w:r>
            <w:r>
              <w:rPr>
                <w:rFonts w:hint="eastAsia"/>
                <w:color w:val="000000" w:themeColor="text1"/>
                <w:sz w:val="24"/>
                <w:szCs w:val="32"/>
                <w:highlight w:val="none"/>
                <w:lang w:val="en-US" w:eastAsia="zh-CN"/>
                <w14:textFill>
                  <w14:solidFill>
                    <w14:schemeClr w14:val="tx1"/>
                  </w14:solidFill>
                </w14:textFill>
              </w:rPr>
              <w:t>9</w:t>
            </w:r>
            <w:r>
              <w:rPr>
                <w:rFonts w:hint="eastAsia"/>
                <w:color w:val="000000" w:themeColor="text1"/>
                <w:sz w:val="24"/>
                <w:szCs w:val="32"/>
                <w:highlight w:val="none"/>
                <w:lang w:eastAsia="zh-CN"/>
                <w14:textFill>
                  <w14:solidFill>
                    <w14:schemeClr w14:val="tx1"/>
                  </w14:solidFill>
                </w14:textFill>
              </w:rPr>
              <w:t>月</w:t>
            </w:r>
            <w:r>
              <w:rPr>
                <w:rFonts w:hint="eastAsia"/>
                <w:color w:val="000000" w:themeColor="text1"/>
                <w:sz w:val="24"/>
                <w:szCs w:val="32"/>
                <w:highlight w:val="none"/>
                <w:lang w:val="en-US" w:eastAsia="zh-CN"/>
                <w14:textFill>
                  <w14:solidFill>
                    <w14:schemeClr w14:val="tx1"/>
                  </w14:solidFill>
                </w14:textFill>
              </w:rPr>
              <w:t>28</w:t>
            </w:r>
            <w:r>
              <w:rPr>
                <w:rFonts w:hint="eastAsia"/>
                <w:color w:val="000000" w:themeColor="text1"/>
                <w:sz w:val="24"/>
                <w:szCs w:val="32"/>
                <w:highlight w:val="none"/>
                <w:lang w:eastAsia="zh-CN"/>
                <w14:textFill>
                  <w14:solidFill>
                    <w14:schemeClr w14:val="tx1"/>
                  </w14:solidFill>
                </w14:textFill>
              </w:rPr>
              <w:t>日</w:t>
            </w:r>
            <w:r>
              <w:rPr>
                <w:rFonts w:hint="eastAsia"/>
                <w:color w:val="000000" w:themeColor="text1"/>
                <w:sz w:val="24"/>
                <w:szCs w:val="32"/>
                <w:highlight w:val="none"/>
                <w:lang w:val="en-US" w:eastAsia="zh-CN"/>
                <w14:textFill>
                  <w14:solidFill>
                    <w14:schemeClr w14:val="tx1"/>
                  </w14:solidFill>
                </w14:textFill>
              </w:rPr>
              <w:t>企业重新进行了</w:t>
            </w:r>
            <w:r>
              <w:rPr>
                <w:rFonts w:hint="eastAsia"/>
                <w:color w:val="000000" w:themeColor="text1"/>
                <w:sz w:val="24"/>
                <w:szCs w:val="32"/>
                <w:highlight w:val="none"/>
                <w:lang w:eastAsia="zh-CN"/>
                <w14:textFill>
                  <w14:solidFill>
                    <w14:schemeClr w14:val="tx1"/>
                  </w14:solidFill>
                </w14:textFill>
              </w:rPr>
              <w:t>排污登记（91350102MAC6AQCU19001X）。202</w:t>
            </w:r>
            <w:r>
              <w:rPr>
                <w:rFonts w:hint="eastAsia"/>
                <w:color w:val="000000" w:themeColor="text1"/>
                <w:sz w:val="24"/>
                <w:szCs w:val="32"/>
                <w:highlight w:val="none"/>
                <w:lang w:val="en-US" w:eastAsia="zh-CN"/>
                <w14:textFill>
                  <w14:solidFill>
                    <w14:schemeClr w14:val="tx1"/>
                  </w14:solidFill>
                </w14:textFill>
              </w:rPr>
              <w:t>5</w:t>
            </w:r>
            <w:r>
              <w:rPr>
                <w:rFonts w:hint="eastAsia"/>
                <w:color w:val="000000" w:themeColor="text1"/>
                <w:sz w:val="24"/>
                <w:szCs w:val="32"/>
                <w:highlight w:val="none"/>
                <w:lang w:eastAsia="zh-CN"/>
                <w14:textFill>
                  <w14:solidFill>
                    <w14:schemeClr w14:val="tx1"/>
                  </w14:solidFill>
                </w14:textFill>
              </w:rPr>
              <w:t>年1</w:t>
            </w:r>
            <w:r>
              <w:rPr>
                <w:rFonts w:hint="eastAsia"/>
                <w:color w:val="000000" w:themeColor="text1"/>
                <w:sz w:val="24"/>
                <w:szCs w:val="32"/>
                <w:highlight w:val="none"/>
                <w:lang w:val="en-US" w:eastAsia="zh-CN"/>
                <w14:textFill>
                  <w14:solidFill>
                    <w14:schemeClr w14:val="tx1"/>
                  </w14:solidFill>
                </w14:textFill>
              </w:rPr>
              <w:t>1</w:t>
            </w:r>
            <w:r>
              <w:rPr>
                <w:rFonts w:hint="eastAsia"/>
                <w:color w:val="000000" w:themeColor="text1"/>
                <w:sz w:val="24"/>
                <w:szCs w:val="32"/>
                <w:highlight w:val="none"/>
                <w:lang w:eastAsia="zh-CN"/>
                <w14:textFill>
                  <w14:solidFill>
                    <w14:schemeClr w14:val="tx1"/>
                  </w14:solidFill>
                </w14:textFill>
              </w:rPr>
              <w:t>月，至期光子委托福建兴顺达环保科技有限公司编制</w:t>
            </w:r>
            <w:r>
              <w:rPr>
                <w:rFonts w:hint="eastAsia"/>
                <w:color w:val="000000" w:themeColor="text1"/>
                <w:sz w:val="24"/>
                <w:szCs w:val="32"/>
                <w:highlight w:val="none"/>
                <w:lang w:val="en-US" w:eastAsia="zh-CN"/>
                <w14:textFill>
                  <w14:solidFill>
                    <w14:schemeClr w14:val="tx1"/>
                  </w14:solidFill>
                </w14:textFill>
              </w:rPr>
              <w:t>完成</w:t>
            </w:r>
            <w:r>
              <w:rPr>
                <w:rFonts w:hint="eastAsia"/>
                <w:color w:val="000000" w:themeColor="text1"/>
                <w:sz w:val="24"/>
                <w:szCs w:val="32"/>
                <w:highlight w:val="none"/>
                <w:lang w:eastAsia="zh-CN"/>
                <w14:textFill>
                  <w14:solidFill>
                    <w14:schemeClr w14:val="tx1"/>
                  </w14:solidFill>
                </w14:textFill>
              </w:rPr>
              <w:t>《福建至期光子科技有限公司GE项目改造工程竣工环境保护验收监测</w:t>
            </w:r>
            <w:r>
              <w:rPr>
                <w:rFonts w:hint="eastAsia"/>
                <w:color w:val="000000" w:themeColor="text1"/>
                <w:sz w:val="24"/>
                <w:szCs w:val="32"/>
                <w:highlight w:val="none"/>
                <w:lang w:val="en-US" w:eastAsia="zh-CN"/>
                <w14:textFill>
                  <w14:solidFill>
                    <w14:schemeClr w14:val="tx1"/>
                  </w14:solidFill>
                </w14:textFill>
              </w:rPr>
              <w:t>报告</w:t>
            </w:r>
            <w:r>
              <w:rPr>
                <w:rFonts w:hint="eastAsia"/>
                <w:color w:val="000000" w:themeColor="text1"/>
                <w:sz w:val="24"/>
                <w:szCs w:val="32"/>
                <w:highlight w:val="none"/>
                <w:lang w:eastAsia="zh-CN"/>
                <w14:textFill>
                  <w14:solidFill>
                    <w14:schemeClr w14:val="tx1"/>
                  </w14:solidFill>
                </w14:textFill>
              </w:rPr>
              <w:t>表》；202</w:t>
            </w:r>
            <w:r>
              <w:rPr>
                <w:rFonts w:hint="eastAsia"/>
                <w:color w:val="000000" w:themeColor="text1"/>
                <w:sz w:val="24"/>
                <w:szCs w:val="32"/>
                <w:highlight w:val="none"/>
                <w:lang w:val="en-US" w:eastAsia="zh-CN"/>
                <w14:textFill>
                  <w14:solidFill>
                    <w14:schemeClr w14:val="tx1"/>
                  </w14:solidFill>
                </w14:textFill>
              </w:rPr>
              <w:t>5</w:t>
            </w:r>
            <w:r>
              <w:rPr>
                <w:rFonts w:hint="eastAsia"/>
                <w:color w:val="000000" w:themeColor="text1"/>
                <w:sz w:val="24"/>
                <w:szCs w:val="32"/>
                <w:highlight w:val="none"/>
                <w:lang w:eastAsia="zh-CN"/>
                <w14:textFill>
                  <w14:solidFill>
                    <w14:schemeClr w14:val="tx1"/>
                  </w14:solidFill>
                </w14:textFill>
              </w:rPr>
              <w:t>年</w:t>
            </w:r>
            <w:r>
              <w:rPr>
                <w:rFonts w:hint="eastAsia"/>
                <w:color w:val="000000" w:themeColor="text1"/>
                <w:sz w:val="24"/>
                <w:szCs w:val="32"/>
                <w:highlight w:val="none"/>
                <w:lang w:val="en-US" w:eastAsia="zh-CN"/>
                <w14:textFill>
                  <w14:solidFill>
                    <w14:schemeClr w14:val="tx1"/>
                  </w14:solidFill>
                </w14:textFill>
              </w:rPr>
              <w:t>11</w:t>
            </w:r>
            <w:r>
              <w:rPr>
                <w:rFonts w:hint="eastAsia"/>
                <w:color w:val="000000" w:themeColor="text1"/>
                <w:sz w:val="24"/>
                <w:szCs w:val="32"/>
                <w:highlight w:val="none"/>
                <w:lang w:eastAsia="zh-CN"/>
                <w14:textFill>
                  <w14:solidFill>
                    <w14:schemeClr w14:val="tx1"/>
                  </w14:solidFill>
                </w14:textFill>
              </w:rPr>
              <w:t>月</w:t>
            </w:r>
            <w:r>
              <w:rPr>
                <w:rFonts w:hint="eastAsia"/>
                <w:color w:val="000000" w:themeColor="text1"/>
                <w:sz w:val="24"/>
                <w:szCs w:val="32"/>
                <w:highlight w:val="none"/>
                <w:lang w:val="en-US" w:eastAsia="zh-CN"/>
                <w14:textFill>
                  <w14:solidFill>
                    <w14:schemeClr w14:val="tx1"/>
                  </w14:solidFill>
                </w14:textFill>
              </w:rPr>
              <w:t>15</w:t>
            </w:r>
            <w:r>
              <w:rPr>
                <w:rFonts w:hint="eastAsia"/>
                <w:color w:val="000000" w:themeColor="text1"/>
                <w:sz w:val="24"/>
                <w:szCs w:val="32"/>
                <w:highlight w:val="none"/>
                <w:lang w:eastAsia="zh-CN"/>
                <w14:textFill>
                  <w14:solidFill>
                    <w14:schemeClr w14:val="tx1"/>
                  </w14:solidFill>
                </w14:textFill>
              </w:rPr>
              <w:t>日，该项目通过验收组验收。</w:t>
            </w:r>
          </w:p>
          <w:p w14:paraId="7EBD3933">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eastAsia="zh-CN"/>
                <w14:textFill>
                  <w14:solidFill>
                    <w14:schemeClr w14:val="tx1"/>
                  </w14:solidFill>
                </w14:textFill>
              </w:rPr>
              <w:t>由于公司战略规划发展需求，至期光子拟投资2</w:t>
            </w:r>
            <w:r>
              <w:rPr>
                <w:rFonts w:hint="eastAsia"/>
                <w:color w:val="000000" w:themeColor="text1"/>
                <w:sz w:val="24"/>
                <w:szCs w:val="32"/>
                <w:highlight w:val="none"/>
                <w:lang w:val="en-US" w:eastAsia="zh-CN"/>
                <w14:textFill>
                  <w14:solidFill>
                    <w14:schemeClr w14:val="tx1"/>
                  </w14:solidFill>
                </w14:textFill>
              </w:rPr>
              <w:t>0000</w:t>
            </w:r>
            <w:r>
              <w:rPr>
                <w:rFonts w:hint="eastAsia"/>
                <w:color w:val="000000" w:themeColor="text1"/>
                <w:sz w:val="24"/>
                <w:szCs w:val="32"/>
                <w:highlight w:val="none"/>
                <w:lang w:eastAsia="zh-CN"/>
                <w14:textFill>
                  <w14:solidFill>
                    <w14:schemeClr w14:val="tx1"/>
                  </w14:solidFill>
                </w14:textFill>
              </w:rPr>
              <w:t>万元，租赁福建省菲格园区开发管理有限公司</w:t>
            </w:r>
            <w:r>
              <w:rPr>
                <w:rFonts w:hint="eastAsia"/>
                <w:color w:val="000000" w:themeColor="text1"/>
                <w:sz w:val="24"/>
                <w:szCs w:val="32"/>
                <w:highlight w:val="none"/>
                <w:lang w:val="en-US" w:eastAsia="zh-CN"/>
                <w14:textFill>
                  <w14:solidFill>
                    <w14:schemeClr w14:val="tx1"/>
                  </w14:solidFill>
                </w14:textFill>
              </w:rPr>
              <w:t>1</w:t>
            </w:r>
            <w:r>
              <w:rPr>
                <w:rFonts w:hint="eastAsia"/>
                <w:color w:val="000000" w:themeColor="text1"/>
                <w:sz w:val="24"/>
                <w:szCs w:val="32"/>
                <w:highlight w:val="none"/>
                <w:lang w:eastAsia="zh-CN"/>
                <w14:textFill>
                  <w14:solidFill>
                    <w14:schemeClr w14:val="tx1"/>
                  </w14:solidFill>
                </w14:textFill>
              </w:rPr>
              <w:t>#厂房</w:t>
            </w:r>
            <w:r>
              <w:rPr>
                <w:rFonts w:hint="eastAsia"/>
                <w:color w:val="000000" w:themeColor="text1"/>
                <w:sz w:val="24"/>
                <w:szCs w:val="32"/>
                <w:highlight w:val="none"/>
                <w:lang w:val="en-US" w:eastAsia="zh-CN"/>
                <w14:textFill>
                  <w14:solidFill>
                    <w14:schemeClr w14:val="tx1"/>
                  </w14:solidFill>
                </w14:textFill>
              </w:rPr>
              <w:t>1</w:t>
            </w:r>
            <w:r>
              <w:rPr>
                <w:rFonts w:hint="eastAsia"/>
                <w:color w:val="000000" w:themeColor="text1"/>
                <w:sz w:val="24"/>
                <w:szCs w:val="32"/>
                <w:highlight w:val="none"/>
                <w:lang w:eastAsia="zh-CN"/>
                <w14:textFill>
                  <w14:solidFill>
                    <w14:schemeClr w14:val="tx1"/>
                  </w14:solidFill>
                </w14:textFill>
              </w:rPr>
              <w:t>层，建筑面积</w:t>
            </w:r>
            <w:r>
              <w:rPr>
                <w:rFonts w:hint="eastAsia"/>
                <w:color w:val="000000" w:themeColor="text1"/>
                <w:sz w:val="24"/>
                <w:szCs w:val="32"/>
                <w:highlight w:val="none"/>
                <w:lang w:val="en-US" w:eastAsia="zh-CN"/>
                <w14:textFill>
                  <w14:solidFill>
                    <w14:schemeClr w14:val="tx1"/>
                  </w14:solidFill>
                </w14:textFill>
              </w:rPr>
              <w:t>11858.28</w:t>
            </w:r>
            <w:r>
              <w:rPr>
                <w:rFonts w:hint="eastAsia"/>
                <w:color w:val="000000" w:themeColor="text1"/>
                <w:sz w:val="24"/>
                <w:szCs w:val="32"/>
                <w:highlight w:val="none"/>
                <w:lang w:eastAsia="zh-CN"/>
                <w14:textFill>
                  <w14:solidFill>
                    <w14:schemeClr w14:val="tx1"/>
                  </w14:solidFill>
                </w14:textFill>
              </w:rPr>
              <w:t>平方米，扩建</w:t>
            </w:r>
            <w:r>
              <w:rPr>
                <w:rFonts w:hint="eastAsia"/>
                <w:color w:val="000000" w:themeColor="text1"/>
                <w:sz w:val="24"/>
                <w:szCs w:val="32"/>
                <w:highlight w:val="none"/>
                <w:lang w:val="en-US" w:eastAsia="zh-CN"/>
                <w14:textFill>
                  <w14:solidFill>
                    <w14:schemeClr w14:val="tx1"/>
                  </w14:solidFill>
                </w14:textFill>
              </w:rPr>
              <w:t>超精密光学元器件生产线</w:t>
            </w:r>
            <w:r>
              <w:rPr>
                <w:rFonts w:hint="eastAsia"/>
                <w:color w:val="000000" w:themeColor="text1"/>
                <w:sz w:val="24"/>
                <w:szCs w:val="32"/>
                <w:highlight w:val="none"/>
                <w:lang w:eastAsia="zh-CN"/>
                <w14:textFill>
                  <w14:solidFill>
                    <w14:schemeClr w14:val="tx1"/>
                  </w14:solidFill>
                </w14:textFill>
              </w:rPr>
              <w:t>，年新增超精密光学元器件</w:t>
            </w:r>
            <w:r>
              <w:rPr>
                <w:rFonts w:hint="eastAsia"/>
                <w:color w:val="000000" w:themeColor="text1"/>
                <w:sz w:val="24"/>
                <w:szCs w:val="32"/>
                <w:highlight w:val="none"/>
                <w:lang w:val="en-US" w:eastAsia="zh-CN"/>
                <w14:textFill>
                  <w14:solidFill>
                    <w14:schemeClr w14:val="tx1"/>
                  </w14:solidFill>
                </w14:textFill>
              </w:rPr>
              <w:t>产能</w:t>
            </w:r>
            <w:r>
              <w:rPr>
                <w:rFonts w:hint="eastAsia"/>
                <w:color w:val="000000" w:themeColor="text1"/>
                <w:sz w:val="24"/>
                <w:szCs w:val="32"/>
                <w:highlight w:val="none"/>
                <w:lang w:eastAsia="zh-CN"/>
                <w14:textFill>
                  <w14:solidFill>
                    <w14:schemeClr w14:val="tx1"/>
                  </w14:solidFill>
                </w14:textFill>
              </w:rPr>
              <w:t>3万片。福建省菲格园区开发管理有限公司</w:t>
            </w:r>
            <w:r>
              <w:rPr>
                <w:rFonts w:hint="eastAsia"/>
                <w:color w:val="000000" w:themeColor="text1"/>
                <w:sz w:val="24"/>
                <w:szCs w:val="32"/>
                <w:highlight w:val="none"/>
                <w:lang w:val="en-US" w:eastAsia="zh-CN"/>
                <w14:textFill>
                  <w14:solidFill>
                    <w14:schemeClr w14:val="tx1"/>
                  </w14:solidFill>
                </w14:textFill>
              </w:rPr>
              <w:t>1</w:t>
            </w:r>
            <w:r>
              <w:rPr>
                <w:rFonts w:hint="eastAsia"/>
                <w:color w:val="000000" w:themeColor="text1"/>
                <w:sz w:val="24"/>
                <w:szCs w:val="32"/>
                <w:highlight w:val="none"/>
                <w:lang w:eastAsia="zh-CN"/>
                <w14:textFill>
                  <w14:solidFill>
                    <w14:schemeClr w14:val="tx1"/>
                  </w14:solidFill>
                </w14:textFill>
              </w:rPr>
              <w:t>#厂房主体均已建成，</w:t>
            </w:r>
            <w:r>
              <w:rPr>
                <w:rFonts w:hint="eastAsia"/>
                <w:color w:val="000000" w:themeColor="text1"/>
                <w:sz w:val="24"/>
                <w:szCs w:val="32"/>
                <w:highlight w:val="none"/>
                <w:lang w:val="en-US" w:eastAsia="zh-CN"/>
                <w14:textFill>
                  <w14:solidFill>
                    <w14:schemeClr w14:val="tx1"/>
                  </w14:solidFill>
                </w14:textFill>
              </w:rPr>
              <w:t>整栋现状为空置状态，无企业入驻。</w:t>
            </w:r>
          </w:p>
          <w:p w14:paraId="4D619948">
            <w:pPr>
              <w:spacing w:line="360" w:lineRule="auto"/>
              <w:ind w:firstLine="480" w:firstLineChars="200"/>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根据《建设项目环境保护管理条例》（国令第682号，2017年修订）、《建设项目环境影响评价分类管理名录（2021年版）》（生态环境部令第16号）等有关法律法规的规定，该项目属于《建设项目环境影响评价分类管理名录（2021年版）》中“三十六、计算机、通信和其他电子设备制造39</w:t>
            </w:r>
            <w:r>
              <w:rPr>
                <w:rFonts w:hint="eastAsia"/>
                <w:color w:val="000000" w:themeColor="text1"/>
                <w:sz w:val="24"/>
                <w:szCs w:val="32"/>
                <w:highlight w:val="none"/>
                <w:lang w:eastAsia="zh-CN"/>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w:t>
            </w:r>
            <w:r>
              <w:rPr>
                <w:rFonts w:hint="eastAsia"/>
                <w:color w:val="000000" w:themeColor="text1"/>
                <w:sz w:val="24"/>
                <w:szCs w:val="32"/>
                <w:highlight w:val="none"/>
                <w14:textFill>
                  <w14:solidFill>
                    <w14:schemeClr w14:val="tx1"/>
                  </w14:solidFill>
                </w14:textFill>
              </w:rPr>
              <w:t>81电子元件及电子专用材料制造398”，本项目主要从事</w:t>
            </w:r>
            <w:r>
              <w:rPr>
                <w:rFonts w:hint="eastAsia"/>
                <w:color w:val="000000" w:themeColor="text1"/>
                <w:sz w:val="24"/>
                <w:szCs w:val="32"/>
                <w:highlight w:val="none"/>
                <w:lang w:eastAsia="zh-CN"/>
                <w14:textFill>
                  <w14:solidFill>
                    <w14:schemeClr w14:val="tx1"/>
                  </w14:solidFill>
                </w14:textFill>
              </w:rPr>
              <w:t>光学元器件</w:t>
            </w:r>
            <w:r>
              <w:rPr>
                <w:rFonts w:hint="eastAsia"/>
                <w:color w:val="000000" w:themeColor="text1"/>
                <w:sz w:val="24"/>
                <w:szCs w:val="32"/>
                <w:highlight w:val="none"/>
                <w14:textFill>
                  <w14:solidFill>
                    <w14:schemeClr w14:val="tx1"/>
                  </w14:solidFill>
                </w14:textFill>
              </w:rPr>
              <w:t>生产，属于“电子专用材料制造（电子化工材料制造除外）”，</w:t>
            </w:r>
            <w:r>
              <w:rPr>
                <w:rFonts w:hint="eastAsia"/>
                <w:color w:val="000000" w:themeColor="text1"/>
                <w:sz w:val="24"/>
                <w:szCs w:val="32"/>
                <w:highlight w:val="none"/>
                <w:lang w:val="en-US" w:eastAsia="zh-CN"/>
                <w14:textFill>
                  <w14:solidFill>
                    <w14:schemeClr w14:val="tx1"/>
                  </w14:solidFill>
                </w14:textFill>
              </w:rPr>
              <w:t>应</w:t>
            </w:r>
            <w:r>
              <w:rPr>
                <w:rFonts w:hint="eastAsia"/>
                <w:color w:val="000000" w:themeColor="text1"/>
                <w:sz w:val="24"/>
                <w:szCs w:val="32"/>
                <w:highlight w:val="none"/>
                <w14:textFill>
                  <w14:solidFill>
                    <w14:schemeClr w14:val="tx1"/>
                  </w14:solidFill>
                </w14:textFill>
              </w:rPr>
              <w:t>编制环境影响报告表</w:t>
            </w:r>
            <w:r>
              <w:rPr>
                <w:rFonts w:hint="eastAsia"/>
                <w:color w:val="000000" w:themeColor="text1"/>
                <w:sz w:val="24"/>
                <w:szCs w:val="32"/>
                <w:highlight w:val="none"/>
                <w:lang w:eastAsia="zh-CN"/>
                <w14:textFill>
                  <w14:solidFill>
                    <w14:schemeClr w14:val="tx1"/>
                  </w14:solidFill>
                </w14:textFill>
              </w:rPr>
              <w:t>，</w:t>
            </w:r>
            <w:r>
              <w:rPr>
                <w:rFonts w:hint="eastAsia"/>
                <w:color w:val="000000" w:themeColor="text1"/>
                <w:sz w:val="24"/>
                <w:szCs w:val="32"/>
                <w:highlight w:val="none"/>
                <w14:textFill>
                  <w14:solidFill>
                    <w14:schemeClr w14:val="tx1"/>
                  </w14:solidFill>
                </w14:textFill>
              </w:rPr>
              <w:t>见下表。因此，</w:t>
            </w:r>
            <w:r>
              <w:rPr>
                <w:rFonts w:hint="eastAsia"/>
                <w:color w:val="000000" w:themeColor="text1"/>
                <w:sz w:val="24"/>
                <w:szCs w:val="32"/>
                <w:highlight w:val="none"/>
                <w:lang w:eastAsia="zh-CN"/>
                <w14:textFill>
                  <w14:solidFill>
                    <w14:schemeClr w14:val="tx1"/>
                  </w14:solidFill>
                </w14:textFill>
              </w:rPr>
              <w:t>福建至期光子科技有限公司</w:t>
            </w:r>
            <w:r>
              <w:rPr>
                <w:rFonts w:hint="eastAsia"/>
                <w:color w:val="000000" w:themeColor="text1"/>
                <w:sz w:val="24"/>
                <w:szCs w:val="32"/>
                <w:highlight w:val="none"/>
                <w14:textFill>
                  <w14:solidFill>
                    <w14:schemeClr w14:val="tx1"/>
                  </w14:solidFill>
                </w14:textFill>
              </w:rPr>
              <w:t>于202</w:t>
            </w:r>
            <w:r>
              <w:rPr>
                <w:rFonts w:hint="eastAsia"/>
                <w:color w:val="000000" w:themeColor="text1"/>
                <w:sz w:val="24"/>
                <w:szCs w:val="32"/>
                <w:highlight w:val="none"/>
                <w:lang w:val="en-US" w:eastAsia="zh-CN"/>
                <w14:textFill>
                  <w14:solidFill>
                    <w14:schemeClr w14:val="tx1"/>
                  </w14:solidFill>
                </w14:textFill>
              </w:rPr>
              <w:t>6</w:t>
            </w:r>
            <w:r>
              <w:rPr>
                <w:rFonts w:hint="eastAsia"/>
                <w:color w:val="000000" w:themeColor="text1"/>
                <w:sz w:val="24"/>
                <w:szCs w:val="32"/>
                <w:highlight w:val="none"/>
                <w14:textFill>
                  <w14:solidFill>
                    <w14:schemeClr w14:val="tx1"/>
                  </w14:solidFill>
                </w14:textFill>
              </w:rPr>
              <w:t>年</w:t>
            </w:r>
            <w:r>
              <w:rPr>
                <w:rFonts w:hint="eastAsia"/>
                <w:color w:val="000000" w:themeColor="text1"/>
                <w:sz w:val="24"/>
                <w:szCs w:val="32"/>
                <w:highlight w:val="none"/>
                <w:lang w:val="en-US" w:eastAsia="zh-CN"/>
                <w14:textFill>
                  <w14:solidFill>
                    <w14:schemeClr w14:val="tx1"/>
                  </w14:solidFill>
                </w14:textFill>
              </w:rPr>
              <w:t>3</w:t>
            </w:r>
            <w:r>
              <w:rPr>
                <w:rFonts w:hint="eastAsia"/>
                <w:color w:val="000000" w:themeColor="text1"/>
                <w:sz w:val="24"/>
                <w:szCs w:val="32"/>
                <w:highlight w:val="none"/>
                <w14:textFill>
                  <w14:solidFill>
                    <w14:schemeClr w14:val="tx1"/>
                  </w14:solidFill>
                </w14:textFill>
              </w:rPr>
              <w:t>月委托我司编制</w:t>
            </w:r>
            <w:r>
              <w:rPr>
                <w:rFonts w:hint="eastAsia"/>
                <w:color w:val="000000" w:themeColor="text1"/>
                <w:sz w:val="24"/>
                <w:szCs w:val="32"/>
                <w:highlight w:val="none"/>
                <w:lang w:eastAsia="zh-CN"/>
                <w14:textFill>
                  <w14:solidFill>
                    <w14:schemeClr w14:val="tx1"/>
                  </w14:solidFill>
                </w14:textFill>
              </w:rPr>
              <w:t>该</w:t>
            </w:r>
            <w:r>
              <w:rPr>
                <w:rFonts w:hint="eastAsia"/>
                <w:color w:val="000000" w:themeColor="text1"/>
                <w:sz w:val="24"/>
                <w:szCs w:val="32"/>
                <w:highlight w:val="none"/>
                <w14:textFill>
                  <w14:solidFill>
                    <w14:schemeClr w14:val="tx1"/>
                  </w14:solidFill>
                </w14:textFill>
              </w:rPr>
              <w:t>环境影响报告表</w:t>
            </w:r>
            <w:r>
              <w:rPr>
                <w:color w:val="000000" w:themeColor="text1"/>
                <w:sz w:val="24"/>
                <w:szCs w:val="32"/>
                <w:highlight w:val="none"/>
                <w14:textFill>
                  <w14:solidFill>
                    <w14:schemeClr w14:val="tx1"/>
                  </w14:solidFill>
                </w14:textFill>
              </w:rPr>
              <w:t>（委托书见附件</w:t>
            </w:r>
            <w:r>
              <w:rPr>
                <w:rFonts w:hint="eastAsia"/>
                <w:color w:val="000000" w:themeColor="text1"/>
                <w:sz w:val="24"/>
                <w:szCs w:val="32"/>
                <w:highlight w:val="none"/>
                <w:lang w:val="en-US" w:eastAsia="zh-CN"/>
                <w14:textFill>
                  <w14:solidFill>
                    <w14:schemeClr w14:val="tx1"/>
                  </w14:solidFill>
                </w14:textFill>
              </w:rPr>
              <w:t>1</w:t>
            </w:r>
            <w:r>
              <w:rPr>
                <w:color w:val="000000" w:themeColor="text1"/>
                <w:sz w:val="24"/>
                <w:szCs w:val="32"/>
                <w:highlight w:val="none"/>
                <w14:textFill>
                  <w14:solidFill>
                    <w14:schemeClr w14:val="tx1"/>
                  </w14:solidFill>
                </w14:textFill>
              </w:rPr>
              <w:t>）</w:t>
            </w:r>
            <w:r>
              <w:rPr>
                <w:rFonts w:hint="eastAsia"/>
                <w:color w:val="000000" w:themeColor="text1"/>
                <w:sz w:val="24"/>
                <w:szCs w:val="32"/>
                <w:highlight w:val="none"/>
                <w14:textFill>
                  <w14:solidFill>
                    <w14:schemeClr w14:val="tx1"/>
                  </w14:solidFill>
                </w14:textFill>
              </w:rPr>
              <w:t>。我司接受委托后，立即派技术人员踏勘现场，经资料收集与调研后，按照《建设项目环境影响报告表编制技术指南（污染影响类）（试行）》有关要求，编制了该项目环境影响报告表，供建设单位上报生态环境主管部门审批。</w:t>
            </w:r>
          </w:p>
          <w:p w14:paraId="344244C3">
            <w:pPr>
              <w:spacing w:line="360" w:lineRule="auto"/>
              <w:jc w:val="center"/>
              <w:rPr>
                <w:b/>
                <w:bCs/>
                <w:color w:val="000000" w:themeColor="text1"/>
                <w:sz w:val="32"/>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表2</w:t>
            </w:r>
            <w:r>
              <w:rPr>
                <w:rFonts w:hint="eastAsia"/>
                <w:b/>
                <w:bCs/>
                <w:color w:val="000000" w:themeColor="text1"/>
                <w:sz w:val="24"/>
                <w:szCs w:val="24"/>
                <w:highlight w:val="none"/>
                <w:lang w:val="en-US" w:eastAsia="zh-CN"/>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-1</w:t>
            </w:r>
            <w:r>
              <w:rPr>
                <w:b/>
                <w:bCs/>
                <w:color w:val="000000" w:themeColor="text1"/>
                <w:sz w:val="24"/>
                <w:szCs w:val="24"/>
                <w:highlight w:val="none"/>
                <w14:textFill>
                  <w14:solidFill>
                    <w14:schemeClr w14:val="tx1"/>
                  </w14:solidFill>
                </w14:textFill>
              </w:rPr>
              <w:t xml:space="preserve">  项目类别表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1246"/>
              <w:gridCol w:w="2137"/>
              <w:gridCol w:w="3393"/>
              <w:gridCol w:w="978"/>
            </w:tblGrid>
            <w:tr w14:paraId="6767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6" w:type="pct"/>
                  <w:gridSpan w:val="2"/>
                  <w:tcBorders>
                    <w:tl2br w:val="single" w:color="auto" w:sz="4" w:space="0"/>
                  </w:tcBorders>
                  <w:shd w:val="clear" w:color="auto" w:fill="auto"/>
                  <w:vAlign w:val="center"/>
                </w:tcPr>
                <w:p w14:paraId="6D54AC01">
                  <w:pPr>
                    <w:jc w:val="right"/>
                    <w:rPr>
                      <w:color w:val="000000" w:themeColor="text1"/>
                      <w:sz w:val="21"/>
                      <w:szCs w:val="32"/>
                      <w:highlight w:val="none"/>
                      <w14:textFill>
                        <w14:solidFill>
                          <w14:schemeClr w14:val="tx1"/>
                        </w14:solidFill>
                      </w14:textFill>
                    </w:rPr>
                  </w:pPr>
                  <w:r>
                    <w:rPr>
                      <w:color w:val="000000" w:themeColor="text1"/>
                      <w:sz w:val="21"/>
                      <w:szCs w:val="32"/>
                      <w:highlight w:val="none"/>
                      <w14:textFill>
                        <w14:solidFill>
                          <w14:schemeClr w14:val="tx1"/>
                        </w14:solidFill>
                      </w14:textFill>
                    </w:rPr>
                    <w:t>环评类别</w:t>
                  </w:r>
                </w:p>
                <w:p w14:paraId="645780EC">
                  <w:pPr>
                    <w:rPr>
                      <w:color w:val="000000" w:themeColor="text1"/>
                      <w:sz w:val="21"/>
                      <w:szCs w:val="32"/>
                      <w:highlight w:val="none"/>
                      <w14:textFill>
                        <w14:solidFill>
                          <w14:schemeClr w14:val="tx1"/>
                        </w14:solidFill>
                      </w14:textFill>
                    </w:rPr>
                  </w:pPr>
                  <w:r>
                    <w:rPr>
                      <w:color w:val="000000" w:themeColor="text1"/>
                      <w:sz w:val="21"/>
                      <w:szCs w:val="32"/>
                      <w:highlight w:val="none"/>
                      <w14:textFill>
                        <w14:solidFill>
                          <w14:schemeClr w14:val="tx1"/>
                        </w14:solidFill>
                      </w14:textFill>
                    </w:rPr>
                    <w:t>项目类别</w:t>
                  </w:r>
                </w:p>
              </w:tc>
              <w:tc>
                <w:tcPr>
                  <w:tcW w:w="1292" w:type="pct"/>
                  <w:shd w:val="clear" w:color="auto" w:fill="auto"/>
                  <w:vAlign w:val="center"/>
                </w:tcPr>
                <w:p w14:paraId="0BF9C091">
                  <w:pPr>
                    <w:jc w:val="center"/>
                    <w:rPr>
                      <w:color w:val="000000" w:themeColor="text1"/>
                      <w:sz w:val="21"/>
                      <w:szCs w:val="32"/>
                      <w:highlight w:val="none"/>
                      <w14:textFill>
                        <w14:solidFill>
                          <w14:schemeClr w14:val="tx1"/>
                        </w14:solidFill>
                      </w14:textFill>
                    </w:rPr>
                  </w:pPr>
                  <w:r>
                    <w:rPr>
                      <w:color w:val="000000" w:themeColor="text1"/>
                      <w:sz w:val="21"/>
                      <w:szCs w:val="32"/>
                      <w:highlight w:val="none"/>
                      <w14:textFill>
                        <w14:solidFill>
                          <w14:schemeClr w14:val="tx1"/>
                        </w14:solidFill>
                      </w14:textFill>
                    </w:rPr>
                    <w:t>报告书</w:t>
                  </w:r>
                </w:p>
              </w:tc>
              <w:tc>
                <w:tcPr>
                  <w:tcW w:w="2051" w:type="pct"/>
                  <w:shd w:val="clear" w:color="auto" w:fill="auto"/>
                  <w:vAlign w:val="center"/>
                </w:tcPr>
                <w:p w14:paraId="075D448F">
                  <w:pPr>
                    <w:jc w:val="center"/>
                    <w:rPr>
                      <w:color w:val="000000" w:themeColor="text1"/>
                      <w:sz w:val="21"/>
                      <w:szCs w:val="32"/>
                      <w:highlight w:val="none"/>
                      <w14:textFill>
                        <w14:solidFill>
                          <w14:schemeClr w14:val="tx1"/>
                        </w14:solidFill>
                      </w14:textFill>
                    </w:rPr>
                  </w:pPr>
                  <w:r>
                    <w:rPr>
                      <w:b/>
                      <w:bCs/>
                      <w:color w:val="000000" w:themeColor="text1"/>
                      <w:sz w:val="21"/>
                      <w:szCs w:val="32"/>
                      <w:highlight w:val="none"/>
                      <w14:textFill>
                        <w14:solidFill>
                          <w14:schemeClr w14:val="tx1"/>
                        </w14:solidFill>
                      </w14:textFill>
                    </w:rPr>
                    <w:t>报告表</w:t>
                  </w:r>
                </w:p>
              </w:tc>
              <w:tc>
                <w:tcPr>
                  <w:tcW w:w="588" w:type="pct"/>
                  <w:shd w:val="clear" w:color="auto" w:fill="auto"/>
                  <w:vAlign w:val="center"/>
                </w:tcPr>
                <w:p w14:paraId="201BD92C">
                  <w:pPr>
                    <w:jc w:val="center"/>
                    <w:rPr>
                      <w:color w:val="000000" w:themeColor="text1"/>
                      <w:sz w:val="21"/>
                      <w:szCs w:val="32"/>
                      <w:highlight w:val="none"/>
                      <w14:textFill>
                        <w14:solidFill>
                          <w14:schemeClr w14:val="tx1"/>
                        </w14:solidFill>
                      </w14:textFill>
                    </w:rPr>
                  </w:pPr>
                  <w:r>
                    <w:rPr>
                      <w:color w:val="000000" w:themeColor="text1"/>
                      <w:sz w:val="21"/>
                      <w:szCs w:val="32"/>
                      <w:highlight w:val="none"/>
                      <w14:textFill>
                        <w14:solidFill>
                          <w14:schemeClr w14:val="tx1"/>
                        </w14:solidFill>
                      </w14:textFill>
                    </w:rPr>
                    <w:t>登记表</w:t>
                  </w:r>
                </w:p>
              </w:tc>
            </w:tr>
            <w:tr w14:paraId="5F34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shd w:val="clear" w:color="auto" w:fill="auto"/>
                  <w:vAlign w:val="center"/>
                </w:tcPr>
                <w:p w14:paraId="7F5446FC">
                  <w:pPr>
                    <w:jc w:val="both"/>
                    <w:rPr>
                      <w:color w:val="000000" w:themeColor="text1"/>
                      <w:sz w:val="21"/>
                      <w:szCs w:val="32"/>
                      <w:highlight w:val="none"/>
                      <w14:textFill>
                        <w14:solidFill>
                          <w14:schemeClr w14:val="tx1"/>
                        </w14:solidFill>
                      </w14:textFill>
                    </w:rPr>
                  </w:pPr>
                  <w:r>
                    <w:rPr>
                      <w:color w:val="000000" w:themeColor="text1"/>
                      <w:sz w:val="21"/>
                      <w:szCs w:val="32"/>
                      <w:highlight w:val="none"/>
                      <w14:textFill>
                        <w14:solidFill>
                          <w14:schemeClr w14:val="tx1"/>
                        </w14:solidFill>
                      </w14:textFill>
                    </w:rPr>
                    <w:t>三十六、计算机、通信和其他电子设备制造39</w:t>
                  </w:r>
                </w:p>
              </w:tc>
            </w:tr>
            <w:tr w14:paraId="2D78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shd w:val="clear" w:color="auto" w:fill="auto"/>
                  <w:vAlign w:val="center"/>
                </w:tcPr>
                <w:p w14:paraId="71767848">
                  <w:pPr>
                    <w:jc w:val="center"/>
                    <w:rPr>
                      <w:rFonts w:hint="default"/>
                      <w:color w:val="000000" w:themeColor="text1"/>
                      <w:sz w:val="21"/>
                      <w:szCs w:val="32"/>
                      <w:highlight w:val="none"/>
                      <w:lang w:val="en-US"/>
                      <w14:textFill>
                        <w14:solidFill>
                          <w14:schemeClr w14:val="tx1"/>
                        </w14:solidFill>
                      </w14:textFill>
                    </w:rPr>
                  </w:pPr>
                  <w:r>
                    <w:rPr>
                      <w:rFonts w:hint="eastAsia"/>
                      <w:color w:val="000000" w:themeColor="text1"/>
                      <w:sz w:val="21"/>
                      <w:szCs w:val="32"/>
                      <w:highlight w:val="none"/>
                      <w:lang w:val="en-US" w:eastAsia="zh-CN"/>
                      <w14:textFill>
                        <w14:solidFill>
                          <w14:schemeClr w14:val="tx1"/>
                        </w14:solidFill>
                      </w14:textFill>
                    </w:rPr>
                    <w:t>81</w:t>
                  </w:r>
                </w:p>
              </w:tc>
              <w:tc>
                <w:tcPr>
                  <w:tcW w:w="753" w:type="pct"/>
                  <w:shd w:val="clear" w:color="auto" w:fill="auto"/>
                  <w:vAlign w:val="center"/>
                </w:tcPr>
                <w:p w14:paraId="208826BE">
                  <w:pPr>
                    <w:jc w:val="center"/>
                    <w:rPr>
                      <w:rFonts w:hint="eastAsia"/>
                      <w:color w:val="000000" w:themeColor="text1"/>
                      <w:sz w:val="21"/>
                      <w:szCs w:val="32"/>
                      <w:highlight w:val="none"/>
                      <w:lang w:val="en-US" w:eastAsia="zh-CN"/>
                      <w14:textFill>
                        <w14:solidFill>
                          <w14:schemeClr w14:val="tx1"/>
                        </w14:solidFill>
                      </w14:textFill>
                    </w:rPr>
                  </w:pPr>
                  <w:r>
                    <w:rPr>
                      <w:rFonts w:hint="eastAsia"/>
                      <w:color w:val="000000" w:themeColor="text1"/>
                      <w:sz w:val="21"/>
                      <w:szCs w:val="32"/>
                      <w:highlight w:val="none"/>
                      <w:lang w:val="en-US" w:eastAsia="zh-CN"/>
                      <w14:textFill>
                        <w14:solidFill>
                          <w14:schemeClr w14:val="tx1"/>
                        </w14:solidFill>
                      </w14:textFill>
                    </w:rPr>
                    <w:t>电子元件及电子专用材料制造398</w:t>
                  </w:r>
                </w:p>
              </w:tc>
              <w:tc>
                <w:tcPr>
                  <w:tcW w:w="1292" w:type="pct"/>
                  <w:shd w:val="clear" w:color="auto" w:fill="auto"/>
                  <w:vAlign w:val="center"/>
                </w:tcPr>
                <w:p w14:paraId="68F167FA">
                  <w:pPr>
                    <w:jc w:val="center"/>
                    <w:rPr>
                      <w:color w:val="000000" w:themeColor="text1"/>
                      <w:sz w:val="21"/>
                      <w:szCs w:val="32"/>
                      <w:highlight w:val="none"/>
                      <w14:textFill>
                        <w14:solidFill>
                          <w14:schemeClr w14:val="tx1"/>
                        </w14:solidFill>
                      </w14:textFill>
                    </w:rPr>
                  </w:pPr>
                  <w:r>
                    <w:rPr>
                      <w:rFonts w:hint="eastAsia"/>
                      <w:color w:val="000000" w:themeColor="text1"/>
                      <w:sz w:val="21"/>
                      <w:szCs w:val="32"/>
                      <w:highlight w:val="none"/>
                      <w14:textFill>
                        <w14:solidFill>
                          <w14:schemeClr w14:val="tx1"/>
                        </w14:solidFill>
                      </w14:textFill>
                    </w:rPr>
                    <w:t>半导体材料制造</w:t>
                  </w:r>
                  <w:r>
                    <w:rPr>
                      <w:rFonts w:hint="eastAsia"/>
                      <w:color w:val="000000" w:themeColor="text1"/>
                      <w:sz w:val="21"/>
                      <w:szCs w:val="32"/>
                      <w:highlight w:val="none"/>
                      <w:lang w:eastAsia="zh-CN"/>
                      <w14:textFill>
                        <w14:solidFill>
                          <w14:schemeClr w14:val="tx1"/>
                        </w14:solidFill>
                      </w14:textFill>
                    </w:rPr>
                    <w:t>；</w:t>
                  </w:r>
                  <w:r>
                    <w:rPr>
                      <w:rFonts w:hint="eastAsia"/>
                      <w:color w:val="000000" w:themeColor="text1"/>
                      <w:sz w:val="21"/>
                      <w:szCs w:val="32"/>
                      <w:highlight w:val="none"/>
                      <w14:textFill>
                        <w14:solidFill>
                          <w14:schemeClr w14:val="tx1"/>
                        </w14:solidFill>
                      </w14:textFill>
                    </w:rPr>
                    <w:t>电子化工材料制造</w:t>
                  </w:r>
                </w:p>
              </w:tc>
              <w:tc>
                <w:tcPr>
                  <w:tcW w:w="2051" w:type="pct"/>
                  <w:shd w:val="clear" w:color="auto" w:fill="auto"/>
                  <w:vAlign w:val="center"/>
                </w:tcPr>
                <w:p w14:paraId="03700CE4">
                  <w:pPr>
                    <w:jc w:val="both"/>
                    <w:rPr>
                      <w:rFonts w:hint="eastAsia"/>
                      <w:color w:val="000000" w:themeColor="text1"/>
                      <w:sz w:val="21"/>
                      <w:szCs w:val="32"/>
                      <w:highlight w:val="none"/>
                      <w14:textFill>
                        <w14:solidFill>
                          <w14:schemeClr w14:val="tx1"/>
                        </w14:solidFill>
                      </w14:textFill>
                    </w:rPr>
                  </w:pPr>
                  <w:r>
                    <w:rPr>
                      <w:rFonts w:hint="eastAsia"/>
                      <w:color w:val="000000" w:themeColor="text1"/>
                      <w:sz w:val="21"/>
                      <w:szCs w:val="32"/>
                      <w:highlight w:val="none"/>
                      <w14:textFill>
                        <w14:solidFill>
                          <w14:schemeClr w14:val="tx1"/>
                        </w14:solidFill>
                      </w14:textFill>
                    </w:rPr>
                    <w:t>印刷电路板制造</w:t>
                  </w:r>
                  <w:r>
                    <w:rPr>
                      <w:rFonts w:hint="eastAsia"/>
                      <w:color w:val="000000" w:themeColor="text1"/>
                      <w:sz w:val="21"/>
                      <w:szCs w:val="32"/>
                      <w:highlight w:val="none"/>
                      <w:lang w:eastAsia="zh-CN"/>
                      <w14:textFill>
                        <w14:solidFill>
                          <w14:schemeClr w14:val="tx1"/>
                        </w14:solidFill>
                      </w14:textFill>
                    </w:rPr>
                    <w:t>；</w:t>
                  </w:r>
                  <w:r>
                    <w:rPr>
                      <w:rFonts w:hint="eastAsia"/>
                      <w:color w:val="000000" w:themeColor="text1"/>
                      <w:sz w:val="21"/>
                      <w:szCs w:val="32"/>
                      <w:highlight w:val="none"/>
                      <w14:textFill>
                        <w14:solidFill>
                          <w14:schemeClr w14:val="tx1"/>
                        </w14:solidFill>
                      </w14:textFill>
                    </w:rPr>
                    <w:t>电子专用材料制造(电子化工材料制造除外)</w:t>
                  </w:r>
                  <w:r>
                    <w:rPr>
                      <w:rFonts w:hint="eastAsia"/>
                      <w:color w:val="000000" w:themeColor="text1"/>
                      <w:sz w:val="21"/>
                      <w:szCs w:val="32"/>
                      <w:highlight w:val="none"/>
                      <w:lang w:eastAsia="zh-CN"/>
                      <w14:textFill>
                        <w14:solidFill>
                          <w14:schemeClr w14:val="tx1"/>
                        </w14:solidFill>
                      </w14:textFill>
                    </w:rPr>
                    <w:t>；</w:t>
                  </w:r>
                  <w:r>
                    <w:rPr>
                      <w:rFonts w:hint="eastAsia"/>
                      <w:color w:val="000000" w:themeColor="text1"/>
                      <w:sz w:val="21"/>
                      <w:szCs w:val="32"/>
                      <w:highlight w:val="none"/>
                      <w14:textFill>
                        <w14:solidFill>
                          <w14:schemeClr w14:val="tx1"/>
                        </w14:solidFill>
                      </w14:textFill>
                    </w:rPr>
                    <w:t>使用有机溶剂的</w:t>
                  </w:r>
                  <w:r>
                    <w:rPr>
                      <w:rFonts w:hint="eastAsia"/>
                      <w:color w:val="000000" w:themeColor="text1"/>
                      <w:sz w:val="21"/>
                      <w:szCs w:val="32"/>
                      <w:highlight w:val="none"/>
                      <w:lang w:eastAsia="zh-CN"/>
                      <w14:textFill>
                        <w14:solidFill>
                          <w14:schemeClr w14:val="tx1"/>
                        </w14:solidFill>
                      </w14:textFill>
                    </w:rPr>
                    <w:t>；</w:t>
                  </w:r>
                  <w:r>
                    <w:rPr>
                      <w:rFonts w:hint="eastAsia"/>
                      <w:color w:val="000000" w:themeColor="text1"/>
                      <w:sz w:val="21"/>
                      <w:szCs w:val="32"/>
                      <w:highlight w:val="none"/>
                      <w14:textFill>
                        <w14:solidFill>
                          <w14:schemeClr w14:val="tx1"/>
                        </w14:solidFill>
                      </w14:textFill>
                    </w:rPr>
                    <w:t>有酸洗的</w:t>
                  </w:r>
                </w:p>
                <w:p w14:paraId="102ECB8C">
                  <w:pPr>
                    <w:jc w:val="both"/>
                    <w:rPr>
                      <w:color w:val="000000" w:themeColor="text1"/>
                      <w:sz w:val="21"/>
                      <w:szCs w:val="32"/>
                      <w:highlight w:val="none"/>
                      <w14:textFill>
                        <w14:solidFill>
                          <w14:schemeClr w14:val="tx1"/>
                        </w14:solidFill>
                      </w14:textFill>
                    </w:rPr>
                  </w:pPr>
                  <w:r>
                    <w:rPr>
                      <w:rFonts w:hint="eastAsia"/>
                      <w:color w:val="000000" w:themeColor="text1"/>
                      <w:sz w:val="21"/>
                      <w:szCs w:val="32"/>
                      <w:highlight w:val="none"/>
                      <w14:textFill>
                        <w14:solidFill>
                          <w14:schemeClr w14:val="tx1"/>
                        </w14:solidFill>
                      </w14:textFill>
                    </w:rPr>
                    <w:t>以上均不含仅分割、焊接、组装的</w:t>
                  </w:r>
                </w:p>
              </w:tc>
              <w:tc>
                <w:tcPr>
                  <w:tcW w:w="588" w:type="pct"/>
                  <w:shd w:val="clear" w:color="auto" w:fill="auto"/>
                  <w:vAlign w:val="center"/>
                </w:tcPr>
                <w:p w14:paraId="6E4378A6">
                  <w:pPr>
                    <w:jc w:val="center"/>
                    <w:rPr>
                      <w:color w:val="000000" w:themeColor="text1"/>
                      <w:sz w:val="21"/>
                      <w:szCs w:val="32"/>
                      <w:highlight w:val="none"/>
                      <w14:textFill>
                        <w14:solidFill>
                          <w14:schemeClr w14:val="tx1"/>
                        </w14:solidFill>
                      </w14:textFill>
                    </w:rPr>
                  </w:pPr>
                  <w:r>
                    <w:rPr>
                      <w:color w:val="000000" w:themeColor="text1"/>
                      <w:sz w:val="21"/>
                      <w:szCs w:val="32"/>
                      <w:highlight w:val="none"/>
                      <w14:textFill>
                        <w14:solidFill>
                          <w14:schemeClr w14:val="tx1"/>
                        </w14:solidFill>
                      </w14:textFill>
                    </w:rPr>
                    <w:t>/</w:t>
                  </w:r>
                </w:p>
              </w:tc>
            </w:tr>
          </w:tbl>
          <w:p w14:paraId="174E0CD1">
            <w:pPr>
              <w:pStyle w:val="37"/>
              <w:rPr>
                <w:rFonts w:hint="eastAsia" w:eastAsia="黑体"/>
                <w:b w:val="0"/>
                <w:color w:val="000000" w:themeColor="text1"/>
                <w:sz w:val="24"/>
                <w:szCs w:val="21"/>
                <w:highlight w:val="none"/>
                <w:lang w:val="en-US" w:eastAsia="zh-CN"/>
                <w14:textFill>
                  <w14:solidFill>
                    <w14:schemeClr w14:val="tx1"/>
                  </w14:solidFill>
                </w14:textFill>
              </w:rPr>
            </w:pPr>
            <w:r>
              <w:rPr>
                <w:b w:val="0"/>
                <w:color w:val="000000" w:themeColor="text1"/>
                <w:sz w:val="24"/>
                <w:szCs w:val="21"/>
                <w:highlight w:val="none"/>
                <w14:textFill>
                  <w14:solidFill>
                    <w14:schemeClr w14:val="tx1"/>
                  </w14:solidFill>
                </w14:textFill>
              </w:rPr>
              <w:t xml:space="preserve">2.2 </w:t>
            </w:r>
            <w:r>
              <w:rPr>
                <w:rFonts w:hint="eastAsia"/>
                <w:b w:val="0"/>
                <w:color w:val="000000" w:themeColor="text1"/>
                <w:sz w:val="24"/>
                <w:szCs w:val="21"/>
                <w:highlight w:val="none"/>
                <w14:textFill>
                  <w14:solidFill>
                    <w14:schemeClr w14:val="tx1"/>
                  </w14:solidFill>
                </w14:textFill>
              </w:rPr>
              <w:t>工程</w:t>
            </w:r>
            <w:r>
              <w:rPr>
                <w:rFonts w:hint="eastAsia"/>
                <w:b w:val="0"/>
                <w:color w:val="000000" w:themeColor="text1"/>
                <w:sz w:val="24"/>
                <w:szCs w:val="21"/>
                <w:highlight w:val="none"/>
                <w:lang w:val="en-US" w:eastAsia="zh-CN"/>
                <w14:textFill>
                  <w14:solidFill>
                    <w14:schemeClr w14:val="tx1"/>
                  </w14:solidFill>
                </w14:textFill>
              </w:rPr>
              <w:t>概况</w:t>
            </w:r>
          </w:p>
          <w:p w14:paraId="03866308">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2.2.1现有工程概况</w:t>
            </w:r>
          </w:p>
          <w:p w14:paraId="33023602">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（一）一期工程</w:t>
            </w:r>
          </w:p>
          <w:p w14:paraId="71CB952A">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（1）项目名称：超精密核心光学及晶体元器件生产项目</w:t>
            </w:r>
          </w:p>
          <w:p w14:paraId="7FB5D2D2">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（2）建设地点：福州市高新区南屿镇窗厦村尧溪路3号2#厂房1层</w:t>
            </w:r>
          </w:p>
          <w:p w14:paraId="255C7E4A">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（3）项目总投资：**万元</w:t>
            </w:r>
          </w:p>
          <w:p w14:paraId="5636464A">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（4）建筑面积：10209.07m</w:t>
            </w:r>
            <w:r>
              <w:rPr>
                <w:rFonts w:hint="eastAsia"/>
                <w:color w:val="000000" w:themeColor="text1"/>
                <w:sz w:val="24"/>
                <w:szCs w:val="32"/>
                <w:highlight w:val="none"/>
                <w:vertAlign w:val="superscript"/>
                <w:lang w:val="en-US" w:eastAsia="zh-CN"/>
                <w14:textFill>
                  <w14:solidFill>
                    <w14:schemeClr w14:val="tx1"/>
                  </w14:solidFill>
                </w14:textFill>
              </w:rPr>
              <w:t>2</w:t>
            </w:r>
          </w:p>
          <w:p w14:paraId="1D36A682">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（5）生产规模：年产超精密核心光学及晶体元器件10万片</w:t>
            </w:r>
          </w:p>
          <w:p w14:paraId="3A8CED17">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（6）职工人数：新增职工人数90人，均不在厂区内进行食宿</w:t>
            </w:r>
          </w:p>
          <w:p w14:paraId="3BA142EE">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（7）工作制度：年工作日250天，单班制，每班8h/d</w:t>
            </w:r>
          </w:p>
          <w:p w14:paraId="6708C18C">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（二）二期工程</w:t>
            </w:r>
          </w:p>
          <w:p w14:paraId="0BCD0A83">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（1）项目名称：GE项目改造工程</w:t>
            </w:r>
          </w:p>
          <w:p w14:paraId="04B095D0">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（2）建设地点：福州市高新区南屿镇窗厦村尧溪路3号2#厂房2层</w:t>
            </w:r>
          </w:p>
          <w:p w14:paraId="0B42CC8A">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（3）项目总投资：**万元</w:t>
            </w:r>
          </w:p>
          <w:p w14:paraId="27C9603A">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（4）建筑面积：9632.52m</w:t>
            </w:r>
            <w:r>
              <w:rPr>
                <w:rFonts w:hint="eastAsia"/>
                <w:color w:val="000000" w:themeColor="text1"/>
                <w:sz w:val="24"/>
                <w:szCs w:val="32"/>
                <w:highlight w:val="none"/>
                <w:vertAlign w:val="superscript"/>
                <w:lang w:val="en-US" w:eastAsia="zh-CN"/>
                <w14:textFill>
                  <w14:solidFill>
                    <w14:schemeClr w14:val="tx1"/>
                  </w14:solidFill>
                </w14:textFill>
              </w:rPr>
              <w:t>2</w:t>
            </w:r>
          </w:p>
          <w:p w14:paraId="6230C4B9">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（5）生产规模：年产晶体元器件12万片</w:t>
            </w:r>
          </w:p>
          <w:p w14:paraId="1C121F5C">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（6）职工人数：新增职工人数160人，均不在厂区内进行食宿</w:t>
            </w:r>
          </w:p>
          <w:p w14:paraId="19A8B19D">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（7）工作制度：年工作日250天，单班制，每班8h/d</w:t>
            </w:r>
          </w:p>
          <w:p w14:paraId="67637563">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2.2.2本项目基本概况</w:t>
            </w:r>
          </w:p>
          <w:p w14:paraId="2CB04DDA">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根据项目备案表，本项目概况如下：</w:t>
            </w:r>
          </w:p>
          <w:p w14:paraId="5A532B1F">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（1）项目名称：至期超精密光学元器件研发生产基地项目(三期)</w:t>
            </w:r>
          </w:p>
          <w:p w14:paraId="1889AD11">
            <w:pPr>
              <w:spacing w:line="360" w:lineRule="auto"/>
              <w:ind w:firstLine="480" w:firstLineChars="200"/>
              <w:rPr>
                <w:rFonts w:hint="eastAsia" w:eastAsia="宋体"/>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（2）建设单位：</w:t>
            </w:r>
            <w:r>
              <w:rPr>
                <w:rFonts w:hint="eastAsia"/>
                <w:color w:val="000000" w:themeColor="text1"/>
                <w:sz w:val="24"/>
                <w:szCs w:val="32"/>
                <w:highlight w:val="none"/>
                <w:lang w:eastAsia="zh-CN"/>
                <w14:textFill>
                  <w14:solidFill>
                    <w14:schemeClr w14:val="tx1"/>
                  </w14:solidFill>
                </w14:textFill>
              </w:rPr>
              <w:t>福建至期光子科技有限公司</w:t>
            </w:r>
          </w:p>
          <w:p w14:paraId="4F58D6B7">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（3）建设地点：租赁</w:t>
            </w:r>
            <w:r>
              <w:rPr>
                <w:rFonts w:hint="eastAsia"/>
                <w:color w:val="000000" w:themeColor="text1"/>
                <w:sz w:val="24"/>
                <w:szCs w:val="24"/>
                <w:highlight w:val="none"/>
                <w:lang w:val="en-US" w:eastAsia="zh-CN"/>
                <w14:textFill>
                  <w14:solidFill>
                    <w14:schemeClr w14:val="tx1"/>
                  </w14:solidFill>
                </w14:textFill>
              </w:rPr>
              <w:t>福州市闽侯县南屿镇窗厦村尧溪路3号1#厂房1层，地理位置图见附图1</w:t>
            </w:r>
          </w:p>
          <w:p w14:paraId="7FAE06BA">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（4）项目总投资：**万元</w:t>
            </w:r>
          </w:p>
          <w:p w14:paraId="610F668D">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（5）建筑面积：</w:t>
            </w:r>
            <w:r>
              <w:rPr>
                <w:rFonts w:hint="eastAsia"/>
                <w:color w:val="000000" w:themeColor="text1"/>
                <w:sz w:val="24"/>
                <w:szCs w:val="24"/>
                <w:highlight w:val="none"/>
                <w:lang w:val="en-US" w:eastAsia="zh-CN"/>
                <w14:textFill>
                  <w14:solidFill>
                    <w14:schemeClr w14:val="tx1"/>
                  </w14:solidFill>
                </w14:textFill>
              </w:rPr>
              <w:t>11858.28m</w:t>
            </w:r>
            <w:r>
              <w:rPr>
                <w:rFonts w:hint="eastAsia"/>
                <w:color w:val="000000" w:themeColor="text1"/>
                <w:sz w:val="24"/>
                <w:szCs w:val="24"/>
                <w:highlight w:val="none"/>
                <w:vertAlign w:val="superscript"/>
                <w:lang w:val="en-US" w:eastAsia="zh-CN"/>
                <w14:textFill>
                  <w14:solidFill>
                    <w14:schemeClr w14:val="tx1"/>
                  </w14:solidFill>
                </w14:textFill>
              </w:rPr>
              <w:t>2</w:t>
            </w:r>
          </w:p>
          <w:p w14:paraId="5909866F">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（6）生产规模：年新增超精密光学元器件产能3万片</w:t>
            </w:r>
          </w:p>
          <w:p w14:paraId="35DBE7B3">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（7）职工人数：新增职工人数150人，均不在厂区内进行食宿</w:t>
            </w:r>
          </w:p>
          <w:p w14:paraId="77E8214E">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（8）工作制度：年工作日250天，单班制，每班8h/d</w:t>
            </w:r>
          </w:p>
          <w:p w14:paraId="3B9B0D29">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2.2.3项目产品方案</w:t>
            </w:r>
          </w:p>
          <w:p w14:paraId="52CAFEE0">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根据建设单位提供资料，拟扩建项目主要从事光学元器件生产，年产光学元器件3万片，项目具体产品方案详见下表。</w:t>
            </w:r>
          </w:p>
          <w:p w14:paraId="4AA09B24">
            <w:pPr>
              <w:spacing w:line="360" w:lineRule="auto"/>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表2</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w:t>
            </w:r>
            <w:r>
              <w:rPr>
                <w:b/>
                <w:bCs/>
                <w:color w:val="000000" w:themeColor="text1"/>
                <w:sz w:val="24"/>
                <w:szCs w:val="24"/>
                <w:highlight w:val="none"/>
                <w14:textFill>
                  <w14:solidFill>
                    <w14:schemeClr w14:val="tx1"/>
                  </w14:solidFill>
                </w14:textFill>
              </w:rPr>
              <w:t xml:space="preserve">  本项目产品方案说明表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2710"/>
              <w:gridCol w:w="2002"/>
              <w:gridCol w:w="2449"/>
            </w:tblGrid>
            <w:tr w14:paraId="2224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9" w:type="dxa"/>
                  <w:tcBorders>
                    <w:tl2br w:val="nil"/>
                    <w:tr2bl w:val="nil"/>
                  </w:tcBorders>
                  <w:noWrap w:val="0"/>
                  <w:vAlign w:val="center"/>
                </w:tcPr>
                <w:p w14:paraId="5429954E">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2606" w:type="dxa"/>
                  <w:tcBorders>
                    <w:tl2br w:val="nil"/>
                    <w:tr2bl w:val="nil"/>
                  </w:tcBorders>
                  <w:noWrap w:val="0"/>
                  <w:vAlign w:val="center"/>
                </w:tcPr>
                <w:p w14:paraId="31A1E36E">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产品名称</w:t>
                  </w:r>
                </w:p>
              </w:tc>
              <w:tc>
                <w:tcPr>
                  <w:tcW w:w="1925" w:type="dxa"/>
                  <w:tcBorders>
                    <w:tl2br w:val="nil"/>
                    <w:tr2bl w:val="nil"/>
                  </w:tcBorders>
                  <w:noWrap w:val="0"/>
                  <w:vAlign w:val="center"/>
                </w:tcPr>
                <w:p w14:paraId="492A6742">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单位</w:t>
                  </w:r>
                </w:p>
              </w:tc>
              <w:tc>
                <w:tcPr>
                  <w:tcW w:w="2355" w:type="dxa"/>
                  <w:tcBorders>
                    <w:tl2br w:val="nil"/>
                    <w:tr2bl w:val="nil"/>
                  </w:tcBorders>
                  <w:noWrap w:val="0"/>
                  <w:vAlign w:val="center"/>
                </w:tcPr>
                <w:p w14:paraId="4DAFF6B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w:t>
                  </w:r>
                </w:p>
              </w:tc>
            </w:tr>
            <w:tr w14:paraId="30D0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9" w:type="dxa"/>
                  <w:tcBorders>
                    <w:tl2br w:val="nil"/>
                    <w:tr2bl w:val="nil"/>
                  </w:tcBorders>
                  <w:noWrap w:val="0"/>
                  <w:vAlign w:val="center"/>
                </w:tcPr>
                <w:p w14:paraId="2D4679FC">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2606" w:type="dxa"/>
                  <w:tcBorders>
                    <w:tl2br w:val="nil"/>
                    <w:tr2bl w:val="nil"/>
                  </w:tcBorders>
                  <w:noWrap w:val="0"/>
                  <w:vAlign w:val="center"/>
                </w:tcPr>
                <w:p w14:paraId="77CC8099">
                  <w:pPr>
                    <w:pStyle w:val="10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超精密光学元器件1</w:t>
                  </w:r>
                </w:p>
              </w:tc>
              <w:tc>
                <w:tcPr>
                  <w:tcW w:w="1925" w:type="dxa"/>
                  <w:tcBorders>
                    <w:tl2br w:val="nil"/>
                    <w:tr2bl w:val="nil"/>
                  </w:tcBorders>
                  <w:noWrap w:val="0"/>
                  <w:vAlign w:val="center"/>
                </w:tcPr>
                <w:p w14:paraId="1DD430EC">
                  <w:pPr>
                    <w:pStyle w:val="105"/>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万</w:t>
                  </w:r>
                  <w:r>
                    <w:rPr>
                      <w:color w:val="000000" w:themeColor="text1"/>
                      <w:highlight w:val="none"/>
                      <w14:textFill>
                        <w14:solidFill>
                          <w14:schemeClr w14:val="tx1"/>
                        </w14:solidFill>
                      </w14:textFill>
                    </w:rPr>
                    <w:t>片/年</w:t>
                  </w:r>
                </w:p>
              </w:tc>
              <w:tc>
                <w:tcPr>
                  <w:tcW w:w="2355" w:type="dxa"/>
                  <w:tcBorders>
                    <w:tl2br w:val="nil"/>
                    <w:tr2bl w:val="nil"/>
                  </w:tcBorders>
                  <w:noWrap w:val="0"/>
                  <w:vAlign w:val="center"/>
                </w:tcPr>
                <w:p w14:paraId="4A57977D">
                  <w:pPr>
                    <w:pStyle w:val="105"/>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7C18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9" w:type="dxa"/>
                  <w:tcBorders>
                    <w:tl2br w:val="nil"/>
                    <w:tr2bl w:val="nil"/>
                  </w:tcBorders>
                  <w:noWrap w:val="0"/>
                  <w:vAlign w:val="center"/>
                </w:tcPr>
                <w:p w14:paraId="27B4322B">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2606" w:type="dxa"/>
                  <w:tcBorders>
                    <w:tl2br w:val="nil"/>
                    <w:tr2bl w:val="nil"/>
                  </w:tcBorders>
                  <w:noWrap w:val="0"/>
                  <w:vAlign w:val="center"/>
                </w:tcPr>
                <w:p w14:paraId="5D19F93D">
                  <w:pPr>
                    <w:pStyle w:val="10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超精密光学元器件2</w:t>
                  </w:r>
                </w:p>
              </w:tc>
              <w:tc>
                <w:tcPr>
                  <w:tcW w:w="1925" w:type="dxa"/>
                  <w:tcBorders>
                    <w:tl2br w:val="nil"/>
                    <w:tr2bl w:val="nil"/>
                  </w:tcBorders>
                  <w:noWrap w:val="0"/>
                  <w:vAlign w:val="center"/>
                </w:tcPr>
                <w:p w14:paraId="1CB0F317">
                  <w:pPr>
                    <w:pStyle w:val="105"/>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万</w:t>
                  </w:r>
                  <w:r>
                    <w:rPr>
                      <w:color w:val="000000" w:themeColor="text1"/>
                      <w:highlight w:val="none"/>
                      <w14:textFill>
                        <w14:solidFill>
                          <w14:schemeClr w14:val="tx1"/>
                        </w14:solidFill>
                      </w14:textFill>
                    </w:rPr>
                    <w:t>片/年</w:t>
                  </w:r>
                </w:p>
              </w:tc>
              <w:tc>
                <w:tcPr>
                  <w:tcW w:w="2355" w:type="dxa"/>
                  <w:tcBorders>
                    <w:tl2br w:val="nil"/>
                    <w:tr2bl w:val="nil"/>
                  </w:tcBorders>
                  <w:noWrap w:val="0"/>
                  <w:vAlign w:val="center"/>
                </w:tcPr>
                <w:p w14:paraId="3D6818F9">
                  <w:pPr>
                    <w:pStyle w:val="105"/>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bl>
          <w:p w14:paraId="14B98968">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000000" w:themeColor="text1"/>
                <w:sz w:val="32"/>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表2</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2</w:t>
            </w:r>
            <w:r>
              <w:rPr>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本项目建成后全厂</w:t>
            </w:r>
            <w:r>
              <w:rPr>
                <w:b/>
                <w:bCs/>
                <w:color w:val="000000" w:themeColor="text1"/>
                <w:sz w:val="24"/>
                <w:szCs w:val="24"/>
                <w:highlight w:val="none"/>
                <w14:textFill>
                  <w14:solidFill>
                    <w14:schemeClr w14:val="tx1"/>
                  </w14:solidFill>
                </w14:textFill>
              </w:rPr>
              <w:t>产品方案说明表</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8"/>
              <w:gridCol w:w="2485"/>
              <w:gridCol w:w="1521"/>
              <w:gridCol w:w="1650"/>
              <w:gridCol w:w="1838"/>
            </w:tblGrid>
            <w:tr w14:paraId="06781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9" w:type="dxa"/>
                  <w:vMerge w:val="restart"/>
                  <w:tcBorders>
                    <w:tl2br w:val="nil"/>
                    <w:tr2bl w:val="nil"/>
                  </w:tcBorders>
                  <w:vAlign w:val="center"/>
                </w:tcPr>
                <w:p w14:paraId="544513B9">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序号</w:t>
                  </w:r>
                </w:p>
              </w:tc>
              <w:tc>
                <w:tcPr>
                  <w:tcW w:w="4631" w:type="dxa"/>
                  <w:vMerge w:val="restart"/>
                  <w:tcBorders>
                    <w:tl2br w:val="nil"/>
                    <w:tr2bl w:val="nil"/>
                  </w:tcBorders>
                  <w:vAlign w:val="center"/>
                </w:tcPr>
                <w:p w14:paraId="26CC8DB3">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产品名称</w:t>
                  </w:r>
                </w:p>
              </w:tc>
              <w:tc>
                <w:tcPr>
                  <w:tcW w:w="9130" w:type="dxa"/>
                  <w:gridSpan w:val="3"/>
                  <w:tcBorders>
                    <w:tl2br w:val="nil"/>
                    <w:tr2bl w:val="nil"/>
                  </w:tcBorders>
                  <w:vAlign w:val="center"/>
                </w:tcPr>
                <w:p w14:paraId="305B2FB3">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产品产量</w:t>
                  </w:r>
                </w:p>
              </w:tc>
            </w:tr>
            <w:tr w14:paraId="32559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9" w:type="dxa"/>
                  <w:vMerge w:val="continue"/>
                  <w:tcBorders>
                    <w:tl2br w:val="nil"/>
                    <w:tr2bl w:val="nil"/>
                  </w:tcBorders>
                  <w:vAlign w:val="center"/>
                </w:tcPr>
                <w:p w14:paraId="1AB713F9">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w w:val="100"/>
                      <w:kern w:val="0"/>
                      <w:sz w:val="2"/>
                      <w:szCs w:val="2"/>
                      <w:highlight w:val="none"/>
                      <w14:textFill>
                        <w14:solidFill>
                          <w14:schemeClr w14:val="tx1"/>
                        </w14:solidFill>
                      </w14:textFill>
                    </w:rPr>
                  </w:pPr>
                </w:p>
              </w:tc>
              <w:tc>
                <w:tcPr>
                  <w:tcW w:w="4631" w:type="dxa"/>
                  <w:vMerge w:val="continue"/>
                  <w:tcBorders>
                    <w:tl2br w:val="nil"/>
                    <w:tr2bl w:val="nil"/>
                  </w:tcBorders>
                  <w:vAlign w:val="center"/>
                </w:tcPr>
                <w:p w14:paraId="40CC3181">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w w:val="100"/>
                      <w:kern w:val="0"/>
                      <w:sz w:val="2"/>
                      <w:szCs w:val="2"/>
                      <w:highlight w:val="none"/>
                      <w14:textFill>
                        <w14:solidFill>
                          <w14:schemeClr w14:val="tx1"/>
                        </w14:solidFill>
                      </w14:textFill>
                    </w:rPr>
                  </w:pPr>
                </w:p>
              </w:tc>
              <w:tc>
                <w:tcPr>
                  <w:tcW w:w="2754" w:type="dxa"/>
                  <w:tcBorders>
                    <w:tl2br w:val="nil"/>
                    <w:tr2bl w:val="nil"/>
                  </w:tcBorders>
                  <w:vAlign w:val="center"/>
                </w:tcPr>
                <w:p w14:paraId="620ECB00">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现有工程</w:t>
                  </w:r>
                </w:p>
              </w:tc>
              <w:tc>
                <w:tcPr>
                  <w:tcW w:w="3005" w:type="dxa"/>
                  <w:tcBorders>
                    <w:tl2br w:val="nil"/>
                    <w:tr2bl w:val="nil"/>
                  </w:tcBorders>
                  <w:vAlign w:val="center"/>
                </w:tcPr>
                <w:p w14:paraId="64AB3379">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拟扩建工程</w:t>
                  </w:r>
                </w:p>
              </w:tc>
              <w:tc>
                <w:tcPr>
                  <w:tcW w:w="3371" w:type="dxa"/>
                  <w:tcBorders>
                    <w:tl2br w:val="nil"/>
                    <w:tr2bl w:val="nil"/>
                  </w:tcBorders>
                  <w:vAlign w:val="center"/>
                </w:tcPr>
                <w:p w14:paraId="1292D595">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扩建后全厂</w:t>
                  </w:r>
                </w:p>
              </w:tc>
            </w:tr>
            <w:tr w14:paraId="57003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9" w:type="dxa"/>
                  <w:tcBorders>
                    <w:tl2br w:val="nil"/>
                    <w:tr2bl w:val="nil"/>
                  </w:tcBorders>
                  <w:vAlign w:val="center"/>
                </w:tcPr>
                <w:p w14:paraId="68923C6E">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1</w:t>
                  </w:r>
                </w:p>
              </w:tc>
              <w:tc>
                <w:tcPr>
                  <w:tcW w:w="4631" w:type="dxa"/>
                  <w:tcBorders>
                    <w:tl2br w:val="nil"/>
                    <w:tr2bl w:val="nil"/>
                  </w:tcBorders>
                  <w:vAlign w:val="center"/>
                </w:tcPr>
                <w:p w14:paraId="2081697E">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晶体元器件</w:t>
                  </w:r>
                </w:p>
              </w:tc>
              <w:tc>
                <w:tcPr>
                  <w:tcW w:w="2754" w:type="dxa"/>
                  <w:tcBorders>
                    <w:tl2br w:val="nil"/>
                    <w:tr2bl w:val="nil"/>
                  </w:tcBorders>
                  <w:vAlign w:val="center"/>
                </w:tcPr>
                <w:p w14:paraId="3A4CD787">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eastAsia" w:ascii="Times New Roman" w:hAnsi="Times New Roman" w:eastAsia="宋体" w:cs="Times New Roman"/>
                      <w:color w:val="000000" w:themeColor="text1"/>
                      <w:w w:val="100"/>
                      <w:kern w:val="0"/>
                      <w:sz w:val="2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w w:val="100"/>
                      <w:kern w:val="0"/>
                      <w:sz w:val="21"/>
                      <w:highlight w:val="none"/>
                      <w14:textFill>
                        <w14:solidFill>
                          <w14:schemeClr w14:val="tx1"/>
                        </w14:solidFill>
                      </w14:textFill>
                    </w:rPr>
                    <w:t>万片/年</w:t>
                  </w:r>
                </w:p>
              </w:tc>
              <w:tc>
                <w:tcPr>
                  <w:tcW w:w="3005" w:type="dxa"/>
                  <w:tcBorders>
                    <w:tl2br w:val="nil"/>
                    <w:tr2bl w:val="nil"/>
                  </w:tcBorders>
                  <w:vAlign w:val="center"/>
                </w:tcPr>
                <w:p w14:paraId="2211704E">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w w:val="100"/>
                      <w:kern w:val="0"/>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100"/>
                      <w:kern w:val="0"/>
                      <w:sz w:val="21"/>
                      <w:highlight w:val="none"/>
                      <w:lang w:val="en-US" w:eastAsia="zh-CN"/>
                      <w14:textFill>
                        <w14:solidFill>
                          <w14:schemeClr w14:val="tx1"/>
                        </w14:solidFill>
                      </w14:textFill>
                    </w:rPr>
                    <w:t>/</w:t>
                  </w:r>
                </w:p>
              </w:tc>
              <w:tc>
                <w:tcPr>
                  <w:tcW w:w="3371" w:type="dxa"/>
                  <w:tcBorders>
                    <w:tl2br w:val="nil"/>
                    <w:tr2bl w:val="nil"/>
                  </w:tcBorders>
                  <w:vAlign w:val="center"/>
                </w:tcPr>
                <w:p w14:paraId="74565FCA">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eastAsia" w:ascii="Times New Roman" w:hAnsi="Times New Roman" w:eastAsia="宋体" w:cs="Times New Roman"/>
                      <w:color w:val="000000" w:themeColor="text1"/>
                      <w:w w:val="100"/>
                      <w:kern w:val="0"/>
                      <w:sz w:val="2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w w:val="100"/>
                      <w:kern w:val="0"/>
                      <w:sz w:val="21"/>
                      <w:highlight w:val="none"/>
                      <w14:textFill>
                        <w14:solidFill>
                          <w14:schemeClr w14:val="tx1"/>
                        </w14:solidFill>
                      </w14:textFill>
                    </w:rPr>
                    <w:t>万片/年</w:t>
                  </w:r>
                </w:p>
              </w:tc>
            </w:tr>
            <w:tr w14:paraId="145A2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9" w:type="dxa"/>
                  <w:tcBorders>
                    <w:tl2br w:val="nil"/>
                    <w:tr2bl w:val="nil"/>
                  </w:tcBorders>
                  <w:vAlign w:val="center"/>
                </w:tcPr>
                <w:p w14:paraId="7DA7F40C">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2</w:t>
                  </w:r>
                </w:p>
              </w:tc>
              <w:tc>
                <w:tcPr>
                  <w:tcW w:w="4631" w:type="dxa"/>
                  <w:tcBorders>
                    <w:tl2br w:val="nil"/>
                    <w:tr2bl w:val="nil"/>
                  </w:tcBorders>
                  <w:vAlign w:val="center"/>
                </w:tcPr>
                <w:p w14:paraId="19E2D6CA">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超精密核心光学元器件</w:t>
                  </w:r>
                </w:p>
              </w:tc>
              <w:tc>
                <w:tcPr>
                  <w:tcW w:w="2754" w:type="dxa"/>
                  <w:tcBorders>
                    <w:tl2br w:val="nil"/>
                    <w:tr2bl w:val="nil"/>
                  </w:tcBorders>
                  <w:vAlign w:val="center"/>
                </w:tcPr>
                <w:p w14:paraId="223AE880">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default" w:ascii="Times New Roman" w:hAnsi="Times New Roman" w:eastAsia="宋体" w:cs="Times New Roman"/>
                      <w:color w:val="000000" w:themeColor="text1"/>
                      <w:w w:val="100"/>
                      <w:kern w:val="0"/>
                      <w:sz w:val="21"/>
                      <w:highlight w:val="none"/>
                      <w14:textFill>
                        <w14:solidFill>
                          <w14:schemeClr w14:val="tx1"/>
                        </w14:solidFill>
                      </w14:textFill>
                    </w:rPr>
                    <w:t>1万片/年</w:t>
                  </w:r>
                </w:p>
              </w:tc>
              <w:tc>
                <w:tcPr>
                  <w:tcW w:w="3005" w:type="dxa"/>
                  <w:tcBorders>
                    <w:tl2br w:val="nil"/>
                    <w:tr2bl w:val="nil"/>
                  </w:tcBorders>
                  <w:vAlign w:val="center"/>
                </w:tcPr>
                <w:p w14:paraId="674641D4">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eastAsia" w:ascii="Times New Roman" w:hAnsi="Times New Roman" w:cs="Times New Roman"/>
                      <w:color w:val="000000" w:themeColor="text1"/>
                      <w:w w:val="100"/>
                      <w:kern w:val="0"/>
                      <w:sz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w w:val="100"/>
                      <w:kern w:val="0"/>
                      <w:sz w:val="21"/>
                      <w:highlight w:val="none"/>
                      <w14:textFill>
                        <w14:solidFill>
                          <w14:schemeClr w14:val="tx1"/>
                        </w14:solidFill>
                      </w14:textFill>
                    </w:rPr>
                    <w:t>万片/年</w:t>
                  </w:r>
                </w:p>
              </w:tc>
              <w:tc>
                <w:tcPr>
                  <w:tcW w:w="3371" w:type="dxa"/>
                  <w:tcBorders>
                    <w:tl2br w:val="nil"/>
                    <w:tr2bl w:val="nil"/>
                  </w:tcBorders>
                  <w:vAlign w:val="center"/>
                </w:tcPr>
                <w:p w14:paraId="23F797FD">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w w:val="100"/>
                      <w:kern w:val="0"/>
                      <w:sz w:val="21"/>
                      <w:highlight w:val="none"/>
                      <w14:textFill>
                        <w14:solidFill>
                          <w14:schemeClr w14:val="tx1"/>
                        </w14:solidFill>
                      </w14:textFill>
                    </w:rPr>
                  </w:pPr>
                  <w:r>
                    <w:rPr>
                      <w:rFonts w:hint="eastAsia" w:ascii="Times New Roman" w:hAnsi="Times New Roman" w:cs="Times New Roman"/>
                      <w:color w:val="000000" w:themeColor="text1"/>
                      <w:w w:val="100"/>
                      <w:kern w:val="0"/>
                      <w:sz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w w:val="100"/>
                      <w:kern w:val="0"/>
                      <w:sz w:val="21"/>
                      <w:highlight w:val="none"/>
                      <w14:textFill>
                        <w14:solidFill>
                          <w14:schemeClr w14:val="tx1"/>
                        </w14:solidFill>
                      </w14:textFill>
                    </w:rPr>
                    <w:t>万片/年</w:t>
                  </w:r>
                </w:p>
              </w:tc>
            </w:tr>
          </w:tbl>
          <w:p w14:paraId="2C21E6D5">
            <w:pPr>
              <w:spacing w:line="360" w:lineRule="auto"/>
              <w:ind w:firstLine="420" w:firstLineChars="200"/>
              <w:rPr>
                <w:color w:val="000000" w:themeColor="text1"/>
                <w:highlight w:val="none"/>
                <w14:textFill>
                  <w14:solidFill>
                    <w14:schemeClr w14:val="tx1"/>
                  </w14:solidFill>
                </w14:textFill>
              </w:rPr>
            </w:pPr>
          </w:p>
          <w:p w14:paraId="339B817C">
            <w:pPr>
              <w:spacing w:line="360" w:lineRule="auto"/>
              <w:ind w:firstLine="420" w:firstLineChars="200"/>
              <w:rPr>
                <w:color w:val="000000" w:themeColor="text1"/>
                <w:highlight w:val="none"/>
                <w14:textFill>
                  <w14:solidFill>
                    <w14:schemeClr w14:val="tx1"/>
                  </w14:solidFill>
                </w14:textFill>
              </w:rPr>
            </w:pPr>
          </w:p>
          <w:p w14:paraId="094283B4">
            <w:pPr>
              <w:spacing w:line="360" w:lineRule="auto"/>
              <w:ind w:firstLine="420" w:firstLineChars="200"/>
              <w:rPr>
                <w:color w:val="000000" w:themeColor="text1"/>
                <w:highlight w:val="none"/>
                <w14:textFill>
                  <w14:solidFill>
                    <w14:schemeClr w14:val="tx1"/>
                  </w14:solidFill>
                </w14:textFill>
              </w:rPr>
            </w:pPr>
          </w:p>
          <w:p w14:paraId="0A49AB1C">
            <w:pPr>
              <w:spacing w:line="360" w:lineRule="auto"/>
              <w:ind w:firstLine="420" w:firstLineChars="200"/>
              <w:rPr>
                <w:color w:val="000000" w:themeColor="text1"/>
                <w:highlight w:val="none"/>
                <w14:textFill>
                  <w14:solidFill>
                    <w14:schemeClr w14:val="tx1"/>
                  </w14:solidFill>
                </w14:textFill>
              </w:rPr>
            </w:pPr>
          </w:p>
          <w:p w14:paraId="39C89E09">
            <w:pPr>
              <w:spacing w:line="360" w:lineRule="auto"/>
              <w:ind w:firstLine="420" w:firstLineChars="200"/>
              <w:rPr>
                <w:color w:val="000000" w:themeColor="text1"/>
                <w:highlight w:val="none"/>
                <w14:textFill>
                  <w14:solidFill>
                    <w14:schemeClr w14:val="tx1"/>
                  </w14:solidFill>
                </w14:textFill>
              </w:rPr>
            </w:pPr>
          </w:p>
        </w:tc>
      </w:tr>
    </w:tbl>
    <w:p w14:paraId="0F399BD6">
      <w:pPr>
        <w:pStyle w:val="12"/>
        <w:rPr>
          <w:snapToGrid w:val="0"/>
          <w:color w:val="000000" w:themeColor="text1"/>
          <w:highlight w:val="none"/>
          <w14:textFill>
            <w14:solidFill>
              <w14:schemeClr w14:val="tx1"/>
            </w14:solidFill>
          </w14:textFill>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52"/>
      </w:tblGrid>
      <w:tr w14:paraId="1BD0A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2" w:hRule="atLeast"/>
          <w:jc w:val="center"/>
        </w:trPr>
        <w:tc>
          <w:tcPr>
            <w:tcW w:w="5000" w:type="pct"/>
            <w:vAlign w:val="top"/>
          </w:tcPr>
          <w:p w14:paraId="6245C653">
            <w:pPr>
              <w:pStyle w:val="37"/>
              <w:rPr>
                <w:rFonts w:hint="eastAsia" w:eastAsia="黑体"/>
                <w:b w:val="0"/>
                <w:color w:val="000000" w:themeColor="text1"/>
                <w:sz w:val="24"/>
                <w:szCs w:val="21"/>
                <w:highlight w:val="none"/>
                <w:lang w:val="en-US" w:eastAsia="zh-CN"/>
                <w14:textFill>
                  <w14:solidFill>
                    <w14:schemeClr w14:val="tx1"/>
                  </w14:solidFill>
                </w14:textFill>
              </w:rPr>
            </w:pPr>
            <w:r>
              <w:rPr>
                <w:b w:val="0"/>
                <w:color w:val="000000" w:themeColor="text1"/>
                <w:sz w:val="24"/>
                <w:szCs w:val="21"/>
                <w:highlight w:val="none"/>
                <w14:textFill>
                  <w14:solidFill>
                    <w14:schemeClr w14:val="tx1"/>
                  </w14:solidFill>
                </w14:textFill>
              </w:rPr>
              <w:t>2.</w:t>
            </w:r>
            <w:r>
              <w:rPr>
                <w:rFonts w:hint="eastAsia"/>
                <w:b w:val="0"/>
                <w:color w:val="000000" w:themeColor="text1"/>
                <w:sz w:val="24"/>
                <w:szCs w:val="21"/>
                <w:highlight w:val="none"/>
                <w:lang w:val="en-US" w:eastAsia="zh-CN"/>
                <w14:textFill>
                  <w14:solidFill>
                    <w14:schemeClr w14:val="tx1"/>
                  </w14:solidFill>
                </w14:textFill>
              </w:rPr>
              <w:t>3</w:t>
            </w:r>
            <w:r>
              <w:rPr>
                <w:b w:val="0"/>
                <w:color w:val="000000" w:themeColor="text1"/>
                <w:sz w:val="24"/>
                <w:szCs w:val="21"/>
                <w:highlight w:val="none"/>
                <w14:textFill>
                  <w14:solidFill>
                    <w14:schemeClr w14:val="tx1"/>
                  </w14:solidFill>
                </w14:textFill>
              </w:rPr>
              <w:t xml:space="preserve"> </w:t>
            </w:r>
            <w:r>
              <w:rPr>
                <w:rFonts w:hint="eastAsia"/>
                <w:b w:val="0"/>
                <w:color w:val="000000" w:themeColor="text1"/>
                <w:sz w:val="24"/>
                <w:szCs w:val="21"/>
                <w:highlight w:val="none"/>
                <w14:textFill>
                  <w14:solidFill>
                    <w14:schemeClr w14:val="tx1"/>
                  </w14:solidFill>
                </w14:textFill>
              </w:rPr>
              <w:t>工程</w:t>
            </w:r>
            <w:r>
              <w:rPr>
                <w:rFonts w:hint="eastAsia"/>
                <w:b w:val="0"/>
                <w:color w:val="000000" w:themeColor="text1"/>
                <w:sz w:val="24"/>
                <w:szCs w:val="21"/>
                <w:highlight w:val="none"/>
                <w:lang w:val="en-US" w:eastAsia="zh-CN"/>
                <w14:textFill>
                  <w14:solidFill>
                    <w14:schemeClr w14:val="tx1"/>
                  </w14:solidFill>
                </w14:textFill>
              </w:rPr>
              <w:t>组成</w:t>
            </w:r>
          </w:p>
          <w:p w14:paraId="61585BA7">
            <w:pPr>
              <w:pStyle w:val="12"/>
              <w:spacing w:before="160"/>
              <w:ind w:left="721"/>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项目工程组成及建设内容见</w:t>
            </w:r>
            <w:r>
              <w:rPr>
                <w:rFonts w:hint="eastAsia" w:cs="Times New Roman"/>
                <w:color w:val="000000" w:themeColor="text1"/>
                <w:kern w:val="2"/>
                <w:sz w:val="24"/>
                <w:szCs w:val="32"/>
                <w:highlight w:val="none"/>
                <w:lang w:val="en-US" w:eastAsia="zh-CN" w:bidi="ar-SA"/>
                <w14:textFill>
                  <w14:solidFill>
                    <w14:schemeClr w14:val="tx1"/>
                  </w14:solidFill>
                </w14:textFill>
              </w:rPr>
              <w:t>下</w:t>
            </w: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表。</w:t>
            </w:r>
          </w:p>
          <w:p w14:paraId="74480404">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2.3-1</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项目组成一览表</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786"/>
              <w:gridCol w:w="630"/>
              <w:gridCol w:w="1005"/>
              <w:gridCol w:w="3240"/>
              <w:gridCol w:w="3165"/>
              <w:gridCol w:w="3162"/>
              <w:gridCol w:w="1438"/>
            </w:tblGrid>
            <w:tr w14:paraId="31229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restart"/>
                  <w:tcBorders>
                    <w:tl2br w:val="nil"/>
                    <w:tr2bl w:val="nil"/>
                  </w:tcBorders>
                  <w:vAlign w:val="center"/>
                </w:tcPr>
                <w:p w14:paraId="3C65FC4B">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工程类别</w:t>
                  </w:r>
                </w:p>
              </w:tc>
              <w:tc>
                <w:tcPr>
                  <w:tcW w:w="1635" w:type="dxa"/>
                  <w:gridSpan w:val="2"/>
                  <w:vMerge w:val="restart"/>
                  <w:tcBorders>
                    <w:tl2br w:val="nil"/>
                    <w:tr2bl w:val="nil"/>
                  </w:tcBorders>
                  <w:vAlign w:val="center"/>
                </w:tcPr>
                <w:p w14:paraId="1AF8AEF8">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项目组成</w:t>
                  </w:r>
                </w:p>
              </w:tc>
              <w:tc>
                <w:tcPr>
                  <w:tcW w:w="11005" w:type="dxa"/>
                  <w:gridSpan w:val="4"/>
                  <w:tcBorders>
                    <w:tl2br w:val="nil"/>
                    <w:tr2bl w:val="nil"/>
                  </w:tcBorders>
                  <w:vAlign w:val="center"/>
                </w:tcPr>
                <w:p w14:paraId="76B17370">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具体建设内容</w:t>
                  </w:r>
                </w:p>
              </w:tc>
            </w:tr>
            <w:tr w14:paraId="3815C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09CE6E9A">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635" w:type="dxa"/>
                  <w:gridSpan w:val="2"/>
                  <w:vMerge w:val="continue"/>
                  <w:tcBorders>
                    <w:tl2br w:val="nil"/>
                    <w:tr2bl w:val="nil"/>
                  </w:tcBorders>
                  <w:vAlign w:val="center"/>
                </w:tcPr>
                <w:p w14:paraId="31D552B5">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3240" w:type="dxa"/>
                  <w:tcBorders>
                    <w:tl2br w:val="nil"/>
                    <w:tr2bl w:val="nil"/>
                  </w:tcBorders>
                  <w:vAlign w:val="center"/>
                </w:tcPr>
                <w:p w14:paraId="6A4319B5">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现有工程</w:t>
                  </w:r>
                </w:p>
              </w:tc>
              <w:tc>
                <w:tcPr>
                  <w:tcW w:w="3165" w:type="dxa"/>
                  <w:tcBorders>
                    <w:tl2br w:val="nil"/>
                    <w:tr2bl w:val="nil"/>
                  </w:tcBorders>
                  <w:vAlign w:val="center"/>
                </w:tcPr>
                <w:p w14:paraId="34C8B790">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拟扩建工程</w:t>
                  </w:r>
                </w:p>
              </w:tc>
              <w:tc>
                <w:tcPr>
                  <w:tcW w:w="3162" w:type="dxa"/>
                  <w:tcBorders>
                    <w:tl2br w:val="nil"/>
                    <w:tr2bl w:val="nil"/>
                  </w:tcBorders>
                  <w:vAlign w:val="center"/>
                </w:tcPr>
                <w:p w14:paraId="39B004B5">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扩建后全厂</w:t>
                  </w:r>
                </w:p>
              </w:tc>
              <w:tc>
                <w:tcPr>
                  <w:tcW w:w="1438" w:type="dxa"/>
                  <w:tcBorders>
                    <w:tl2br w:val="nil"/>
                    <w:tr2bl w:val="nil"/>
                  </w:tcBorders>
                  <w:vAlign w:val="center"/>
                </w:tcPr>
                <w:p w14:paraId="60907C6A">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依托关系</w:t>
                  </w:r>
                </w:p>
              </w:tc>
            </w:tr>
            <w:tr w14:paraId="27C68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restart"/>
                  <w:tcBorders>
                    <w:tl2br w:val="nil"/>
                    <w:tr2bl w:val="nil"/>
                  </w:tcBorders>
                  <w:vAlign w:val="center"/>
                </w:tcPr>
                <w:p w14:paraId="4D41AED6">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主体工程</w:t>
                  </w:r>
                </w:p>
              </w:tc>
              <w:tc>
                <w:tcPr>
                  <w:tcW w:w="630" w:type="dxa"/>
                  <w:vMerge w:val="restart"/>
                  <w:tcBorders>
                    <w:tl2br w:val="nil"/>
                    <w:tr2bl w:val="nil"/>
                  </w:tcBorders>
                  <w:vAlign w:val="center"/>
                </w:tcPr>
                <w:p w14:paraId="3C693A2E">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2#厂房</w:t>
                  </w:r>
                </w:p>
              </w:tc>
              <w:tc>
                <w:tcPr>
                  <w:tcW w:w="1005" w:type="dxa"/>
                  <w:tcBorders>
                    <w:tl2br w:val="nil"/>
                    <w:tr2bl w:val="nil"/>
                  </w:tcBorders>
                  <w:vAlign w:val="center"/>
                </w:tcPr>
                <w:p w14:paraId="55A32E66">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超精密核心光学元器件车间</w:t>
                  </w:r>
                </w:p>
              </w:tc>
              <w:tc>
                <w:tcPr>
                  <w:tcW w:w="3240" w:type="dxa"/>
                  <w:tcBorders>
                    <w:tl2br w:val="nil"/>
                    <w:tr2bl w:val="nil"/>
                  </w:tcBorders>
                  <w:vAlign w:val="center"/>
                </w:tcPr>
                <w:p w14:paraId="289EE9DC">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2#厂房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1F，H=5.4m，建筑面积4715.40m</w:t>
                  </w:r>
                  <w:r>
                    <w:rPr>
                      <w:rFonts w:hint="eastAsia" w:ascii="Times New Roman" w:hAnsi="Times New Roman" w:eastAsia="宋体" w:cs="Times New Roman"/>
                      <w:color w:val="000000" w:themeColor="text1"/>
                      <w:spacing w:val="0"/>
                      <w:w w:val="100"/>
                      <w:kern w:val="0"/>
                      <w:position w:val="0"/>
                      <w:sz w:val="21"/>
                      <w:szCs w:val="21"/>
                      <w:highlight w:val="none"/>
                      <w:vertAlign w:val="superscript"/>
                      <w:lang w:val="en-US" w:eastAsia="zh-CN"/>
                      <w14:textFill>
                        <w14:solidFill>
                          <w14:schemeClr w14:val="tx1"/>
                        </w14:solidFill>
                      </w14:textFill>
                    </w:rPr>
                    <w:t>2</w:t>
                  </w:r>
                </w:p>
              </w:tc>
              <w:tc>
                <w:tcPr>
                  <w:tcW w:w="3165" w:type="dxa"/>
                  <w:tcBorders>
                    <w:tl2br w:val="nil"/>
                    <w:tr2bl w:val="nil"/>
                  </w:tcBorders>
                  <w:vAlign w:val="center"/>
                </w:tcPr>
                <w:p w14:paraId="2B8FFA2C">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w:t>
                  </w:r>
                </w:p>
              </w:tc>
              <w:tc>
                <w:tcPr>
                  <w:tcW w:w="3162" w:type="dxa"/>
                  <w:tcBorders>
                    <w:tl2br w:val="nil"/>
                    <w:tr2bl w:val="nil"/>
                  </w:tcBorders>
                  <w:vAlign w:val="center"/>
                </w:tcPr>
                <w:p w14:paraId="5C2999D8">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2#厂房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1F，H=5.4m，建筑面积4715.40m</w:t>
                  </w:r>
                  <w:r>
                    <w:rPr>
                      <w:rFonts w:hint="eastAsia" w:ascii="Times New Roman" w:hAnsi="Times New Roman" w:cs="Times New Roman"/>
                      <w:color w:val="000000" w:themeColor="text1"/>
                      <w:spacing w:val="0"/>
                      <w:w w:val="100"/>
                      <w:kern w:val="0"/>
                      <w:position w:val="0"/>
                      <w:sz w:val="21"/>
                      <w:szCs w:val="21"/>
                      <w:highlight w:val="none"/>
                      <w:vertAlign w:val="superscript"/>
                      <w:lang w:val="en-US" w:eastAsia="zh-CN"/>
                      <w14:textFill>
                        <w14:solidFill>
                          <w14:schemeClr w14:val="tx1"/>
                        </w14:solidFill>
                      </w14:textFill>
                    </w:rPr>
                    <w:t>2</w:t>
                  </w:r>
                </w:p>
              </w:tc>
              <w:tc>
                <w:tcPr>
                  <w:tcW w:w="1438" w:type="dxa"/>
                  <w:tcBorders>
                    <w:tl2br w:val="nil"/>
                    <w:tr2bl w:val="nil"/>
                  </w:tcBorders>
                  <w:vAlign w:val="center"/>
                </w:tcPr>
                <w:p w14:paraId="2B21F87B">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无变化</w:t>
                  </w:r>
                </w:p>
              </w:tc>
            </w:tr>
            <w:tr w14:paraId="12C06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78E6F011">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630" w:type="dxa"/>
                  <w:vMerge w:val="continue"/>
                  <w:tcBorders>
                    <w:tl2br w:val="nil"/>
                    <w:tr2bl w:val="nil"/>
                  </w:tcBorders>
                  <w:vAlign w:val="center"/>
                </w:tcPr>
                <w:p w14:paraId="3702F13A">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005" w:type="dxa"/>
                  <w:tcBorders>
                    <w:tl2br w:val="nil"/>
                    <w:tr2bl w:val="nil"/>
                  </w:tcBorders>
                  <w:vAlign w:val="center"/>
                </w:tcPr>
                <w:p w14:paraId="1B9E8586">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晶体元器</w:t>
                  </w:r>
                </w:p>
                <w:p w14:paraId="54E8074D">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件车间</w:t>
                  </w:r>
                </w:p>
              </w:tc>
              <w:tc>
                <w:tcPr>
                  <w:tcW w:w="3240" w:type="dxa"/>
                  <w:tcBorders>
                    <w:tl2br w:val="nil"/>
                    <w:tr2bl w:val="nil"/>
                  </w:tcBorders>
                  <w:vAlign w:val="center"/>
                </w:tcPr>
                <w:p w14:paraId="5937E434">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2#厂房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1F，H=7m，建筑面积5493.67m</w:t>
                  </w:r>
                  <w:r>
                    <w:rPr>
                      <w:rFonts w:hint="eastAsia" w:ascii="Times New Roman" w:hAnsi="Times New Roman" w:eastAsia="宋体" w:cs="Times New Roman"/>
                      <w:color w:val="000000" w:themeColor="text1"/>
                      <w:spacing w:val="0"/>
                      <w:w w:val="100"/>
                      <w:kern w:val="0"/>
                      <w:position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（含办公室）</w:t>
                  </w:r>
                </w:p>
              </w:tc>
              <w:tc>
                <w:tcPr>
                  <w:tcW w:w="3165" w:type="dxa"/>
                  <w:tcBorders>
                    <w:tl2br w:val="nil"/>
                    <w:tr2bl w:val="nil"/>
                  </w:tcBorders>
                  <w:vAlign w:val="center"/>
                </w:tcPr>
                <w:p w14:paraId="6C9C43D0">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w:t>
                  </w:r>
                </w:p>
              </w:tc>
              <w:tc>
                <w:tcPr>
                  <w:tcW w:w="3162" w:type="dxa"/>
                  <w:tcBorders>
                    <w:tl2br w:val="nil"/>
                    <w:tr2bl w:val="nil"/>
                  </w:tcBorders>
                  <w:vAlign w:val="center"/>
                </w:tcPr>
                <w:p w14:paraId="49CFBDDC">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2#厂房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1F，H=7m，建筑面积5493.67m</w:t>
                  </w:r>
                  <w:r>
                    <w:rPr>
                      <w:rFonts w:hint="eastAsia" w:ascii="Times New Roman" w:hAnsi="Times New Roman" w:eastAsia="宋体" w:cs="Times New Roman"/>
                      <w:color w:val="000000" w:themeColor="text1"/>
                      <w:spacing w:val="0"/>
                      <w:w w:val="100"/>
                      <w:kern w:val="0"/>
                      <w:position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（含办公室）</w:t>
                  </w:r>
                </w:p>
              </w:tc>
              <w:tc>
                <w:tcPr>
                  <w:tcW w:w="1438" w:type="dxa"/>
                  <w:tcBorders>
                    <w:tl2br w:val="nil"/>
                    <w:tr2bl w:val="nil"/>
                  </w:tcBorders>
                  <w:vAlign w:val="center"/>
                </w:tcPr>
                <w:p w14:paraId="67228393">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无变化</w:t>
                  </w:r>
                </w:p>
              </w:tc>
            </w:tr>
            <w:tr w14:paraId="0534C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758E56CF">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630" w:type="dxa"/>
                  <w:vMerge w:val="continue"/>
                  <w:tcBorders>
                    <w:tl2br w:val="nil"/>
                    <w:tr2bl w:val="nil"/>
                  </w:tcBorders>
                  <w:vAlign w:val="center"/>
                </w:tcPr>
                <w:p w14:paraId="5EFBA16F">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005" w:type="dxa"/>
                  <w:tcBorders>
                    <w:tl2br w:val="nil"/>
                    <w:tr2bl w:val="nil"/>
                  </w:tcBorders>
                  <w:vAlign w:val="center"/>
                </w:tcPr>
                <w:p w14:paraId="04518F1F">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晶体生产</w:t>
                  </w:r>
                </w:p>
                <w:p w14:paraId="4770ED16">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车间</w:t>
                  </w:r>
                </w:p>
              </w:tc>
              <w:tc>
                <w:tcPr>
                  <w:tcW w:w="3240" w:type="dxa"/>
                  <w:tcBorders>
                    <w:tl2br w:val="nil"/>
                    <w:tr2bl w:val="nil"/>
                  </w:tcBorders>
                  <w:vAlign w:val="center"/>
                </w:tcPr>
                <w:p w14:paraId="34D6F8C4">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2#厂房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2F，H=4.5m，建筑面积9632.52m</w:t>
                  </w:r>
                  <w:r>
                    <w:rPr>
                      <w:rFonts w:hint="eastAsia" w:ascii="Times New Roman" w:hAnsi="Times New Roman" w:cs="Times New Roman"/>
                      <w:color w:val="000000" w:themeColor="text1"/>
                      <w:spacing w:val="0"/>
                      <w:w w:val="100"/>
                      <w:kern w:val="0"/>
                      <w:position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（含办公室）</w:t>
                  </w:r>
                </w:p>
              </w:tc>
              <w:tc>
                <w:tcPr>
                  <w:tcW w:w="3165" w:type="dxa"/>
                  <w:tcBorders>
                    <w:tl2br w:val="nil"/>
                    <w:tr2bl w:val="nil"/>
                  </w:tcBorders>
                  <w:vAlign w:val="center"/>
                </w:tcPr>
                <w:p w14:paraId="60504DB9">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w:t>
                  </w:r>
                </w:p>
              </w:tc>
              <w:tc>
                <w:tcPr>
                  <w:tcW w:w="3162" w:type="dxa"/>
                  <w:tcBorders>
                    <w:tl2br w:val="nil"/>
                    <w:tr2bl w:val="nil"/>
                  </w:tcBorders>
                  <w:vAlign w:val="center"/>
                </w:tcPr>
                <w:p w14:paraId="7FA89C5D">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2#厂房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2F，H=4.5m，建筑面积9632.52m</w:t>
                  </w:r>
                  <w:r>
                    <w:rPr>
                      <w:rFonts w:hint="eastAsia" w:ascii="Times New Roman" w:hAnsi="Times New Roman" w:cs="Times New Roman"/>
                      <w:color w:val="000000" w:themeColor="text1"/>
                      <w:spacing w:val="0"/>
                      <w:w w:val="100"/>
                      <w:kern w:val="0"/>
                      <w:position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（含办公室）</w:t>
                  </w:r>
                </w:p>
              </w:tc>
              <w:tc>
                <w:tcPr>
                  <w:tcW w:w="1438" w:type="dxa"/>
                  <w:tcBorders>
                    <w:tl2br w:val="nil"/>
                    <w:tr2bl w:val="nil"/>
                  </w:tcBorders>
                  <w:vAlign w:val="center"/>
                </w:tcPr>
                <w:p w14:paraId="0ED4AD6B">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无变化</w:t>
                  </w:r>
                </w:p>
              </w:tc>
            </w:tr>
            <w:tr w14:paraId="690D9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5D561079">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630" w:type="dxa"/>
                  <w:tcBorders>
                    <w:tl2br w:val="nil"/>
                    <w:tr2bl w:val="nil"/>
                  </w:tcBorders>
                  <w:vAlign w:val="center"/>
                </w:tcPr>
                <w:p w14:paraId="27E33B2F">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1#厂房</w:t>
                  </w:r>
                </w:p>
              </w:tc>
              <w:tc>
                <w:tcPr>
                  <w:tcW w:w="1005" w:type="dxa"/>
                  <w:tcBorders>
                    <w:tl2br w:val="nil"/>
                    <w:tr2bl w:val="nil"/>
                  </w:tcBorders>
                  <w:vAlign w:val="center"/>
                </w:tcPr>
                <w:p w14:paraId="0809E9F1">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超精密光学元器件车间</w:t>
                  </w:r>
                </w:p>
              </w:tc>
              <w:tc>
                <w:tcPr>
                  <w:tcW w:w="3240" w:type="dxa"/>
                  <w:tcBorders>
                    <w:tl2br w:val="nil"/>
                    <w:tr2bl w:val="nil"/>
                  </w:tcBorders>
                  <w:vAlign w:val="center"/>
                </w:tcPr>
                <w:p w14:paraId="127BAF13">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w:t>
                  </w:r>
                </w:p>
              </w:tc>
              <w:tc>
                <w:tcPr>
                  <w:tcW w:w="3165" w:type="dxa"/>
                  <w:tcBorders>
                    <w:tl2br w:val="nil"/>
                    <w:tr2bl w:val="nil"/>
                  </w:tcBorders>
                  <w:vAlign w:val="center"/>
                </w:tcPr>
                <w:p w14:paraId="28085C86">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1#厂房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1F，H=</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m，建筑面积</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11858.28</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m</w:t>
                  </w:r>
                  <w:r>
                    <w:rPr>
                      <w:rFonts w:hint="eastAsia" w:ascii="Times New Roman" w:hAnsi="Times New Roman" w:eastAsia="宋体" w:cs="Times New Roman"/>
                      <w:color w:val="000000" w:themeColor="text1"/>
                      <w:spacing w:val="0"/>
                      <w:w w:val="100"/>
                      <w:kern w:val="0"/>
                      <w:position w:val="0"/>
                      <w:sz w:val="21"/>
                      <w:szCs w:val="21"/>
                      <w:highlight w:val="none"/>
                      <w:vertAlign w:val="superscript"/>
                      <w:lang w:val="en-US" w:eastAsia="zh-CN"/>
                      <w14:textFill>
                        <w14:solidFill>
                          <w14:schemeClr w14:val="tx1"/>
                        </w14:solidFill>
                      </w14:textFill>
                    </w:rPr>
                    <w:t>2</w:t>
                  </w:r>
                </w:p>
              </w:tc>
              <w:tc>
                <w:tcPr>
                  <w:tcW w:w="3162" w:type="dxa"/>
                  <w:tcBorders>
                    <w:tl2br w:val="nil"/>
                    <w:tr2bl w:val="nil"/>
                  </w:tcBorders>
                  <w:vAlign w:val="center"/>
                </w:tcPr>
                <w:p w14:paraId="51A451E5">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1#厂房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1F，H=</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m，建筑面积</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11858.28</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m</w:t>
                  </w:r>
                  <w:r>
                    <w:rPr>
                      <w:rFonts w:hint="eastAsia" w:ascii="Times New Roman" w:hAnsi="Times New Roman" w:eastAsia="宋体" w:cs="Times New Roman"/>
                      <w:color w:val="000000" w:themeColor="text1"/>
                      <w:spacing w:val="0"/>
                      <w:w w:val="100"/>
                      <w:kern w:val="0"/>
                      <w:position w:val="0"/>
                      <w:sz w:val="21"/>
                      <w:szCs w:val="21"/>
                      <w:highlight w:val="none"/>
                      <w:vertAlign w:val="superscript"/>
                      <w:lang w:val="en-US" w:eastAsia="zh-CN"/>
                      <w14:textFill>
                        <w14:solidFill>
                          <w14:schemeClr w14:val="tx1"/>
                        </w14:solidFill>
                      </w14:textFill>
                    </w:rPr>
                    <w:t>2</w:t>
                  </w:r>
                </w:p>
              </w:tc>
              <w:tc>
                <w:tcPr>
                  <w:tcW w:w="1438" w:type="dxa"/>
                  <w:tcBorders>
                    <w:tl2br w:val="nil"/>
                    <w:tr2bl w:val="nil"/>
                  </w:tcBorders>
                  <w:vAlign w:val="center"/>
                </w:tcPr>
                <w:p w14:paraId="1FACCFEB">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新增</w:t>
                  </w:r>
                </w:p>
              </w:tc>
            </w:tr>
            <w:tr w14:paraId="1071F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restart"/>
                  <w:tcBorders>
                    <w:tl2br w:val="nil"/>
                    <w:tr2bl w:val="nil"/>
                  </w:tcBorders>
                  <w:vAlign w:val="center"/>
                </w:tcPr>
                <w:p w14:paraId="40D0684E">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公用工程</w:t>
                  </w:r>
                </w:p>
              </w:tc>
              <w:tc>
                <w:tcPr>
                  <w:tcW w:w="1635" w:type="dxa"/>
                  <w:gridSpan w:val="2"/>
                  <w:tcBorders>
                    <w:tl2br w:val="nil"/>
                    <w:tr2bl w:val="nil"/>
                  </w:tcBorders>
                  <w:vAlign w:val="center"/>
                </w:tcPr>
                <w:p w14:paraId="5D3D6D9B">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供水</w:t>
                  </w:r>
                </w:p>
              </w:tc>
              <w:tc>
                <w:tcPr>
                  <w:tcW w:w="3240" w:type="dxa"/>
                  <w:tcBorders>
                    <w:tl2br w:val="nil"/>
                    <w:tr2bl w:val="nil"/>
                  </w:tcBorders>
                  <w:vAlign w:val="center"/>
                </w:tcPr>
                <w:p w14:paraId="79E4623F">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接市政供水管网</w:t>
                  </w:r>
                </w:p>
              </w:tc>
              <w:tc>
                <w:tcPr>
                  <w:tcW w:w="3165" w:type="dxa"/>
                  <w:tcBorders>
                    <w:tl2br w:val="nil"/>
                    <w:tr2bl w:val="nil"/>
                  </w:tcBorders>
                  <w:vAlign w:val="center"/>
                </w:tcPr>
                <w:p w14:paraId="22AC05F5">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依托现有</w:t>
                  </w:r>
                </w:p>
              </w:tc>
              <w:tc>
                <w:tcPr>
                  <w:tcW w:w="3162" w:type="dxa"/>
                  <w:tcBorders>
                    <w:tl2br w:val="nil"/>
                    <w:tr2bl w:val="nil"/>
                  </w:tcBorders>
                  <w:vAlign w:val="center"/>
                </w:tcPr>
                <w:p w14:paraId="4C1F34F2">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接市政供水管网</w:t>
                  </w:r>
                </w:p>
              </w:tc>
              <w:tc>
                <w:tcPr>
                  <w:tcW w:w="1438" w:type="dxa"/>
                  <w:tcBorders>
                    <w:tl2br w:val="nil"/>
                    <w:tr2bl w:val="nil"/>
                  </w:tcBorders>
                  <w:vAlign w:val="center"/>
                </w:tcPr>
                <w:p w14:paraId="5099549D">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依托现有</w:t>
                  </w:r>
                </w:p>
              </w:tc>
            </w:tr>
            <w:tr w14:paraId="02585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18EC7CFD">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635" w:type="dxa"/>
                  <w:gridSpan w:val="2"/>
                  <w:tcBorders>
                    <w:tl2br w:val="nil"/>
                    <w:tr2bl w:val="nil"/>
                  </w:tcBorders>
                  <w:vAlign w:val="center"/>
                </w:tcPr>
                <w:p w14:paraId="4527C9D9">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排水</w:t>
                  </w:r>
                </w:p>
              </w:tc>
              <w:tc>
                <w:tcPr>
                  <w:tcW w:w="3240" w:type="dxa"/>
                  <w:tcBorders>
                    <w:tl2br w:val="nil"/>
                    <w:tr2bl w:val="nil"/>
                  </w:tcBorders>
                  <w:vAlign w:val="center"/>
                </w:tcPr>
                <w:p w14:paraId="07C68B5D">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排水系统采用雨污分流制，雨水经收集后排入市政雨水管网。生活污水经化粪池处理后排入市政污水管网，纳入福州大学城污水处理厂统一处理；生产废水经自建的三级沉淀池预处理后排入市政污水管网，纳入福州大学污水处理厂统一处理</w:t>
                  </w:r>
                  <w:r>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t>。</w:t>
                  </w:r>
                </w:p>
              </w:tc>
              <w:tc>
                <w:tcPr>
                  <w:tcW w:w="3165" w:type="dxa"/>
                  <w:tcBorders>
                    <w:tl2br w:val="nil"/>
                    <w:tr2bl w:val="nil"/>
                  </w:tcBorders>
                  <w:vAlign w:val="center"/>
                </w:tcPr>
                <w:p w14:paraId="1F7AC0B5">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1#厂房</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排水系统</w:t>
                  </w:r>
                  <w:r>
                    <w:rPr>
                      <w:rFonts w:hint="eastAsia" w:ascii="Times New Roman" w:hAnsi="Times New Roman" w:cs="Times New Roman"/>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采用雨污分流制，雨水经收集后排入市政雨水管网。生活污水经</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隔油+</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化粪池处理后排入市政污水管网，纳入福州大学城污水处理厂统一处理；</w:t>
                  </w:r>
                  <w:r>
                    <w:rPr>
                      <w:rFonts w:hint="eastAsia"/>
                      <w:color w:val="000000" w:themeColor="text1"/>
                      <w:sz w:val="21"/>
                      <w:szCs w:val="18"/>
                      <w:highlight w:val="none"/>
                      <w14:textFill>
                        <w14:solidFill>
                          <w14:schemeClr w14:val="tx1"/>
                        </w14:solidFill>
                      </w14:textFill>
                    </w:rPr>
                    <w:t>生产废水</w:t>
                  </w:r>
                  <w:r>
                    <w:rPr>
                      <w:rFonts w:hint="eastAsia"/>
                      <w:color w:val="000000" w:themeColor="text1"/>
                      <w:sz w:val="21"/>
                      <w:szCs w:val="18"/>
                      <w:highlight w:val="none"/>
                      <w:lang w:val="en-US" w:eastAsia="zh-CN"/>
                      <w14:textFill>
                        <w14:solidFill>
                          <w14:schemeClr w14:val="tx1"/>
                        </w14:solidFill>
                      </w14:textFill>
                    </w:rPr>
                    <w:t>排入本次新建污水处理站</w:t>
                  </w:r>
                  <w:r>
                    <w:rPr>
                      <w:rFonts w:hint="eastAsia"/>
                      <w:color w:val="000000" w:themeColor="text1"/>
                      <w:sz w:val="21"/>
                      <w:szCs w:val="18"/>
                      <w:highlight w:val="none"/>
                      <w14:textFill>
                        <w14:solidFill>
                          <w14:schemeClr w14:val="tx1"/>
                        </w14:solidFill>
                      </w14:textFill>
                    </w:rPr>
                    <w:t>处理后纳入福州大学城污水处理厂统一处理</w:t>
                  </w:r>
                  <w:r>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t>。</w:t>
                  </w:r>
                </w:p>
              </w:tc>
              <w:tc>
                <w:tcPr>
                  <w:tcW w:w="3162" w:type="dxa"/>
                  <w:tcBorders>
                    <w:tl2br w:val="nil"/>
                    <w:tr2bl w:val="nil"/>
                  </w:tcBorders>
                  <w:vAlign w:val="center"/>
                </w:tcPr>
                <w:p w14:paraId="029AA3BD">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排水系统采用雨污分流制，雨水经收集后排入市政雨水管网。生活污水</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隔油+</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化粪池处理后排入市政污水管网，纳入福州大学城污水处理厂统一处理；</w:t>
                  </w:r>
                  <w:r>
                    <w:rPr>
                      <w:rFonts w:hint="eastAsia"/>
                      <w:color w:val="000000" w:themeColor="text1"/>
                      <w:sz w:val="21"/>
                      <w:szCs w:val="18"/>
                      <w:highlight w:val="none"/>
                      <w14:textFill>
                        <w14:solidFill>
                          <w14:schemeClr w14:val="tx1"/>
                        </w14:solidFill>
                      </w14:textFill>
                    </w:rPr>
                    <w:t>生产废水</w:t>
                  </w:r>
                  <w:r>
                    <w:rPr>
                      <w:rFonts w:hint="eastAsia"/>
                      <w:color w:val="000000" w:themeColor="text1"/>
                      <w:sz w:val="21"/>
                      <w:szCs w:val="18"/>
                      <w:highlight w:val="none"/>
                      <w:lang w:val="en-US" w:eastAsia="zh-CN"/>
                      <w14:textFill>
                        <w14:solidFill>
                          <w14:schemeClr w14:val="tx1"/>
                        </w14:solidFill>
                      </w14:textFill>
                    </w:rPr>
                    <w:t>排入本次新建污水处理站</w:t>
                  </w:r>
                  <w:r>
                    <w:rPr>
                      <w:rFonts w:hint="eastAsia"/>
                      <w:color w:val="000000" w:themeColor="text1"/>
                      <w:sz w:val="21"/>
                      <w:szCs w:val="18"/>
                      <w:highlight w:val="none"/>
                      <w14:textFill>
                        <w14:solidFill>
                          <w14:schemeClr w14:val="tx1"/>
                        </w14:solidFill>
                      </w14:textFill>
                    </w:rPr>
                    <w:t>处理后纳入福州大学城污水处理厂统一处理</w:t>
                  </w:r>
                  <w:r>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t>。</w:t>
                  </w:r>
                </w:p>
              </w:tc>
              <w:tc>
                <w:tcPr>
                  <w:tcW w:w="1438" w:type="dxa"/>
                  <w:tcBorders>
                    <w:tl2br w:val="nil"/>
                    <w:tr2bl w:val="nil"/>
                  </w:tcBorders>
                  <w:vAlign w:val="center"/>
                </w:tcPr>
                <w:p w14:paraId="2A6B4477">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新增</w:t>
                  </w:r>
                </w:p>
              </w:tc>
            </w:tr>
            <w:tr w14:paraId="45FA3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06B0D489">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635" w:type="dxa"/>
                  <w:gridSpan w:val="2"/>
                  <w:tcBorders>
                    <w:tl2br w:val="nil"/>
                    <w:tr2bl w:val="nil"/>
                  </w:tcBorders>
                  <w:vAlign w:val="top"/>
                </w:tcPr>
                <w:p w14:paraId="45AC3FC4">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供电</w:t>
                  </w:r>
                </w:p>
              </w:tc>
              <w:tc>
                <w:tcPr>
                  <w:tcW w:w="3240" w:type="dxa"/>
                  <w:tcBorders>
                    <w:tl2br w:val="nil"/>
                    <w:tr2bl w:val="nil"/>
                  </w:tcBorders>
                  <w:vAlign w:val="top"/>
                </w:tcPr>
                <w:p w14:paraId="7FFDBA3B">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接市政供电系统</w:t>
                  </w:r>
                </w:p>
              </w:tc>
              <w:tc>
                <w:tcPr>
                  <w:tcW w:w="3165" w:type="dxa"/>
                  <w:tcBorders>
                    <w:tl2br w:val="nil"/>
                    <w:tr2bl w:val="nil"/>
                  </w:tcBorders>
                  <w:vAlign w:val="top"/>
                </w:tcPr>
                <w:p w14:paraId="2B4FA224">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依托现有</w:t>
                  </w:r>
                </w:p>
              </w:tc>
              <w:tc>
                <w:tcPr>
                  <w:tcW w:w="3162" w:type="dxa"/>
                  <w:tcBorders>
                    <w:tl2br w:val="nil"/>
                    <w:tr2bl w:val="nil"/>
                  </w:tcBorders>
                  <w:vAlign w:val="top"/>
                </w:tcPr>
                <w:p w14:paraId="5F52DAB0">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接市政供电系统</w:t>
                  </w:r>
                </w:p>
              </w:tc>
              <w:tc>
                <w:tcPr>
                  <w:tcW w:w="1438" w:type="dxa"/>
                  <w:tcBorders>
                    <w:tl2br w:val="nil"/>
                    <w:tr2bl w:val="nil"/>
                  </w:tcBorders>
                  <w:vAlign w:val="top"/>
                </w:tcPr>
                <w:p w14:paraId="3B6F11B6">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依托现有</w:t>
                  </w:r>
                </w:p>
              </w:tc>
            </w:tr>
            <w:tr w14:paraId="47D99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restart"/>
                  <w:tcBorders>
                    <w:tl2br w:val="nil"/>
                    <w:tr2bl w:val="nil"/>
                  </w:tcBorders>
                  <w:vAlign w:val="center"/>
                </w:tcPr>
                <w:p w14:paraId="6194293F">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环保工程</w:t>
                  </w:r>
                </w:p>
              </w:tc>
              <w:tc>
                <w:tcPr>
                  <w:tcW w:w="1635" w:type="dxa"/>
                  <w:gridSpan w:val="2"/>
                  <w:vMerge w:val="restart"/>
                  <w:tcBorders>
                    <w:tl2br w:val="nil"/>
                    <w:tr2bl w:val="nil"/>
                  </w:tcBorders>
                  <w:vAlign w:val="center"/>
                </w:tcPr>
                <w:p w14:paraId="08B515CE">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废水治理</w:t>
                  </w:r>
                </w:p>
              </w:tc>
              <w:tc>
                <w:tcPr>
                  <w:tcW w:w="3240" w:type="dxa"/>
                  <w:tcBorders>
                    <w:tl2br w:val="nil"/>
                    <w:tr2bl w:val="nil"/>
                  </w:tcBorders>
                  <w:vAlign w:val="center"/>
                </w:tcPr>
                <w:p w14:paraId="100C8D3A">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生活污水经化粪池处理后排入市政污水管网，纳入福州大学城污水处理厂统一处理</w:t>
                  </w:r>
                </w:p>
              </w:tc>
              <w:tc>
                <w:tcPr>
                  <w:tcW w:w="3165" w:type="dxa"/>
                  <w:tcBorders>
                    <w:tl2br w:val="nil"/>
                    <w:tr2bl w:val="nil"/>
                  </w:tcBorders>
                  <w:vAlign w:val="center"/>
                </w:tcPr>
                <w:p w14:paraId="5CD84C12">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生活污水经</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隔油+</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化粪池处理后排入市政污水管网，纳入福州大学城污水处理厂统一处理</w:t>
                  </w:r>
                </w:p>
              </w:tc>
              <w:tc>
                <w:tcPr>
                  <w:tcW w:w="3162" w:type="dxa"/>
                  <w:tcBorders>
                    <w:tl2br w:val="nil"/>
                    <w:tr2bl w:val="nil"/>
                  </w:tcBorders>
                  <w:vAlign w:val="center"/>
                </w:tcPr>
                <w:p w14:paraId="10D7DF6D">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生活污水经</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隔油+</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化粪池处理后排入市政污水管网，纳入福州大学城污水处理厂统一处理</w:t>
                  </w:r>
                </w:p>
              </w:tc>
              <w:tc>
                <w:tcPr>
                  <w:tcW w:w="1438" w:type="dxa"/>
                  <w:tcBorders>
                    <w:tl2br w:val="nil"/>
                    <w:tr2bl w:val="nil"/>
                  </w:tcBorders>
                  <w:vAlign w:val="center"/>
                </w:tcPr>
                <w:p w14:paraId="5CBC9694">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依托现有</w:t>
                  </w:r>
                </w:p>
              </w:tc>
            </w:tr>
            <w:tr w14:paraId="0D41E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57C2F8EB">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color w:val="000000" w:themeColor="text1"/>
                      <w:highlight w:val="none"/>
                      <w14:textFill>
                        <w14:solidFill>
                          <w14:schemeClr w14:val="tx1"/>
                        </w14:solidFill>
                      </w14:textFill>
                    </w:rPr>
                  </w:pPr>
                </w:p>
              </w:tc>
              <w:tc>
                <w:tcPr>
                  <w:tcW w:w="1635" w:type="dxa"/>
                  <w:gridSpan w:val="2"/>
                  <w:vMerge w:val="continue"/>
                  <w:tcBorders>
                    <w:tl2br w:val="nil"/>
                    <w:tr2bl w:val="nil"/>
                  </w:tcBorders>
                  <w:vAlign w:val="center"/>
                </w:tcPr>
                <w:p w14:paraId="04B9D33F">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color w:val="000000" w:themeColor="text1"/>
                      <w:highlight w:val="none"/>
                      <w14:textFill>
                        <w14:solidFill>
                          <w14:schemeClr w14:val="tx1"/>
                        </w14:solidFill>
                      </w14:textFill>
                    </w:rPr>
                  </w:pPr>
                </w:p>
              </w:tc>
              <w:tc>
                <w:tcPr>
                  <w:tcW w:w="3240" w:type="dxa"/>
                  <w:tcBorders>
                    <w:tl2br w:val="nil"/>
                    <w:tr2bl w:val="nil"/>
                  </w:tcBorders>
                  <w:vAlign w:val="center"/>
                </w:tcPr>
                <w:p w14:paraId="378DF2F3">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生产废水经自建三级沉淀池预处理后排入市政污水管网，纳入福州大学城污水处理厂统一处理</w:t>
                  </w:r>
                  <w:r>
                    <w:rPr>
                      <w:rFonts w:hint="eastAsia" w:ascii="Times New Roman" w:hAnsi="Times New Roman" w:cs="Times New Roman"/>
                      <w:color w:val="000000" w:themeColor="text1"/>
                      <w:spacing w:val="0"/>
                      <w:w w:val="100"/>
                      <w:kern w:val="0"/>
                      <w:position w:val="0"/>
                      <w:sz w:val="21"/>
                      <w:szCs w:val="21"/>
                      <w:highlight w:val="none"/>
                      <w:lang w:eastAsia="zh-CN"/>
                      <w14:textFill>
                        <w14:solidFill>
                          <w14:schemeClr w14:val="tx1"/>
                        </w14:solidFill>
                      </w14:textFill>
                    </w:rPr>
                    <w:t>。</w:t>
                  </w:r>
                </w:p>
              </w:tc>
              <w:tc>
                <w:tcPr>
                  <w:tcW w:w="3165" w:type="dxa"/>
                  <w:tcBorders>
                    <w:tl2br w:val="nil"/>
                    <w:tr2bl w:val="nil"/>
                  </w:tcBorders>
                  <w:vAlign w:val="center"/>
                </w:tcPr>
                <w:p w14:paraId="7C76D970">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1#厂房</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新建生产废水处理系统，</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生产废水经</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新建污水处理站</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处理后纳入福州大学污水处理厂统一处理</w:t>
                  </w:r>
                  <w:r>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t>。</w:t>
                  </w:r>
                </w:p>
              </w:tc>
              <w:tc>
                <w:tcPr>
                  <w:tcW w:w="3162" w:type="dxa"/>
                  <w:tcBorders>
                    <w:tl2br w:val="nil"/>
                    <w:tr2bl w:val="nil"/>
                  </w:tcBorders>
                  <w:vAlign w:val="center"/>
                </w:tcPr>
                <w:p w14:paraId="0626C6F7">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1#厂房</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新建生产废水处理系统，</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生产废水经</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新建污水处理站</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处理后纳入福州大学污水处理厂统一处理</w:t>
                  </w:r>
                  <w:r>
                    <w:rPr>
                      <w:rFonts w:hint="eastAsia" w:ascii="Times New Roman" w:hAnsi="Times New Roman" w:cs="Times New Roman"/>
                      <w:color w:val="000000" w:themeColor="text1"/>
                      <w:spacing w:val="0"/>
                      <w:w w:val="100"/>
                      <w:kern w:val="0"/>
                      <w:position w:val="0"/>
                      <w:sz w:val="21"/>
                      <w:szCs w:val="21"/>
                      <w:highlight w:val="none"/>
                      <w:lang w:eastAsia="zh-CN"/>
                      <w14:textFill>
                        <w14:solidFill>
                          <w14:schemeClr w14:val="tx1"/>
                        </w14:solidFill>
                      </w14:textFill>
                    </w:rPr>
                    <w:t>。</w:t>
                  </w:r>
                </w:p>
              </w:tc>
              <w:tc>
                <w:tcPr>
                  <w:tcW w:w="1438" w:type="dxa"/>
                  <w:tcBorders>
                    <w:tl2br w:val="nil"/>
                    <w:tr2bl w:val="nil"/>
                  </w:tcBorders>
                  <w:vAlign w:val="center"/>
                </w:tcPr>
                <w:p w14:paraId="37B5583E">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新增</w:t>
                  </w:r>
                </w:p>
              </w:tc>
            </w:tr>
            <w:tr w14:paraId="10B2A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3A1073E6">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635" w:type="dxa"/>
                  <w:gridSpan w:val="2"/>
                  <w:tcBorders>
                    <w:tl2br w:val="nil"/>
                    <w:tr2bl w:val="nil"/>
                  </w:tcBorders>
                  <w:vAlign w:val="center"/>
                </w:tcPr>
                <w:p w14:paraId="6B39AD9B">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废气治理</w:t>
                  </w:r>
                </w:p>
              </w:tc>
              <w:tc>
                <w:tcPr>
                  <w:tcW w:w="3240" w:type="dxa"/>
                  <w:tcBorders>
                    <w:tl2br w:val="nil"/>
                    <w:tr2bl w:val="nil"/>
                  </w:tcBorders>
                  <w:vAlign w:val="center"/>
                </w:tcPr>
                <w:p w14:paraId="390B9344">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1、粉尘废气经收集后通过“布袋除尘器”处理后与超声波清洗工段有机废气一同通过25m高排气筒（DA003）排放；</w:t>
                  </w:r>
                </w:p>
                <w:p w14:paraId="0FD37B53">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2、2#厂房生产车间东区有机废气经收集后引至“二级活性炭吸附装置1#”处理后由1根25m高排气筒排放（DA001）；西区有机废气经收集后引至“二级活性炭吸附装置2#”处理后由1根25m高排气筒排放（DA002）；</w:t>
                  </w:r>
                </w:p>
                <w:p w14:paraId="5E5FB8CA">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3、晶体</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车间产生的有机废气经收集后引至3套“二级活性炭吸附装置3#~5#”处理后合 并由1根25m高排气筒排放（DA003）。</w:t>
                  </w:r>
                </w:p>
              </w:tc>
              <w:tc>
                <w:tcPr>
                  <w:tcW w:w="3165" w:type="dxa"/>
                  <w:tcBorders>
                    <w:tl2br w:val="nil"/>
                    <w:tr2bl w:val="nil"/>
                  </w:tcBorders>
                  <w:vAlign w:val="center"/>
                </w:tcPr>
                <w:p w14:paraId="7E87DDC7">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1、</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1#厂房</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粉尘废气经收集后通过“布袋除尘器”处理后通过</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m高排气筒排放；</w:t>
                  </w:r>
                </w:p>
                <w:p w14:paraId="3D647F32">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2、</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#厂房生产车间有机废气经收集后引至“二级活性炭吸附装置”处理后由1根</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m高排气筒排放；</w:t>
                  </w:r>
                </w:p>
                <w:p w14:paraId="5D4EB1AB">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3、</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1#厂房酸性废气</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经收集后引至“</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碱液喷淋塔</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”处理后由1根</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m高排气筒排放</w:t>
                  </w:r>
                  <w:r>
                    <w:rPr>
                      <w:rFonts w:hint="eastAsia" w:ascii="Times New Roman" w:hAnsi="Times New Roman" w:cs="Times New Roman"/>
                      <w:color w:val="000000" w:themeColor="text1"/>
                      <w:spacing w:val="0"/>
                      <w:w w:val="100"/>
                      <w:kern w:val="0"/>
                      <w:position w:val="0"/>
                      <w:sz w:val="21"/>
                      <w:szCs w:val="21"/>
                      <w:highlight w:val="none"/>
                      <w:lang w:eastAsia="zh-CN"/>
                      <w14:textFill>
                        <w14:solidFill>
                          <w14:schemeClr w14:val="tx1"/>
                        </w14:solidFill>
                      </w14:textFill>
                    </w:rPr>
                    <w:t>；</w:t>
                  </w:r>
                </w:p>
                <w:p w14:paraId="3031FD67">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4.1#厂房碱性废气</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经收集后引至“</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稀硫酸喷淋塔</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”处理后由1根</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m高排气筒排放。</w:t>
                  </w:r>
                </w:p>
              </w:tc>
              <w:tc>
                <w:tcPr>
                  <w:tcW w:w="3162" w:type="dxa"/>
                  <w:tcBorders>
                    <w:tl2br w:val="nil"/>
                    <w:tr2bl w:val="nil"/>
                  </w:tcBorders>
                  <w:vAlign w:val="center"/>
                </w:tcPr>
                <w:p w14:paraId="01A8A40F">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438" w:type="dxa"/>
                  <w:tcBorders>
                    <w:tl2br w:val="nil"/>
                    <w:tr2bl w:val="nil"/>
                  </w:tcBorders>
                  <w:vAlign w:val="center"/>
                </w:tcPr>
                <w:p w14:paraId="777C3170">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2#厂房废气治理措施不变，新增1#厂房废气治理措施</w:t>
                  </w:r>
                </w:p>
              </w:tc>
            </w:tr>
            <w:tr w14:paraId="56CFA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49355A3F">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635" w:type="dxa"/>
                  <w:gridSpan w:val="2"/>
                  <w:vMerge w:val="restart"/>
                  <w:tcBorders>
                    <w:tl2br w:val="nil"/>
                    <w:tr2bl w:val="nil"/>
                  </w:tcBorders>
                  <w:vAlign w:val="center"/>
                </w:tcPr>
                <w:p w14:paraId="6640AC8A">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固废处置</w:t>
                  </w:r>
                </w:p>
              </w:tc>
              <w:tc>
                <w:tcPr>
                  <w:tcW w:w="3240" w:type="dxa"/>
                  <w:tcBorders>
                    <w:tl2br w:val="nil"/>
                    <w:tr2bl w:val="nil"/>
                  </w:tcBorders>
                  <w:vAlign w:val="center"/>
                </w:tcPr>
                <w:p w14:paraId="27B3602D">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一般固废暂存在一般固废贮存库，定期外售给物资回收单位回收利用。</w:t>
                  </w:r>
                </w:p>
              </w:tc>
              <w:tc>
                <w:tcPr>
                  <w:tcW w:w="3165" w:type="dxa"/>
                  <w:tcBorders>
                    <w:tl2br w:val="nil"/>
                    <w:tr2bl w:val="nil"/>
                  </w:tcBorders>
                  <w:vAlign w:val="center"/>
                </w:tcPr>
                <w:p w14:paraId="41690DE5">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一般固废暂存在一般固废贮存库，定期外售给物资回收单位回收利用。</w:t>
                  </w:r>
                </w:p>
              </w:tc>
              <w:tc>
                <w:tcPr>
                  <w:tcW w:w="3162" w:type="dxa"/>
                  <w:tcBorders>
                    <w:tl2br w:val="nil"/>
                    <w:tr2bl w:val="nil"/>
                  </w:tcBorders>
                  <w:vAlign w:val="center"/>
                </w:tcPr>
                <w:p w14:paraId="0EE4548F">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一般固废暂存在一般固废贮存库，定期外售给物资回收单位回收利用。</w:t>
                  </w:r>
                </w:p>
              </w:tc>
              <w:tc>
                <w:tcPr>
                  <w:tcW w:w="1438" w:type="dxa"/>
                  <w:tcBorders>
                    <w:tl2br w:val="nil"/>
                    <w:tr2bl w:val="nil"/>
                  </w:tcBorders>
                  <w:vAlign w:val="center"/>
                </w:tcPr>
                <w:p w14:paraId="4F9268A0">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新建</w:t>
                  </w:r>
                </w:p>
              </w:tc>
            </w:tr>
            <w:tr w14:paraId="6CB95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3E51A269">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635" w:type="dxa"/>
                  <w:gridSpan w:val="2"/>
                  <w:vMerge w:val="continue"/>
                  <w:tcBorders>
                    <w:tl2br w:val="nil"/>
                    <w:tr2bl w:val="nil"/>
                  </w:tcBorders>
                  <w:vAlign w:val="center"/>
                </w:tcPr>
                <w:p w14:paraId="5B84756C">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p>
              </w:tc>
              <w:tc>
                <w:tcPr>
                  <w:tcW w:w="3240" w:type="dxa"/>
                  <w:tcBorders>
                    <w:tl2br w:val="nil"/>
                    <w:tr2bl w:val="nil"/>
                  </w:tcBorders>
                  <w:vAlign w:val="center"/>
                </w:tcPr>
                <w:p w14:paraId="3D86FBA4">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危险废物暂存危废间，定期委托福建绿洲固体废物处置有限公司处置。</w:t>
                  </w:r>
                </w:p>
              </w:tc>
              <w:tc>
                <w:tcPr>
                  <w:tcW w:w="3165" w:type="dxa"/>
                  <w:tcBorders>
                    <w:tl2br w:val="nil"/>
                    <w:tr2bl w:val="nil"/>
                  </w:tcBorders>
                  <w:vAlign w:val="center"/>
                </w:tcPr>
                <w:p w14:paraId="06C8E56E">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危险废物暂存危废间，定期委托</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有资质单位</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处置。</w:t>
                  </w:r>
                </w:p>
              </w:tc>
              <w:tc>
                <w:tcPr>
                  <w:tcW w:w="3162" w:type="dxa"/>
                  <w:tcBorders>
                    <w:tl2br w:val="nil"/>
                    <w:tr2bl w:val="nil"/>
                  </w:tcBorders>
                  <w:vAlign w:val="center"/>
                </w:tcPr>
                <w:p w14:paraId="2173D0B0">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危险废物暂存危废间，定期委托</w:t>
                  </w: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有资质单位</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处置。</w:t>
                  </w:r>
                </w:p>
              </w:tc>
              <w:tc>
                <w:tcPr>
                  <w:tcW w:w="1438" w:type="dxa"/>
                  <w:tcBorders>
                    <w:tl2br w:val="nil"/>
                    <w:tr2bl w:val="nil"/>
                  </w:tcBorders>
                  <w:vAlign w:val="center"/>
                </w:tcPr>
                <w:p w14:paraId="296B1DF6">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kern w:val="0"/>
                      <w:position w:val="0"/>
                      <w:sz w:val="21"/>
                      <w:szCs w:val="21"/>
                      <w:highlight w:val="none"/>
                      <w:lang w:val="en-US" w:eastAsia="zh-CN"/>
                      <w14:textFill>
                        <w14:solidFill>
                          <w14:schemeClr w14:val="tx1"/>
                        </w14:solidFill>
                      </w14:textFill>
                    </w:rPr>
                    <w:t>新建</w:t>
                  </w:r>
                </w:p>
              </w:tc>
            </w:tr>
            <w:tr w14:paraId="45844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57E90595">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635" w:type="dxa"/>
                  <w:gridSpan w:val="2"/>
                  <w:vMerge w:val="continue"/>
                  <w:tcBorders>
                    <w:tl2br w:val="nil"/>
                    <w:tr2bl w:val="nil"/>
                  </w:tcBorders>
                  <w:vAlign w:val="center"/>
                </w:tcPr>
                <w:p w14:paraId="6F5311BF">
                  <w:pPr>
                    <w:pStyle w:val="36"/>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p>
              </w:tc>
              <w:tc>
                <w:tcPr>
                  <w:tcW w:w="3240" w:type="dxa"/>
                  <w:tcBorders>
                    <w:tl2br w:val="nil"/>
                    <w:tr2bl w:val="nil"/>
                  </w:tcBorders>
                  <w:vAlign w:val="center"/>
                </w:tcPr>
                <w:p w14:paraId="01A6BCDA">
                  <w:pPr>
                    <w:pStyle w:val="36"/>
                    <w:keepNext w:val="0"/>
                    <w:keepLines w:val="0"/>
                    <w:pageBreakBefore w:val="0"/>
                    <w:widowControl w:val="0"/>
                    <w:kinsoku/>
                    <w:wordWrap/>
                    <w:overflowPunct/>
                    <w:topLinePunct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生活垃圾委托环卫部门定期清运。</w:t>
                  </w:r>
                </w:p>
              </w:tc>
              <w:tc>
                <w:tcPr>
                  <w:tcW w:w="3165" w:type="dxa"/>
                  <w:tcBorders>
                    <w:tl2br w:val="nil"/>
                    <w:tr2bl w:val="nil"/>
                  </w:tcBorders>
                  <w:vAlign w:val="center"/>
                </w:tcPr>
                <w:p w14:paraId="082B4666">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依托现有</w:t>
                  </w:r>
                </w:p>
              </w:tc>
              <w:tc>
                <w:tcPr>
                  <w:tcW w:w="3162" w:type="dxa"/>
                  <w:tcBorders>
                    <w:tl2br w:val="nil"/>
                    <w:tr2bl w:val="nil"/>
                  </w:tcBorders>
                  <w:vAlign w:val="center"/>
                </w:tcPr>
                <w:p w14:paraId="1E5171C8">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生活垃圾委托环卫部门定期清运。</w:t>
                  </w:r>
                </w:p>
              </w:tc>
              <w:tc>
                <w:tcPr>
                  <w:tcW w:w="1438" w:type="dxa"/>
                  <w:tcBorders>
                    <w:tl2br w:val="nil"/>
                    <w:tr2bl w:val="nil"/>
                  </w:tcBorders>
                  <w:vAlign w:val="center"/>
                </w:tcPr>
                <w:p w14:paraId="65CC6E56">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依托现有</w:t>
                  </w:r>
                </w:p>
              </w:tc>
            </w:tr>
            <w:tr w14:paraId="13FB8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786" w:type="dxa"/>
                  <w:vMerge w:val="continue"/>
                  <w:tcBorders>
                    <w:tl2br w:val="nil"/>
                    <w:tr2bl w:val="nil"/>
                  </w:tcBorders>
                  <w:vAlign w:val="center"/>
                </w:tcPr>
                <w:p w14:paraId="7A20E45C">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c>
                <w:tcPr>
                  <w:tcW w:w="1635" w:type="dxa"/>
                  <w:gridSpan w:val="2"/>
                  <w:tcBorders>
                    <w:tl2br w:val="nil"/>
                    <w:tr2bl w:val="nil"/>
                  </w:tcBorders>
                  <w:vAlign w:val="center"/>
                </w:tcPr>
                <w:p w14:paraId="708BAA9B">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噪声控制</w:t>
                  </w:r>
                </w:p>
              </w:tc>
              <w:tc>
                <w:tcPr>
                  <w:tcW w:w="3240" w:type="dxa"/>
                  <w:tcBorders>
                    <w:tl2br w:val="nil"/>
                    <w:tr2bl w:val="nil"/>
                  </w:tcBorders>
                  <w:vAlign w:val="center"/>
                </w:tcPr>
                <w:p w14:paraId="5F8B828B">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选用低噪声设备，加强设备的维护管理；对高噪声设备进行基础减振、通过厂房墙体隔声等综合降噪措施</w:t>
                  </w:r>
                </w:p>
              </w:tc>
              <w:tc>
                <w:tcPr>
                  <w:tcW w:w="3165" w:type="dxa"/>
                  <w:tcBorders>
                    <w:tl2br w:val="nil"/>
                    <w:tr2bl w:val="nil"/>
                  </w:tcBorders>
                  <w:vAlign w:val="center"/>
                </w:tcPr>
                <w:p w14:paraId="139DD2B2">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选用低噪声设备，加强设备的维护管理；对高噪声设备进行基础减振、通过厂房墙体隔声等综合降噪措施</w:t>
                  </w:r>
                </w:p>
              </w:tc>
              <w:tc>
                <w:tcPr>
                  <w:tcW w:w="3162" w:type="dxa"/>
                  <w:tcBorders>
                    <w:tl2br w:val="nil"/>
                    <w:tr2bl w:val="nil"/>
                  </w:tcBorders>
                  <w:vAlign w:val="center"/>
                </w:tcPr>
                <w:p w14:paraId="15050405">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选用低噪声设备，加强设备的维护管理；对高噪声设备进行基础减振、通过厂房墙体隔声等综合降噪措施</w:t>
                  </w:r>
                </w:p>
              </w:tc>
              <w:tc>
                <w:tcPr>
                  <w:tcW w:w="1438" w:type="dxa"/>
                  <w:tcBorders>
                    <w:tl2br w:val="nil"/>
                    <w:tr2bl w:val="nil"/>
                  </w:tcBorders>
                  <w:vAlign w:val="center"/>
                </w:tcPr>
                <w:p w14:paraId="1543CBCA">
                  <w:pPr>
                    <w:pStyle w:val="36"/>
                    <w:keepNext w:val="0"/>
                    <w:keepLines w:val="0"/>
                    <w:pageBreakBefore w:val="0"/>
                    <w:widowControl w:val="0"/>
                    <w:kinsoku/>
                    <w:wordWrap/>
                    <w:overflowPunct/>
                    <w:topLinePunct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新增</w:t>
                  </w:r>
                </w:p>
              </w:tc>
            </w:tr>
          </w:tbl>
          <w:p w14:paraId="4B1361C2">
            <w:pPr>
              <w:pStyle w:val="37"/>
              <w:rPr>
                <w:b w:val="0"/>
                <w:color w:val="000000" w:themeColor="text1"/>
                <w:sz w:val="24"/>
                <w:szCs w:val="21"/>
                <w:highlight w:val="none"/>
                <w14:textFill>
                  <w14:solidFill>
                    <w14:schemeClr w14:val="tx1"/>
                  </w14:solidFill>
                </w14:textFill>
              </w:rPr>
            </w:pPr>
          </w:p>
          <w:p w14:paraId="547E4980">
            <w:pPr>
              <w:pStyle w:val="37"/>
              <w:rPr>
                <w:b w:val="0"/>
                <w:color w:val="000000" w:themeColor="text1"/>
                <w:sz w:val="24"/>
                <w:szCs w:val="21"/>
                <w:highlight w:val="none"/>
                <w14:textFill>
                  <w14:solidFill>
                    <w14:schemeClr w14:val="tx1"/>
                  </w14:solidFill>
                </w14:textFill>
              </w:rPr>
            </w:pPr>
          </w:p>
          <w:p w14:paraId="05C0E00F">
            <w:pPr>
              <w:pStyle w:val="37"/>
              <w:rPr>
                <w:rFonts w:hint="eastAsia"/>
                <w:b w:val="0"/>
                <w:color w:val="000000" w:themeColor="text1"/>
                <w:sz w:val="24"/>
                <w:szCs w:val="21"/>
                <w:highlight w:val="none"/>
                <w:lang w:val="en-US" w:eastAsia="zh-CN"/>
                <w14:textFill>
                  <w14:solidFill>
                    <w14:schemeClr w14:val="tx1"/>
                  </w14:solidFill>
                </w14:textFill>
              </w:rPr>
            </w:pPr>
            <w:r>
              <w:rPr>
                <w:b w:val="0"/>
                <w:color w:val="000000" w:themeColor="text1"/>
                <w:sz w:val="24"/>
                <w:szCs w:val="21"/>
                <w:highlight w:val="none"/>
                <w14:textFill>
                  <w14:solidFill>
                    <w14:schemeClr w14:val="tx1"/>
                  </w14:solidFill>
                </w14:textFill>
              </w:rPr>
              <w:t>2.</w:t>
            </w:r>
            <w:r>
              <w:rPr>
                <w:rFonts w:hint="eastAsia"/>
                <w:b w:val="0"/>
                <w:color w:val="000000" w:themeColor="text1"/>
                <w:sz w:val="24"/>
                <w:szCs w:val="21"/>
                <w:highlight w:val="none"/>
                <w:lang w:val="en-US" w:eastAsia="zh-CN"/>
                <w14:textFill>
                  <w14:solidFill>
                    <w14:schemeClr w14:val="tx1"/>
                  </w14:solidFill>
                </w14:textFill>
              </w:rPr>
              <w:t>4</w:t>
            </w:r>
            <w:r>
              <w:rPr>
                <w:b w:val="0"/>
                <w:color w:val="000000" w:themeColor="text1"/>
                <w:sz w:val="24"/>
                <w:szCs w:val="21"/>
                <w:highlight w:val="none"/>
                <w14:textFill>
                  <w14:solidFill>
                    <w14:schemeClr w14:val="tx1"/>
                  </w14:solidFill>
                </w14:textFill>
              </w:rPr>
              <w:t xml:space="preserve"> </w:t>
            </w:r>
            <w:r>
              <w:rPr>
                <w:rFonts w:hint="eastAsia"/>
                <w:b w:val="0"/>
                <w:color w:val="000000" w:themeColor="text1"/>
                <w:sz w:val="24"/>
                <w:szCs w:val="21"/>
                <w:highlight w:val="none"/>
                <w:lang w:val="en-US" w:eastAsia="zh-CN"/>
                <w14:textFill>
                  <w14:solidFill>
                    <w14:schemeClr w14:val="tx1"/>
                  </w14:solidFill>
                </w14:textFill>
              </w:rPr>
              <w:t>项目主要原辅材料</w:t>
            </w:r>
          </w:p>
          <w:p w14:paraId="680C194C">
            <w:pPr>
              <w:pStyle w:val="12"/>
              <w:spacing w:before="160"/>
              <w:ind w:left="721"/>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cs="Times New Roman"/>
                <w:color w:val="000000" w:themeColor="text1"/>
                <w:kern w:val="2"/>
                <w:sz w:val="24"/>
                <w:szCs w:val="32"/>
                <w:highlight w:val="none"/>
                <w:lang w:val="en-US" w:eastAsia="zh-CN" w:bidi="ar-SA"/>
                <w14:textFill>
                  <w14:solidFill>
                    <w14:schemeClr w14:val="tx1"/>
                  </w14:solidFill>
                </w14:textFill>
              </w:rPr>
              <w:t>本</w:t>
            </w: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项目的主要原辅材料的</w:t>
            </w:r>
            <w:r>
              <w:rPr>
                <w:rFonts w:hint="eastAsia" w:cs="Times New Roman"/>
                <w:color w:val="000000" w:themeColor="text1"/>
                <w:kern w:val="2"/>
                <w:sz w:val="24"/>
                <w:szCs w:val="32"/>
                <w:highlight w:val="none"/>
                <w:lang w:val="en-US" w:eastAsia="zh-CN" w:bidi="ar-SA"/>
                <w14:textFill>
                  <w14:solidFill>
                    <w14:schemeClr w14:val="tx1"/>
                  </w14:solidFill>
                </w14:textFill>
              </w:rPr>
              <w:t>情况</w:t>
            </w: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见</w:t>
            </w:r>
            <w:r>
              <w:rPr>
                <w:rFonts w:hint="eastAsia" w:cs="Times New Roman"/>
                <w:color w:val="000000" w:themeColor="text1"/>
                <w:kern w:val="2"/>
                <w:sz w:val="24"/>
                <w:szCs w:val="32"/>
                <w:highlight w:val="none"/>
                <w:lang w:val="en-US" w:eastAsia="zh-CN" w:bidi="ar-SA"/>
                <w14:textFill>
                  <w14:solidFill>
                    <w14:schemeClr w14:val="tx1"/>
                  </w14:solidFill>
                </w14:textFill>
              </w:rPr>
              <w:t>下</w:t>
            </w: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表</w:t>
            </w:r>
            <w:r>
              <w:rPr>
                <w:rFonts w:hint="eastAsia" w:cs="Times New Roman"/>
                <w:color w:val="000000" w:themeColor="text1"/>
                <w:kern w:val="2"/>
                <w:sz w:val="24"/>
                <w:szCs w:val="32"/>
                <w:highlight w:val="none"/>
                <w:lang w:val="en-US" w:eastAsia="zh-CN" w:bidi="ar-SA"/>
                <w14:textFill>
                  <w14:solidFill>
                    <w14:schemeClr w14:val="tx1"/>
                  </w14:solidFill>
                </w14:textFill>
              </w:rPr>
              <w:t>。</w:t>
            </w:r>
          </w:p>
          <w:p w14:paraId="5946BF7A">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2.4-1</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本项目</w:t>
            </w:r>
            <w:r>
              <w:rPr>
                <w:b/>
                <w:color w:val="000000" w:themeColor="text1"/>
                <w:sz w:val="24"/>
                <w:szCs w:val="24"/>
                <w:highlight w:val="none"/>
                <w14:textFill>
                  <w14:solidFill>
                    <w14:schemeClr w14:val="tx1"/>
                  </w14:solidFill>
                </w14:textFill>
              </w:rPr>
              <w:t>原辅材料</w:t>
            </w:r>
            <w:r>
              <w:rPr>
                <w:rFonts w:hint="eastAsia"/>
                <w:b/>
                <w:color w:val="000000" w:themeColor="text1"/>
                <w:sz w:val="24"/>
                <w:szCs w:val="24"/>
                <w:highlight w:val="none"/>
                <w:lang w:val="en-US" w:eastAsia="zh-CN"/>
                <w14:textFill>
                  <w14:solidFill>
                    <w14:schemeClr w14:val="tx1"/>
                  </w14:solidFill>
                </w14:textFill>
              </w:rPr>
              <w:t>情况</w:t>
            </w:r>
            <w:r>
              <w:rPr>
                <w:b/>
                <w:color w:val="000000" w:themeColor="text1"/>
                <w:sz w:val="24"/>
                <w:szCs w:val="24"/>
                <w:highlight w:val="none"/>
                <w14:textFill>
                  <w14:solidFill>
                    <w14:schemeClr w14:val="tx1"/>
                  </w14:solidFill>
                </w14:textFill>
              </w:rPr>
              <w:t>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915"/>
              <w:gridCol w:w="3134"/>
              <w:gridCol w:w="2094"/>
              <w:gridCol w:w="2094"/>
              <w:gridCol w:w="2094"/>
              <w:gridCol w:w="2095"/>
            </w:tblGrid>
            <w:tr w14:paraId="6419EC3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tcBorders>
                    <w:tl2br w:val="nil"/>
                    <w:tr2bl w:val="nil"/>
                  </w:tcBorders>
                  <w:noWrap w:val="0"/>
                  <w:vAlign w:val="center"/>
                </w:tcPr>
                <w:p w14:paraId="71A8B682">
                  <w:pPr>
                    <w:widowControl/>
                    <w:jc w:val="center"/>
                    <w:textAlignment w:val="top"/>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产品名称</w:t>
                  </w:r>
                </w:p>
              </w:tc>
              <w:tc>
                <w:tcPr>
                  <w:tcW w:w="3136" w:type="dxa"/>
                  <w:tcBorders>
                    <w:tl2br w:val="nil"/>
                    <w:tr2bl w:val="nil"/>
                  </w:tcBorders>
                  <w:noWrap w:val="0"/>
                  <w:vAlign w:val="center"/>
                </w:tcPr>
                <w:p w14:paraId="18FD182E">
                  <w:pPr>
                    <w:widowControl/>
                    <w:jc w:val="center"/>
                    <w:textAlignment w:val="top"/>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名称</w:t>
                  </w:r>
                </w:p>
              </w:tc>
              <w:tc>
                <w:tcPr>
                  <w:tcW w:w="2096" w:type="dxa"/>
                  <w:tcBorders>
                    <w:tl2br w:val="nil"/>
                    <w:tr2bl w:val="nil"/>
                  </w:tcBorders>
                  <w:noWrap w:val="0"/>
                  <w:vAlign w:val="center"/>
                </w:tcPr>
                <w:p w14:paraId="20906BE5">
                  <w:pPr>
                    <w:widowControl/>
                    <w:jc w:val="center"/>
                    <w:textAlignment w:val="top"/>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年用量</w:t>
                  </w:r>
                </w:p>
              </w:tc>
              <w:tc>
                <w:tcPr>
                  <w:tcW w:w="2096" w:type="dxa"/>
                  <w:tcBorders>
                    <w:tl2br w:val="nil"/>
                    <w:tr2bl w:val="nil"/>
                  </w:tcBorders>
                  <w:noWrap w:val="0"/>
                  <w:vAlign w:val="center"/>
                </w:tcPr>
                <w:p w14:paraId="3AD9B3FA">
                  <w:pPr>
                    <w:widowControl/>
                    <w:jc w:val="center"/>
                    <w:textAlignment w:val="top"/>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最大储存量</w:t>
                  </w:r>
                </w:p>
              </w:tc>
              <w:tc>
                <w:tcPr>
                  <w:tcW w:w="2096" w:type="dxa"/>
                  <w:tcBorders>
                    <w:tl2br w:val="nil"/>
                    <w:tr2bl w:val="nil"/>
                  </w:tcBorders>
                  <w:noWrap w:val="0"/>
                  <w:vAlign w:val="center"/>
                </w:tcPr>
                <w:p w14:paraId="7D045AE0">
                  <w:pPr>
                    <w:widowControl/>
                    <w:jc w:val="center"/>
                    <w:textAlignment w:val="top"/>
                    <w:rPr>
                      <w:rFonts w:hint="default" w:eastAsia="宋体"/>
                      <w:bCs/>
                      <w:color w:val="000000" w:themeColor="text1"/>
                      <w:kern w:val="0"/>
                      <w:szCs w:val="21"/>
                      <w:highlight w:val="none"/>
                      <w:lang w:val="en-US"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储存形态</w:t>
                  </w:r>
                </w:p>
              </w:tc>
              <w:tc>
                <w:tcPr>
                  <w:tcW w:w="2096" w:type="dxa"/>
                  <w:tcBorders>
                    <w:tl2br w:val="nil"/>
                    <w:tr2bl w:val="nil"/>
                  </w:tcBorders>
                  <w:noWrap w:val="0"/>
                  <w:vAlign w:val="center"/>
                </w:tcPr>
                <w:p w14:paraId="33D769C4">
                  <w:pPr>
                    <w:widowControl/>
                    <w:jc w:val="center"/>
                    <w:textAlignment w:val="top"/>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贮存位置</w:t>
                  </w:r>
                </w:p>
              </w:tc>
            </w:tr>
            <w:tr w14:paraId="65B88C3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restart"/>
                  <w:tcBorders>
                    <w:tl2br w:val="nil"/>
                    <w:tr2bl w:val="nil"/>
                  </w:tcBorders>
                  <w:noWrap w:val="0"/>
                  <w:vAlign w:val="center"/>
                </w:tcPr>
                <w:p w14:paraId="4921320D">
                  <w:pPr>
                    <w:widowControl/>
                    <w:jc w:val="center"/>
                    <w:textAlignment w:val="top"/>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超精密光学元器件1吸盘产品</w:t>
                  </w:r>
                </w:p>
              </w:tc>
              <w:tc>
                <w:tcPr>
                  <w:tcW w:w="3136" w:type="dxa"/>
                  <w:tcBorders>
                    <w:tl2br w:val="nil"/>
                    <w:tr2bl w:val="nil"/>
                  </w:tcBorders>
                  <w:noWrap w:val="0"/>
                  <w:vAlign w:val="center"/>
                </w:tcPr>
                <w:p w14:paraId="510AB4DB">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无水乙醇</w:t>
                  </w:r>
                </w:p>
              </w:tc>
              <w:tc>
                <w:tcPr>
                  <w:tcW w:w="2096" w:type="dxa"/>
                  <w:tcBorders>
                    <w:tl2br w:val="nil"/>
                    <w:tr2bl w:val="nil"/>
                  </w:tcBorders>
                  <w:noWrap w:val="0"/>
                  <w:vAlign w:val="center"/>
                </w:tcPr>
                <w:p w14:paraId="767BB626">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BAF64EF">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8939BCD">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19AC0E63">
                  <w:pPr>
                    <w:widowControl/>
                    <w:jc w:val="center"/>
                    <w:textAlignment w:val="top"/>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65F07AD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E76D8FB">
                  <w:pPr>
                    <w:widowControl/>
                    <w:jc w:val="center"/>
                    <w:textAlignment w:val="top"/>
                    <w:rPr>
                      <w:color w:val="000000" w:themeColor="text1"/>
                      <w:szCs w:val="21"/>
                      <w:highlight w:val="none"/>
                      <w14:textFill>
                        <w14:solidFill>
                          <w14:schemeClr w14:val="tx1"/>
                        </w14:solidFill>
                      </w14:textFill>
                    </w:rPr>
                  </w:pPr>
                </w:p>
              </w:tc>
              <w:tc>
                <w:tcPr>
                  <w:tcW w:w="3136" w:type="dxa"/>
                  <w:tcBorders>
                    <w:tl2br w:val="nil"/>
                    <w:tr2bl w:val="nil"/>
                  </w:tcBorders>
                  <w:noWrap w:val="0"/>
                  <w:vAlign w:val="center"/>
                </w:tcPr>
                <w:p w14:paraId="3C940EA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无水乙醚</w:t>
                  </w:r>
                </w:p>
              </w:tc>
              <w:tc>
                <w:tcPr>
                  <w:tcW w:w="2096" w:type="dxa"/>
                  <w:tcBorders>
                    <w:tl2br w:val="nil"/>
                    <w:tr2bl w:val="nil"/>
                  </w:tcBorders>
                  <w:noWrap w:val="0"/>
                  <w:vAlign w:val="center"/>
                </w:tcPr>
                <w:p w14:paraId="5FBF5B30">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E639024">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23C7C2CD">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26DE5285">
                  <w:pPr>
                    <w:widowControl/>
                    <w:jc w:val="center"/>
                    <w:textAlignment w:val="top"/>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04634D3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5BBDBFD">
                  <w:pPr>
                    <w:widowControl/>
                    <w:jc w:val="center"/>
                    <w:textAlignment w:val="top"/>
                    <w:rPr>
                      <w:color w:val="000000" w:themeColor="text1"/>
                      <w:szCs w:val="21"/>
                      <w:highlight w:val="none"/>
                      <w14:textFill>
                        <w14:solidFill>
                          <w14:schemeClr w14:val="tx1"/>
                        </w14:solidFill>
                      </w14:textFill>
                    </w:rPr>
                  </w:pPr>
                </w:p>
              </w:tc>
              <w:tc>
                <w:tcPr>
                  <w:tcW w:w="3136" w:type="dxa"/>
                  <w:tcBorders>
                    <w:tl2br w:val="nil"/>
                    <w:tr2bl w:val="nil"/>
                  </w:tcBorders>
                  <w:noWrap w:val="0"/>
                  <w:vAlign w:val="center"/>
                </w:tcPr>
                <w:p w14:paraId="03E8891B">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抛光粉</w:t>
                  </w:r>
                </w:p>
              </w:tc>
              <w:tc>
                <w:tcPr>
                  <w:tcW w:w="2096" w:type="dxa"/>
                  <w:tcBorders>
                    <w:tl2br w:val="nil"/>
                    <w:tr2bl w:val="nil"/>
                  </w:tcBorders>
                  <w:noWrap w:val="0"/>
                  <w:vAlign w:val="center"/>
                </w:tcPr>
                <w:p w14:paraId="54AAB3CA">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560F82F">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6C83928">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33AF7F5A">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203642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40081866">
                  <w:pPr>
                    <w:widowControl/>
                    <w:jc w:val="center"/>
                    <w:textAlignment w:val="top"/>
                    <w:rPr>
                      <w:color w:val="000000" w:themeColor="text1"/>
                      <w:szCs w:val="21"/>
                      <w:highlight w:val="none"/>
                      <w14:textFill>
                        <w14:solidFill>
                          <w14:schemeClr w14:val="tx1"/>
                        </w14:solidFill>
                      </w14:textFill>
                    </w:rPr>
                  </w:pPr>
                </w:p>
              </w:tc>
              <w:tc>
                <w:tcPr>
                  <w:tcW w:w="3136" w:type="dxa"/>
                  <w:tcBorders>
                    <w:tl2br w:val="nil"/>
                    <w:tr2bl w:val="nil"/>
                  </w:tcBorders>
                  <w:noWrap w:val="0"/>
                  <w:vAlign w:val="center"/>
                </w:tcPr>
                <w:p w14:paraId="32C63DC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抛光液</w:t>
                  </w:r>
                </w:p>
              </w:tc>
              <w:tc>
                <w:tcPr>
                  <w:tcW w:w="2096" w:type="dxa"/>
                  <w:tcBorders>
                    <w:tl2br w:val="nil"/>
                    <w:tr2bl w:val="nil"/>
                  </w:tcBorders>
                  <w:noWrap w:val="0"/>
                  <w:vAlign w:val="center"/>
                </w:tcPr>
                <w:p w14:paraId="39801B5E">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251A666B">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24D92A9">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2FCD2198">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2F37CB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7050B990">
                  <w:pPr>
                    <w:widowControl/>
                    <w:jc w:val="center"/>
                    <w:textAlignment w:val="top"/>
                    <w:rPr>
                      <w:color w:val="000000" w:themeColor="text1"/>
                      <w:szCs w:val="21"/>
                      <w:highlight w:val="none"/>
                      <w14:textFill>
                        <w14:solidFill>
                          <w14:schemeClr w14:val="tx1"/>
                        </w14:solidFill>
                      </w14:textFill>
                    </w:rPr>
                  </w:pPr>
                </w:p>
              </w:tc>
              <w:tc>
                <w:tcPr>
                  <w:tcW w:w="3136" w:type="dxa"/>
                  <w:tcBorders>
                    <w:tl2br w:val="nil"/>
                    <w:tr2bl w:val="nil"/>
                  </w:tcBorders>
                  <w:noWrap w:val="0"/>
                  <w:vAlign w:val="center"/>
                </w:tcPr>
                <w:p w14:paraId="76DEEEB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丙酮</w:t>
                  </w:r>
                </w:p>
              </w:tc>
              <w:tc>
                <w:tcPr>
                  <w:tcW w:w="2096" w:type="dxa"/>
                  <w:tcBorders>
                    <w:tl2br w:val="nil"/>
                    <w:tr2bl w:val="nil"/>
                  </w:tcBorders>
                  <w:noWrap w:val="0"/>
                  <w:vAlign w:val="center"/>
                </w:tcPr>
                <w:p w14:paraId="22B0A7E6">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210D42A">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699877C">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3D0C5499">
                  <w:pPr>
                    <w:widowControl/>
                    <w:jc w:val="center"/>
                    <w:textAlignment w:val="top"/>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1DA4D7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59A8C436">
                  <w:pPr>
                    <w:widowControl/>
                    <w:jc w:val="center"/>
                    <w:textAlignment w:val="top"/>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658FCF5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金刚砂</w:t>
                  </w:r>
                </w:p>
              </w:tc>
              <w:tc>
                <w:tcPr>
                  <w:tcW w:w="2096" w:type="dxa"/>
                  <w:tcBorders>
                    <w:tl2br w:val="nil"/>
                    <w:tr2bl w:val="nil"/>
                  </w:tcBorders>
                  <w:noWrap w:val="0"/>
                  <w:vAlign w:val="center"/>
                </w:tcPr>
                <w:p w14:paraId="5A84174F">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94911F3">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DCF769E">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7A6EC623">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0AE9C4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ACF6DC0">
                  <w:pPr>
                    <w:widowControl/>
                    <w:jc w:val="center"/>
                    <w:textAlignment w:val="top"/>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3478A57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切削液</w:t>
                  </w:r>
                </w:p>
              </w:tc>
              <w:tc>
                <w:tcPr>
                  <w:tcW w:w="2096" w:type="dxa"/>
                  <w:tcBorders>
                    <w:tl2br w:val="nil"/>
                    <w:tr2bl w:val="nil"/>
                  </w:tcBorders>
                  <w:noWrap w:val="0"/>
                  <w:vAlign w:val="center"/>
                </w:tcPr>
                <w:p w14:paraId="585163F1">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AA97BE1">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71F0A89">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30FD5217">
                  <w:pPr>
                    <w:widowControl/>
                    <w:jc w:val="center"/>
                    <w:textAlignment w:val="top"/>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1A0BF7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3052271E">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3D3574E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全合成玻璃磨削液</w:t>
                  </w:r>
                </w:p>
              </w:tc>
              <w:tc>
                <w:tcPr>
                  <w:tcW w:w="2096" w:type="dxa"/>
                  <w:tcBorders>
                    <w:tl2br w:val="nil"/>
                    <w:tr2bl w:val="nil"/>
                  </w:tcBorders>
                  <w:noWrap w:val="0"/>
                  <w:vAlign w:val="center"/>
                </w:tcPr>
                <w:p w14:paraId="13F5BBEC">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F82E0EC">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EE52B73">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3DEBFAD2">
                  <w:pPr>
                    <w:widowControl/>
                    <w:jc w:val="center"/>
                    <w:textAlignment w:val="top"/>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5B0C01D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40004868">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4B785BF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冷却液</w:t>
                  </w:r>
                </w:p>
              </w:tc>
              <w:tc>
                <w:tcPr>
                  <w:tcW w:w="2096" w:type="dxa"/>
                  <w:tcBorders>
                    <w:tl2br w:val="nil"/>
                    <w:tr2bl w:val="nil"/>
                  </w:tcBorders>
                  <w:noWrap w:val="0"/>
                  <w:vAlign w:val="center"/>
                </w:tcPr>
                <w:p w14:paraId="1AD487A1">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7C50EAD">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43AF9C3">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0B6A5EC1">
                  <w:pPr>
                    <w:widowControl/>
                    <w:jc w:val="center"/>
                    <w:textAlignment w:val="top"/>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34ABAA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E68713C">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6617506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NOA 61胶水</w:t>
                  </w:r>
                </w:p>
              </w:tc>
              <w:tc>
                <w:tcPr>
                  <w:tcW w:w="2096" w:type="dxa"/>
                  <w:tcBorders>
                    <w:tl2br w:val="nil"/>
                    <w:tr2bl w:val="nil"/>
                  </w:tcBorders>
                  <w:noWrap w:val="0"/>
                  <w:vAlign w:val="center"/>
                </w:tcPr>
                <w:p w14:paraId="33788A67">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B9D68C7">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3FA1AF2F">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15EA9062">
                  <w:pPr>
                    <w:widowControl/>
                    <w:jc w:val="center"/>
                    <w:textAlignment w:val="top"/>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物料区</w:t>
                  </w:r>
                </w:p>
              </w:tc>
            </w:tr>
            <w:tr w14:paraId="2F4EDA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456FCE4E">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2ADFCC6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清洗剂</w:t>
                  </w:r>
                </w:p>
              </w:tc>
              <w:tc>
                <w:tcPr>
                  <w:tcW w:w="2096" w:type="dxa"/>
                  <w:tcBorders>
                    <w:tl2br w:val="nil"/>
                    <w:tr2bl w:val="nil"/>
                  </w:tcBorders>
                  <w:noWrap w:val="0"/>
                  <w:vAlign w:val="center"/>
                </w:tcPr>
                <w:p w14:paraId="48226B85">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9FBB71C">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08E249C">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549CD512">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4B8CB7E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782D8A5D">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65FD0FA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光学玻璃</w:t>
                  </w:r>
                </w:p>
              </w:tc>
              <w:tc>
                <w:tcPr>
                  <w:tcW w:w="2096" w:type="dxa"/>
                  <w:tcBorders>
                    <w:tl2br w:val="nil"/>
                    <w:tr2bl w:val="nil"/>
                  </w:tcBorders>
                  <w:noWrap w:val="0"/>
                  <w:vAlign w:val="center"/>
                </w:tcPr>
                <w:p w14:paraId="6BBDB971">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D589C79">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71FB15D">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44E47258">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1192BA6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401A6F83">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6C43593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Al</w:t>
                  </w:r>
                  <w:r>
                    <w:rPr>
                      <w:color w:val="000000" w:themeColor="text1"/>
                      <w:szCs w:val="21"/>
                      <w:highlight w:val="none"/>
                      <w:vertAlign w:val="subscript"/>
                      <w14:textFill>
                        <w14:solidFill>
                          <w14:schemeClr w14:val="tx1"/>
                        </w14:solidFill>
                      </w14:textFill>
                    </w:rPr>
                    <w:t>2</w:t>
                  </w:r>
                  <w:r>
                    <w:rPr>
                      <w:color w:val="000000" w:themeColor="text1"/>
                      <w:szCs w:val="21"/>
                      <w:highlight w:val="none"/>
                      <w14:textFill>
                        <w14:solidFill>
                          <w14:schemeClr w14:val="tx1"/>
                        </w14:solidFill>
                      </w14:textFill>
                    </w:rPr>
                    <w:t>O</w:t>
                  </w:r>
                  <w:r>
                    <w:rPr>
                      <w:color w:val="000000" w:themeColor="text1"/>
                      <w:szCs w:val="21"/>
                      <w:highlight w:val="none"/>
                      <w:vertAlign w:val="subscript"/>
                      <w14:textFill>
                        <w14:solidFill>
                          <w14:schemeClr w14:val="tx1"/>
                        </w14:solidFill>
                      </w14:textFill>
                    </w:rPr>
                    <w:t>3</w:t>
                  </w:r>
                </w:p>
              </w:tc>
              <w:tc>
                <w:tcPr>
                  <w:tcW w:w="2096" w:type="dxa"/>
                  <w:tcBorders>
                    <w:tl2br w:val="nil"/>
                    <w:tr2bl w:val="nil"/>
                  </w:tcBorders>
                  <w:noWrap w:val="0"/>
                  <w:vAlign w:val="center"/>
                </w:tcPr>
                <w:p w14:paraId="3B84E015">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1E6AD90">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F28CAE2">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226C71C5">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18FAD15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6F2B90DC">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48D9857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SiO</w:t>
                  </w:r>
                  <w:r>
                    <w:rPr>
                      <w:color w:val="000000" w:themeColor="text1"/>
                      <w:szCs w:val="21"/>
                      <w:highlight w:val="none"/>
                      <w:vertAlign w:val="subscript"/>
                      <w14:textFill>
                        <w14:solidFill>
                          <w14:schemeClr w14:val="tx1"/>
                        </w14:solidFill>
                      </w14:textFill>
                    </w:rPr>
                    <w:t>2</w:t>
                  </w:r>
                </w:p>
              </w:tc>
              <w:tc>
                <w:tcPr>
                  <w:tcW w:w="2096" w:type="dxa"/>
                  <w:tcBorders>
                    <w:tl2br w:val="nil"/>
                    <w:tr2bl w:val="nil"/>
                  </w:tcBorders>
                  <w:noWrap w:val="0"/>
                  <w:vAlign w:val="center"/>
                </w:tcPr>
                <w:p w14:paraId="3FB203FA">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3B881A46">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E5F245B">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5798824A">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35B40A8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687CFE21">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335CD4F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TiO</w:t>
                  </w:r>
                  <w:r>
                    <w:rPr>
                      <w:color w:val="000000" w:themeColor="text1"/>
                      <w:szCs w:val="21"/>
                      <w:highlight w:val="none"/>
                      <w:vertAlign w:val="subscript"/>
                      <w14:textFill>
                        <w14:solidFill>
                          <w14:schemeClr w14:val="tx1"/>
                        </w14:solidFill>
                      </w14:textFill>
                    </w:rPr>
                    <w:t>2</w:t>
                  </w:r>
                </w:p>
              </w:tc>
              <w:tc>
                <w:tcPr>
                  <w:tcW w:w="2096" w:type="dxa"/>
                  <w:tcBorders>
                    <w:tl2br w:val="nil"/>
                    <w:tr2bl w:val="nil"/>
                  </w:tcBorders>
                  <w:noWrap w:val="0"/>
                  <w:vAlign w:val="center"/>
                </w:tcPr>
                <w:p w14:paraId="4D55CB1C">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0F6A44D">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F994CC9">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01B0321B">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1566DD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4404346">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35CAB25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r>
                    <w:rPr>
                      <w:color w:val="000000" w:themeColor="text1"/>
                      <w:szCs w:val="21"/>
                      <w:highlight w:val="none"/>
                      <w:vertAlign w:val="subscript"/>
                      <w14:textFill>
                        <w14:solidFill>
                          <w14:schemeClr w14:val="tx1"/>
                        </w14:solidFill>
                      </w14:textFill>
                    </w:rPr>
                    <w:t>2</w:t>
                  </w:r>
                  <w:r>
                    <w:rPr>
                      <w:color w:val="000000" w:themeColor="text1"/>
                      <w:szCs w:val="21"/>
                      <w:highlight w:val="none"/>
                      <w14:textFill>
                        <w14:solidFill>
                          <w14:schemeClr w14:val="tx1"/>
                        </w14:solidFill>
                      </w14:textFill>
                    </w:rPr>
                    <w:t>O</w:t>
                  </w:r>
                  <w:r>
                    <w:rPr>
                      <w:color w:val="000000" w:themeColor="text1"/>
                      <w:szCs w:val="21"/>
                      <w:highlight w:val="none"/>
                      <w:vertAlign w:val="subscript"/>
                      <w14:textFill>
                        <w14:solidFill>
                          <w14:schemeClr w14:val="tx1"/>
                        </w14:solidFill>
                      </w14:textFill>
                    </w:rPr>
                    <w:t>5</w:t>
                  </w:r>
                </w:p>
              </w:tc>
              <w:tc>
                <w:tcPr>
                  <w:tcW w:w="2096" w:type="dxa"/>
                  <w:tcBorders>
                    <w:tl2br w:val="nil"/>
                    <w:tr2bl w:val="nil"/>
                  </w:tcBorders>
                  <w:noWrap w:val="0"/>
                  <w:vAlign w:val="center"/>
                </w:tcPr>
                <w:p w14:paraId="3B2F07FD">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49E2419">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3919B795">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4EADAA64">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741B09F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0B3C4ADD">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31F3B8C4">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98%</w:t>
                  </w:r>
                  <w:r>
                    <w:rPr>
                      <w:rFonts w:hint="eastAsia"/>
                      <w:color w:val="000000" w:themeColor="text1"/>
                      <w:szCs w:val="21"/>
                      <w:highlight w:val="none"/>
                      <w14:textFill>
                        <w14:solidFill>
                          <w14:schemeClr w14:val="tx1"/>
                        </w14:solidFill>
                      </w14:textFill>
                    </w:rPr>
                    <w:t>硫酸</w:t>
                  </w:r>
                </w:p>
              </w:tc>
              <w:tc>
                <w:tcPr>
                  <w:tcW w:w="2096" w:type="dxa"/>
                  <w:tcBorders>
                    <w:tl2br w:val="nil"/>
                    <w:tr2bl w:val="nil"/>
                  </w:tcBorders>
                  <w:noWrap w:val="0"/>
                  <w:vAlign w:val="center"/>
                </w:tcPr>
                <w:p w14:paraId="3D4E3B4D">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263318C">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20DC98D">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04E12880">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0E515A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restart"/>
                  <w:tcBorders>
                    <w:tl2br w:val="nil"/>
                    <w:tr2bl w:val="nil"/>
                  </w:tcBorders>
                  <w:noWrap w:val="0"/>
                  <w:vAlign w:val="center"/>
                </w:tcPr>
                <w:p w14:paraId="54E8AF3E">
                  <w:pPr>
                    <w:widowControl/>
                    <w:jc w:val="center"/>
                    <w:textAlignment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超精密光学元器件2微纳产品</w:t>
                  </w:r>
                </w:p>
              </w:tc>
              <w:tc>
                <w:tcPr>
                  <w:tcW w:w="3136" w:type="dxa"/>
                  <w:tcBorders>
                    <w:tl2br w:val="nil"/>
                    <w:tr2bl w:val="nil"/>
                  </w:tcBorders>
                  <w:noWrap w:val="0"/>
                  <w:vAlign w:val="center"/>
                </w:tcPr>
                <w:p w14:paraId="36170CF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AZ</w:t>
                  </w:r>
                  <w:r>
                    <w:rPr>
                      <w:color w:val="000000" w:themeColor="text1"/>
                      <w:szCs w:val="21"/>
                      <w:highlight w:val="none"/>
                      <w14:textFill>
                        <w14:solidFill>
                          <w14:schemeClr w14:val="tx1"/>
                        </w14:solidFill>
                      </w14:textFill>
                    </w:rPr>
                    <w:t>光刻胶</w:t>
                  </w:r>
                </w:p>
              </w:tc>
              <w:tc>
                <w:tcPr>
                  <w:tcW w:w="2096" w:type="dxa"/>
                  <w:tcBorders>
                    <w:tl2br w:val="nil"/>
                    <w:tr2bl w:val="nil"/>
                  </w:tcBorders>
                  <w:noWrap w:val="0"/>
                  <w:vAlign w:val="center"/>
                </w:tcPr>
                <w:p w14:paraId="6F919D0D">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307945A">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6CB8215">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766A40E6">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1AA703F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F0EC22D">
                  <w:pPr>
                    <w:widowControl/>
                    <w:jc w:val="center"/>
                    <w:textAlignment w:val="center"/>
                    <w:rPr>
                      <w:rFonts w:hint="eastAsia"/>
                      <w:color w:val="000000" w:themeColor="text1"/>
                      <w:highlight w:val="none"/>
                      <w14:textFill>
                        <w14:solidFill>
                          <w14:schemeClr w14:val="tx1"/>
                        </w14:solidFill>
                      </w14:textFill>
                    </w:rPr>
                  </w:pPr>
                </w:p>
              </w:tc>
              <w:tc>
                <w:tcPr>
                  <w:tcW w:w="3136" w:type="dxa"/>
                  <w:tcBorders>
                    <w:tl2br w:val="nil"/>
                    <w:tr2bl w:val="nil"/>
                  </w:tcBorders>
                  <w:noWrap w:val="0"/>
                  <w:vAlign w:val="center"/>
                </w:tcPr>
                <w:p w14:paraId="2D19C212">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基片</w:t>
                  </w:r>
                </w:p>
              </w:tc>
              <w:tc>
                <w:tcPr>
                  <w:tcW w:w="2096" w:type="dxa"/>
                  <w:tcBorders>
                    <w:tl2br w:val="nil"/>
                    <w:tr2bl w:val="nil"/>
                  </w:tcBorders>
                  <w:noWrap w:val="0"/>
                  <w:vAlign w:val="center"/>
                </w:tcPr>
                <w:p w14:paraId="0919760E">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8625FA8">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A109921">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31DAC98D">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物料区</w:t>
                  </w:r>
                </w:p>
              </w:tc>
            </w:tr>
            <w:tr w14:paraId="13FBEA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648E7E04">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2E3FB33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显影液2.38% 四甲基氢氧化铵显影液</w:t>
                  </w:r>
                </w:p>
              </w:tc>
              <w:tc>
                <w:tcPr>
                  <w:tcW w:w="2096" w:type="dxa"/>
                  <w:tcBorders>
                    <w:tl2br w:val="nil"/>
                    <w:tr2bl w:val="nil"/>
                  </w:tcBorders>
                  <w:noWrap w:val="0"/>
                  <w:vAlign w:val="center"/>
                </w:tcPr>
                <w:p w14:paraId="058CE94D">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16AC533">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63B4FB2">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0C016FA4">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556275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1804232B">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378882F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增粘剂六甲基二硅杂氮烷</w:t>
                  </w:r>
                </w:p>
              </w:tc>
              <w:tc>
                <w:tcPr>
                  <w:tcW w:w="2096" w:type="dxa"/>
                  <w:tcBorders>
                    <w:tl2br w:val="nil"/>
                    <w:tr2bl w:val="nil"/>
                  </w:tcBorders>
                  <w:noWrap w:val="0"/>
                  <w:vAlign w:val="center"/>
                </w:tcPr>
                <w:p w14:paraId="144DB2A6">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A537F70">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CDB5032">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7B0C7051">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36B903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4A2F84DA">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3E4D37B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稀释剂1-2-丙二醇甲醚醋酸酯</w:t>
                  </w:r>
                </w:p>
              </w:tc>
              <w:tc>
                <w:tcPr>
                  <w:tcW w:w="2096" w:type="dxa"/>
                  <w:tcBorders>
                    <w:tl2br w:val="nil"/>
                    <w:tr2bl w:val="nil"/>
                  </w:tcBorders>
                  <w:noWrap w:val="0"/>
                  <w:vAlign w:val="center"/>
                </w:tcPr>
                <w:p w14:paraId="535A52BB">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62F9523F">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CC8F511">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7352D014">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2E082E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0A0976AF">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7FE1866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无水乙醇</w:t>
                  </w:r>
                </w:p>
              </w:tc>
              <w:tc>
                <w:tcPr>
                  <w:tcW w:w="2096" w:type="dxa"/>
                  <w:tcBorders>
                    <w:tl2br w:val="nil"/>
                    <w:tr2bl w:val="nil"/>
                  </w:tcBorders>
                  <w:noWrap w:val="0"/>
                  <w:vAlign w:val="center"/>
                </w:tcPr>
                <w:p w14:paraId="716EB591">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D54DABA">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35BD91A9">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65E339BF">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1CB9630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729BF42">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7B3853F0">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无水乙醚</w:t>
                  </w:r>
                </w:p>
              </w:tc>
              <w:tc>
                <w:tcPr>
                  <w:tcW w:w="2096" w:type="dxa"/>
                  <w:tcBorders>
                    <w:tl2br w:val="nil"/>
                    <w:tr2bl w:val="nil"/>
                  </w:tcBorders>
                  <w:noWrap w:val="0"/>
                  <w:vAlign w:val="center"/>
                </w:tcPr>
                <w:p w14:paraId="4FE03CA4">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C1753BB">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8BC854C">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616F1E81">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4F649A2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79773FBE">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72ACC6A6">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无水丙酮</w:t>
                  </w:r>
                </w:p>
              </w:tc>
              <w:tc>
                <w:tcPr>
                  <w:tcW w:w="2096" w:type="dxa"/>
                  <w:tcBorders>
                    <w:tl2br w:val="nil"/>
                    <w:tr2bl w:val="nil"/>
                  </w:tcBorders>
                  <w:noWrap w:val="0"/>
                  <w:vAlign w:val="center"/>
                </w:tcPr>
                <w:p w14:paraId="22E966B3">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25D4AD5B">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E87BED9">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1946B861">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176F552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68F8976F">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1A3241B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氮气</w:t>
                  </w:r>
                </w:p>
              </w:tc>
              <w:tc>
                <w:tcPr>
                  <w:tcW w:w="2096" w:type="dxa"/>
                  <w:tcBorders>
                    <w:tl2br w:val="nil"/>
                    <w:tr2bl w:val="nil"/>
                  </w:tcBorders>
                  <w:noWrap w:val="0"/>
                  <w:vAlign w:val="center"/>
                </w:tcPr>
                <w:p w14:paraId="27FA5229">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3DA4AA2D">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2FA7A3C">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气体</w:t>
                  </w:r>
                </w:p>
              </w:tc>
              <w:tc>
                <w:tcPr>
                  <w:tcW w:w="2096" w:type="dxa"/>
                  <w:tcBorders>
                    <w:tl2br w:val="nil"/>
                    <w:tr2bl w:val="nil"/>
                  </w:tcBorders>
                  <w:noWrap w:val="0"/>
                  <w:vAlign w:val="center"/>
                </w:tcPr>
                <w:p w14:paraId="127CC06D">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设备后机房</w:t>
                  </w:r>
                </w:p>
              </w:tc>
            </w:tr>
            <w:tr w14:paraId="6BF658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4D27FED9">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41973EC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氩气</w:t>
                  </w:r>
                </w:p>
              </w:tc>
              <w:tc>
                <w:tcPr>
                  <w:tcW w:w="2096" w:type="dxa"/>
                  <w:tcBorders>
                    <w:tl2br w:val="nil"/>
                    <w:tr2bl w:val="nil"/>
                  </w:tcBorders>
                  <w:noWrap w:val="0"/>
                  <w:vAlign w:val="center"/>
                </w:tcPr>
                <w:p w14:paraId="13EF5A9D">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FF3EDB8">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1E322D1">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气体</w:t>
                  </w:r>
                </w:p>
              </w:tc>
              <w:tc>
                <w:tcPr>
                  <w:tcW w:w="2096" w:type="dxa"/>
                  <w:tcBorders>
                    <w:tl2br w:val="nil"/>
                    <w:tr2bl w:val="nil"/>
                  </w:tcBorders>
                  <w:noWrap w:val="0"/>
                  <w:vAlign w:val="center"/>
                </w:tcPr>
                <w:p w14:paraId="0F72D934">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设备后机房</w:t>
                  </w:r>
                </w:p>
              </w:tc>
            </w:tr>
            <w:tr w14:paraId="374D2B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77943B72">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1AB47F4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氧气</w:t>
                  </w:r>
                </w:p>
              </w:tc>
              <w:tc>
                <w:tcPr>
                  <w:tcW w:w="2096" w:type="dxa"/>
                  <w:tcBorders>
                    <w:tl2br w:val="nil"/>
                    <w:tr2bl w:val="nil"/>
                  </w:tcBorders>
                  <w:noWrap w:val="0"/>
                  <w:vAlign w:val="center"/>
                </w:tcPr>
                <w:p w14:paraId="46C65C3C">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503133FF">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22C53DDB">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气体</w:t>
                  </w:r>
                </w:p>
              </w:tc>
              <w:tc>
                <w:tcPr>
                  <w:tcW w:w="2096" w:type="dxa"/>
                  <w:tcBorders>
                    <w:tl2br w:val="nil"/>
                    <w:tr2bl w:val="nil"/>
                  </w:tcBorders>
                  <w:noWrap w:val="0"/>
                  <w:vAlign w:val="center"/>
                </w:tcPr>
                <w:p w14:paraId="0D70E733">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设备后机房</w:t>
                  </w:r>
                </w:p>
              </w:tc>
            </w:tr>
            <w:tr w14:paraId="7B8220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3D0DEEBA">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62F7093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清洁胶</w:t>
                  </w:r>
                </w:p>
              </w:tc>
              <w:tc>
                <w:tcPr>
                  <w:tcW w:w="2096" w:type="dxa"/>
                  <w:tcBorders>
                    <w:tl2br w:val="nil"/>
                    <w:tr2bl w:val="nil"/>
                  </w:tcBorders>
                  <w:noWrap w:val="0"/>
                  <w:vAlign w:val="center"/>
                </w:tcPr>
                <w:p w14:paraId="4C57B8D8">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D196B4A">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2AEF0969">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23056BD0">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4D92039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0EED58B2">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0EC025A7">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100%</w:t>
                  </w:r>
                  <w:r>
                    <w:rPr>
                      <w:rFonts w:hint="eastAsia"/>
                      <w:color w:val="000000" w:themeColor="text1"/>
                      <w:szCs w:val="21"/>
                      <w:highlight w:val="none"/>
                      <w14:textFill>
                        <w14:solidFill>
                          <w14:schemeClr w14:val="tx1"/>
                        </w14:solidFill>
                      </w14:textFill>
                    </w:rPr>
                    <w:t>N-甲基吡咯烷酮</w:t>
                  </w:r>
                </w:p>
              </w:tc>
              <w:tc>
                <w:tcPr>
                  <w:tcW w:w="2096" w:type="dxa"/>
                  <w:tcBorders>
                    <w:tl2br w:val="nil"/>
                    <w:tr2bl w:val="nil"/>
                  </w:tcBorders>
                  <w:noWrap w:val="0"/>
                  <w:vAlign w:val="center"/>
                </w:tcPr>
                <w:p w14:paraId="01075ED9">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3F883288">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F9195F5">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495257D2">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111A21E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00D78FA7">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2E6F1756">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r>
                    <w:rPr>
                      <w:rFonts w:hint="eastAsia"/>
                      <w:color w:val="000000" w:themeColor="text1"/>
                      <w:szCs w:val="21"/>
                      <w:highlight w:val="none"/>
                      <w14:textFill>
                        <w14:solidFill>
                          <w14:schemeClr w14:val="tx1"/>
                        </w14:solidFill>
                      </w14:textFill>
                    </w:rPr>
                    <w:t>氢氟酸</w:t>
                  </w:r>
                </w:p>
              </w:tc>
              <w:tc>
                <w:tcPr>
                  <w:tcW w:w="2096" w:type="dxa"/>
                  <w:tcBorders>
                    <w:tl2br w:val="nil"/>
                    <w:tr2bl w:val="nil"/>
                  </w:tcBorders>
                  <w:noWrap w:val="0"/>
                  <w:vAlign w:val="center"/>
                </w:tcPr>
                <w:p w14:paraId="74107572">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0BE62F0">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6E198CBE">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13529417">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350F7B5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EEC57AC">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7B0E812A">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100%</w:t>
                  </w:r>
                  <w:r>
                    <w:rPr>
                      <w:rFonts w:hint="eastAsia"/>
                      <w:color w:val="000000" w:themeColor="text1"/>
                      <w:szCs w:val="21"/>
                      <w:highlight w:val="none"/>
                      <w14:textFill>
                        <w14:solidFill>
                          <w14:schemeClr w14:val="tx1"/>
                        </w14:solidFill>
                      </w14:textFill>
                    </w:rPr>
                    <w:t>硝酸铈铵</w:t>
                  </w:r>
                </w:p>
              </w:tc>
              <w:tc>
                <w:tcPr>
                  <w:tcW w:w="2096" w:type="dxa"/>
                  <w:tcBorders>
                    <w:tl2br w:val="nil"/>
                    <w:tr2bl w:val="nil"/>
                  </w:tcBorders>
                  <w:noWrap w:val="0"/>
                  <w:vAlign w:val="center"/>
                </w:tcPr>
                <w:p w14:paraId="123D0C5D">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34ADDE01">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10A557F">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2B1B8CB9">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5E99D9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31EEF9A2">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1F7E648B">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68%</w:t>
                  </w:r>
                  <w:r>
                    <w:rPr>
                      <w:rFonts w:hint="eastAsia"/>
                      <w:color w:val="000000" w:themeColor="text1"/>
                      <w:szCs w:val="21"/>
                      <w:highlight w:val="none"/>
                      <w14:textFill>
                        <w14:solidFill>
                          <w14:schemeClr w14:val="tx1"/>
                        </w14:solidFill>
                      </w14:textFill>
                    </w:rPr>
                    <w:t>硝酸</w:t>
                  </w:r>
                </w:p>
              </w:tc>
              <w:tc>
                <w:tcPr>
                  <w:tcW w:w="2096" w:type="dxa"/>
                  <w:tcBorders>
                    <w:tl2br w:val="nil"/>
                    <w:tr2bl w:val="nil"/>
                  </w:tcBorders>
                  <w:noWrap w:val="0"/>
                  <w:vAlign w:val="center"/>
                </w:tcPr>
                <w:p w14:paraId="25ED81BE">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112CC646">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2FAEF7C">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2B45E780">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592F84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2A2CBE7">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14B40EEB">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100%</w:t>
                  </w:r>
                  <w:r>
                    <w:rPr>
                      <w:rFonts w:hint="eastAsia"/>
                      <w:color w:val="000000" w:themeColor="text1"/>
                      <w:szCs w:val="21"/>
                      <w:highlight w:val="none"/>
                      <w14:textFill>
                        <w14:solidFill>
                          <w14:schemeClr w14:val="tx1"/>
                        </w14:solidFill>
                      </w14:textFill>
                    </w:rPr>
                    <w:t>冰乙酸</w:t>
                  </w:r>
                </w:p>
              </w:tc>
              <w:tc>
                <w:tcPr>
                  <w:tcW w:w="2096" w:type="dxa"/>
                  <w:tcBorders>
                    <w:tl2br w:val="nil"/>
                    <w:tr2bl w:val="nil"/>
                  </w:tcBorders>
                  <w:noWrap w:val="0"/>
                  <w:vAlign w:val="center"/>
                </w:tcPr>
                <w:p w14:paraId="522D9A4F">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071DB72F">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680B2BB3">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7B1F3F93">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5C5B56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5F723C00">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5334C83E">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85%</w:t>
                  </w:r>
                  <w:r>
                    <w:rPr>
                      <w:rFonts w:hint="eastAsia"/>
                      <w:color w:val="000000" w:themeColor="text1"/>
                      <w:szCs w:val="21"/>
                      <w:highlight w:val="none"/>
                      <w14:textFill>
                        <w14:solidFill>
                          <w14:schemeClr w14:val="tx1"/>
                        </w14:solidFill>
                      </w14:textFill>
                    </w:rPr>
                    <w:t>磷酸</w:t>
                  </w:r>
                </w:p>
              </w:tc>
              <w:tc>
                <w:tcPr>
                  <w:tcW w:w="2096" w:type="dxa"/>
                  <w:tcBorders>
                    <w:tl2br w:val="nil"/>
                    <w:tr2bl w:val="nil"/>
                  </w:tcBorders>
                  <w:noWrap w:val="0"/>
                  <w:vAlign w:val="center"/>
                </w:tcPr>
                <w:p w14:paraId="54CAB317">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2D11B5BB">
                  <w:pPr>
                    <w:jc w:val="center"/>
                    <w:rPr>
                      <w:rFonts w:hint="eastAsia"/>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7B2417A7">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2EBA4211">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3A0A36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298A2A9D">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5E5F8D06">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100%</w:t>
                  </w:r>
                  <w:r>
                    <w:rPr>
                      <w:rFonts w:hint="eastAsia"/>
                      <w:color w:val="000000" w:themeColor="text1"/>
                      <w:szCs w:val="21"/>
                      <w:highlight w:val="none"/>
                      <w14:textFill>
                        <w14:solidFill>
                          <w14:schemeClr w14:val="tx1"/>
                        </w14:solidFill>
                      </w14:textFill>
                    </w:rPr>
                    <w:t>氟化铵</w:t>
                  </w:r>
                </w:p>
              </w:tc>
              <w:tc>
                <w:tcPr>
                  <w:tcW w:w="2096" w:type="dxa"/>
                  <w:tcBorders>
                    <w:tl2br w:val="nil"/>
                    <w:tr2bl w:val="nil"/>
                  </w:tcBorders>
                  <w:noWrap w:val="0"/>
                  <w:vAlign w:val="center"/>
                </w:tcPr>
                <w:p w14:paraId="1E811132">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8225F8B">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4E4D0E87">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固体</w:t>
                  </w:r>
                </w:p>
              </w:tc>
              <w:tc>
                <w:tcPr>
                  <w:tcW w:w="2096" w:type="dxa"/>
                  <w:tcBorders>
                    <w:tl2br w:val="nil"/>
                    <w:tr2bl w:val="nil"/>
                  </w:tcBorders>
                  <w:noWrap w:val="0"/>
                  <w:vAlign w:val="center"/>
                </w:tcPr>
                <w:p w14:paraId="7D213EFC">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r w14:paraId="21C1FB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6" w:type="dxa"/>
                  <w:vMerge w:val="continue"/>
                  <w:tcBorders>
                    <w:tl2br w:val="nil"/>
                    <w:tr2bl w:val="nil"/>
                  </w:tcBorders>
                  <w:noWrap w:val="0"/>
                  <w:vAlign w:val="center"/>
                </w:tcPr>
                <w:p w14:paraId="34EE7B57">
                  <w:pPr>
                    <w:widowControl/>
                    <w:jc w:val="center"/>
                    <w:textAlignment w:val="center"/>
                    <w:rPr>
                      <w:color w:val="000000" w:themeColor="text1"/>
                      <w:kern w:val="0"/>
                      <w:szCs w:val="21"/>
                      <w:highlight w:val="none"/>
                      <w14:textFill>
                        <w14:solidFill>
                          <w14:schemeClr w14:val="tx1"/>
                        </w14:solidFill>
                      </w14:textFill>
                    </w:rPr>
                  </w:pPr>
                </w:p>
              </w:tc>
              <w:tc>
                <w:tcPr>
                  <w:tcW w:w="3136" w:type="dxa"/>
                  <w:tcBorders>
                    <w:tl2br w:val="nil"/>
                    <w:tr2bl w:val="nil"/>
                  </w:tcBorders>
                  <w:noWrap w:val="0"/>
                  <w:vAlign w:val="center"/>
                </w:tcPr>
                <w:p w14:paraId="7527B016">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37%</w:t>
                  </w:r>
                  <w:r>
                    <w:rPr>
                      <w:rFonts w:hint="eastAsia"/>
                      <w:color w:val="000000" w:themeColor="text1"/>
                      <w:szCs w:val="21"/>
                      <w:highlight w:val="none"/>
                      <w14:textFill>
                        <w14:solidFill>
                          <w14:schemeClr w14:val="tx1"/>
                        </w14:solidFill>
                      </w14:textFill>
                    </w:rPr>
                    <w:t>盐酸</w:t>
                  </w:r>
                </w:p>
              </w:tc>
              <w:tc>
                <w:tcPr>
                  <w:tcW w:w="2096" w:type="dxa"/>
                  <w:tcBorders>
                    <w:tl2br w:val="nil"/>
                    <w:tr2bl w:val="nil"/>
                  </w:tcBorders>
                  <w:noWrap w:val="0"/>
                  <w:vAlign w:val="center"/>
                </w:tcPr>
                <w:p w14:paraId="0B0F99FE">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3B387B3F">
                  <w:pPr>
                    <w:jc w:val="center"/>
                    <w:rPr>
                      <w:color w:val="000000" w:themeColor="text1"/>
                      <w:szCs w:val="21"/>
                      <w:highlight w:val="none"/>
                      <w14:textFill>
                        <w14:solidFill>
                          <w14:schemeClr w14:val="tx1"/>
                        </w14:solidFill>
                      </w14:textFill>
                    </w:rPr>
                  </w:pPr>
                </w:p>
              </w:tc>
              <w:tc>
                <w:tcPr>
                  <w:tcW w:w="2096" w:type="dxa"/>
                  <w:tcBorders>
                    <w:tl2br w:val="nil"/>
                    <w:tr2bl w:val="nil"/>
                  </w:tcBorders>
                  <w:noWrap w:val="0"/>
                  <w:vAlign w:val="center"/>
                </w:tcPr>
                <w:p w14:paraId="2EC3C8A9">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液体</w:t>
                  </w:r>
                </w:p>
              </w:tc>
              <w:tc>
                <w:tcPr>
                  <w:tcW w:w="2096" w:type="dxa"/>
                  <w:tcBorders>
                    <w:tl2br w:val="nil"/>
                    <w:tr2bl w:val="nil"/>
                  </w:tcBorders>
                  <w:noWrap w:val="0"/>
                  <w:vAlign w:val="center"/>
                </w:tcPr>
                <w:p w14:paraId="7958C206">
                  <w:pPr>
                    <w:widowControl/>
                    <w:jc w:val="center"/>
                    <w:textAlignment w:val="top"/>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化学品仓</w:t>
                  </w:r>
                </w:p>
              </w:tc>
            </w:tr>
          </w:tbl>
          <w:p w14:paraId="769276DB">
            <w:pPr>
              <w:pStyle w:val="12"/>
              <w:spacing w:before="160"/>
              <w:ind w:left="721"/>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cs="Times New Roman"/>
                <w:color w:val="000000" w:themeColor="text1"/>
                <w:kern w:val="2"/>
                <w:sz w:val="24"/>
                <w:szCs w:val="32"/>
                <w:highlight w:val="none"/>
                <w:lang w:val="en-US" w:eastAsia="zh-CN" w:bidi="ar-SA"/>
                <w14:textFill>
                  <w14:solidFill>
                    <w14:schemeClr w14:val="tx1"/>
                  </w14:solidFill>
                </w14:textFill>
              </w:rPr>
              <w:t>本项目建成后全厂</w:t>
            </w: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主要原辅材料</w:t>
            </w:r>
            <w:r>
              <w:rPr>
                <w:rFonts w:hint="eastAsia" w:cs="Times New Roman"/>
                <w:color w:val="000000" w:themeColor="text1"/>
                <w:kern w:val="2"/>
                <w:sz w:val="24"/>
                <w:szCs w:val="32"/>
                <w:highlight w:val="none"/>
                <w:lang w:val="en-US" w:eastAsia="zh-CN" w:bidi="ar-SA"/>
                <w14:textFill>
                  <w14:solidFill>
                    <w14:schemeClr w14:val="tx1"/>
                  </w14:solidFill>
                </w14:textFill>
              </w:rPr>
              <w:t>情况</w:t>
            </w: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见</w:t>
            </w:r>
            <w:r>
              <w:rPr>
                <w:rFonts w:hint="eastAsia" w:cs="Times New Roman"/>
                <w:color w:val="000000" w:themeColor="text1"/>
                <w:kern w:val="2"/>
                <w:sz w:val="24"/>
                <w:szCs w:val="32"/>
                <w:highlight w:val="none"/>
                <w:lang w:val="en-US" w:eastAsia="zh-CN" w:bidi="ar-SA"/>
                <w14:textFill>
                  <w14:solidFill>
                    <w14:schemeClr w14:val="tx1"/>
                  </w14:solidFill>
                </w14:textFill>
              </w:rPr>
              <w:t>下</w:t>
            </w: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表。</w:t>
            </w:r>
          </w:p>
          <w:p w14:paraId="11FA52AC">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2.4-2</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本项目建成后全厂</w:t>
            </w:r>
            <w:r>
              <w:rPr>
                <w:b/>
                <w:color w:val="000000" w:themeColor="text1"/>
                <w:sz w:val="24"/>
                <w:szCs w:val="24"/>
                <w:highlight w:val="none"/>
                <w14:textFill>
                  <w14:solidFill>
                    <w14:schemeClr w14:val="tx1"/>
                  </w14:solidFill>
                </w14:textFill>
              </w:rPr>
              <w:t>原辅材料</w:t>
            </w:r>
            <w:r>
              <w:rPr>
                <w:rFonts w:hint="eastAsia"/>
                <w:b/>
                <w:color w:val="000000" w:themeColor="text1"/>
                <w:sz w:val="24"/>
                <w:szCs w:val="24"/>
                <w:highlight w:val="none"/>
                <w:lang w:val="en-US" w:eastAsia="zh-CN"/>
                <w14:textFill>
                  <w14:solidFill>
                    <w14:schemeClr w14:val="tx1"/>
                  </w14:solidFill>
                </w14:textFill>
              </w:rPr>
              <w:t>情况</w:t>
            </w:r>
            <w:r>
              <w:rPr>
                <w:b/>
                <w:color w:val="000000" w:themeColor="text1"/>
                <w:sz w:val="24"/>
                <w:szCs w:val="24"/>
                <w:highlight w:val="none"/>
                <w14:textFill>
                  <w14:solidFill>
                    <w14:schemeClr w14:val="tx1"/>
                  </w14:solidFill>
                </w14:textFill>
              </w:rPr>
              <w:t>一览表</w:t>
            </w:r>
          </w:p>
          <w:tbl>
            <w:tblPr>
              <w:tblStyle w:val="30"/>
              <w:tblW w:w="134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
              <w:gridCol w:w="3103"/>
              <w:gridCol w:w="1330"/>
              <w:gridCol w:w="1941"/>
              <w:gridCol w:w="1941"/>
              <w:gridCol w:w="1942"/>
              <w:gridCol w:w="2395"/>
            </w:tblGrid>
            <w:tr w14:paraId="378A6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vMerge w:val="restart"/>
                  <w:tcBorders>
                    <w:tl2br w:val="nil"/>
                    <w:tr2bl w:val="nil"/>
                  </w:tcBorders>
                  <w:vAlign w:val="center"/>
                </w:tcPr>
                <w:p w14:paraId="3548B80C">
                  <w:pPr>
                    <w:bidi w:val="0"/>
                    <w:jc w:val="center"/>
                    <w:rPr>
                      <w:rFonts w:hint="default"/>
                      <w:color w:val="000000" w:themeColor="text1"/>
                      <w:kern w:val="0"/>
                      <w:sz w:val="21"/>
                      <w:highlight w:val="none"/>
                      <w14:textFill>
                        <w14:solidFill>
                          <w14:schemeClr w14:val="tx1"/>
                        </w14:solidFill>
                      </w14:textFill>
                    </w:rPr>
                  </w:pPr>
                  <w:r>
                    <w:rPr>
                      <w:color w:val="000000" w:themeColor="text1"/>
                      <w:kern w:val="0"/>
                      <w:sz w:val="21"/>
                      <w:highlight w:val="none"/>
                      <w14:textFill>
                        <w14:solidFill>
                          <w14:schemeClr w14:val="tx1"/>
                        </w14:solidFill>
                      </w14:textFill>
                    </w:rPr>
                    <w:t>序号</w:t>
                  </w:r>
                </w:p>
              </w:tc>
              <w:tc>
                <w:tcPr>
                  <w:tcW w:w="3103" w:type="dxa"/>
                  <w:vMerge w:val="restart"/>
                  <w:tcBorders>
                    <w:tl2br w:val="nil"/>
                    <w:tr2bl w:val="nil"/>
                  </w:tcBorders>
                  <w:vAlign w:val="center"/>
                </w:tcPr>
                <w:p w14:paraId="7315EAF3">
                  <w:pPr>
                    <w:bidi w:val="0"/>
                    <w:jc w:val="center"/>
                    <w:rPr>
                      <w:rFonts w:hint="default"/>
                      <w:color w:val="000000" w:themeColor="text1"/>
                      <w:kern w:val="0"/>
                      <w:sz w:val="21"/>
                      <w:highlight w:val="none"/>
                      <w14:textFill>
                        <w14:solidFill>
                          <w14:schemeClr w14:val="tx1"/>
                        </w14:solidFill>
                      </w14:textFill>
                    </w:rPr>
                  </w:pPr>
                  <w:r>
                    <w:rPr>
                      <w:color w:val="000000" w:themeColor="text1"/>
                      <w:kern w:val="0"/>
                      <w:sz w:val="21"/>
                      <w:highlight w:val="none"/>
                      <w14:textFill>
                        <w14:solidFill>
                          <w14:schemeClr w14:val="tx1"/>
                        </w14:solidFill>
                      </w14:textFill>
                    </w:rPr>
                    <w:t>原辅材料名称</w:t>
                  </w:r>
                </w:p>
              </w:tc>
              <w:tc>
                <w:tcPr>
                  <w:tcW w:w="1330" w:type="dxa"/>
                  <w:vMerge w:val="restart"/>
                  <w:tcBorders>
                    <w:tl2br w:val="nil"/>
                    <w:tr2bl w:val="nil"/>
                  </w:tcBorders>
                  <w:vAlign w:val="center"/>
                </w:tcPr>
                <w:p w14:paraId="618749C6">
                  <w:pPr>
                    <w:bidi w:val="0"/>
                    <w:jc w:val="center"/>
                    <w:rPr>
                      <w:rFonts w:hint="default"/>
                      <w:color w:val="000000" w:themeColor="text1"/>
                      <w:kern w:val="0"/>
                      <w:sz w:val="21"/>
                      <w:highlight w:val="none"/>
                      <w14:textFill>
                        <w14:solidFill>
                          <w14:schemeClr w14:val="tx1"/>
                        </w14:solidFill>
                      </w14:textFill>
                    </w:rPr>
                  </w:pPr>
                  <w:r>
                    <w:rPr>
                      <w:color w:val="000000" w:themeColor="text1"/>
                      <w:kern w:val="0"/>
                      <w:sz w:val="21"/>
                      <w:highlight w:val="none"/>
                      <w14:textFill>
                        <w14:solidFill>
                          <w14:schemeClr w14:val="tx1"/>
                        </w14:solidFill>
                      </w14:textFill>
                    </w:rPr>
                    <w:t>单位</w:t>
                  </w:r>
                </w:p>
              </w:tc>
              <w:tc>
                <w:tcPr>
                  <w:tcW w:w="5824" w:type="dxa"/>
                  <w:gridSpan w:val="3"/>
                  <w:tcBorders>
                    <w:tl2br w:val="nil"/>
                    <w:tr2bl w:val="nil"/>
                  </w:tcBorders>
                  <w:vAlign w:val="center"/>
                </w:tcPr>
                <w:p w14:paraId="4DB7FDBE">
                  <w:pPr>
                    <w:bidi w:val="0"/>
                    <w:jc w:val="center"/>
                    <w:rPr>
                      <w:rFonts w:hint="default"/>
                      <w:color w:val="000000" w:themeColor="text1"/>
                      <w:kern w:val="0"/>
                      <w:sz w:val="21"/>
                      <w:highlight w:val="none"/>
                      <w14:textFill>
                        <w14:solidFill>
                          <w14:schemeClr w14:val="tx1"/>
                        </w14:solidFill>
                      </w14:textFill>
                    </w:rPr>
                  </w:pPr>
                  <w:r>
                    <w:rPr>
                      <w:color w:val="000000" w:themeColor="text1"/>
                      <w:kern w:val="0"/>
                      <w:sz w:val="21"/>
                      <w:highlight w:val="none"/>
                      <w14:textFill>
                        <w14:solidFill>
                          <w14:schemeClr w14:val="tx1"/>
                        </w14:solidFill>
                      </w14:textFill>
                    </w:rPr>
                    <w:t>耗用量</w:t>
                  </w:r>
                </w:p>
              </w:tc>
              <w:tc>
                <w:tcPr>
                  <w:tcW w:w="2395" w:type="dxa"/>
                  <w:vMerge w:val="restart"/>
                  <w:tcBorders>
                    <w:tl2br w:val="nil"/>
                    <w:tr2bl w:val="nil"/>
                  </w:tcBorders>
                  <w:vAlign w:val="center"/>
                </w:tcPr>
                <w:p w14:paraId="6C22B67C">
                  <w:pPr>
                    <w:bidi w:val="0"/>
                    <w:jc w:val="center"/>
                    <w:rPr>
                      <w:rFonts w:hint="default"/>
                      <w:color w:val="000000" w:themeColor="text1"/>
                      <w:kern w:val="0"/>
                      <w:sz w:val="21"/>
                      <w:highlight w:val="none"/>
                      <w14:textFill>
                        <w14:solidFill>
                          <w14:schemeClr w14:val="tx1"/>
                        </w14:solidFill>
                      </w14:textFill>
                    </w:rPr>
                  </w:pPr>
                  <w:r>
                    <w:rPr>
                      <w:color w:val="000000" w:themeColor="text1"/>
                      <w:kern w:val="0"/>
                      <w:sz w:val="21"/>
                      <w:highlight w:val="none"/>
                      <w14:textFill>
                        <w14:solidFill>
                          <w14:schemeClr w14:val="tx1"/>
                        </w14:solidFill>
                      </w14:textFill>
                    </w:rPr>
                    <w:t>储存形态</w:t>
                  </w:r>
                </w:p>
              </w:tc>
            </w:tr>
            <w:tr w14:paraId="3C3E0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vMerge w:val="continue"/>
                  <w:tcBorders>
                    <w:tl2br w:val="nil"/>
                    <w:tr2bl w:val="nil"/>
                  </w:tcBorders>
                  <w:vAlign w:val="center"/>
                </w:tcPr>
                <w:p w14:paraId="77E1FF52">
                  <w:pPr>
                    <w:bidi w:val="0"/>
                    <w:jc w:val="center"/>
                    <w:rPr>
                      <w:rFonts w:hint="default"/>
                      <w:color w:val="000000" w:themeColor="text1"/>
                      <w:kern w:val="0"/>
                      <w:sz w:val="21"/>
                      <w:highlight w:val="none"/>
                      <w14:textFill>
                        <w14:solidFill>
                          <w14:schemeClr w14:val="tx1"/>
                        </w14:solidFill>
                      </w14:textFill>
                    </w:rPr>
                  </w:pPr>
                </w:p>
              </w:tc>
              <w:tc>
                <w:tcPr>
                  <w:tcW w:w="3103" w:type="dxa"/>
                  <w:vMerge w:val="continue"/>
                  <w:tcBorders>
                    <w:tl2br w:val="nil"/>
                    <w:tr2bl w:val="nil"/>
                  </w:tcBorders>
                  <w:vAlign w:val="center"/>
                </w:tcPr>
                <w:p w14:paraId="4D3163D3">
                  <w:pPr>
                    <w:bidi w:val="0"/>
                    <w:jc w:val="center"/>
                    <w:rPr>
                      <w:rFonts w:hint="default"/>
                      <w:color w:val="000000" w:themeColor="text1"/>
                      <w:kern w:val="0"/>
                      <w:sz w:val="21"/>
                      <w:highlight w:val="none"/>
                      <w14:textFill>
                        <w14:solidFill>
                          <w14:schemeClr w14:val="tx1"/>
                        </w14:solidFill>
                      </w14:textFill>
                    </w:rPr>
                  </w:pPr>
                </w:p>
              </w:tc>
              <w:tc>
                <w:tcPr>
                  <w:tcW w:w="1330" w:type="dxa"/>
                  <w:vMerge w:val="continue"/>
                  <w:tcBorders>
                    <w:tl2br w:val="nil"/>
                    <w:tr2bl w:val="nil"/>
                  </w:tcBorders>
                  <w:vAlign w:val="center"/>
                </w:tcPr>
                <w:p w14:paraId="41D192A4">
                  <w:pPr>
                    <w:bidi w:val="0"/>
                    <w:jc w:val="center"/>
                    <w:rPr>
                      <w:rFonts w:hint="default"/>
                      <w:color w:val="000000" w:themeColor="text1"/>
                      <w:kern w:val="0"/>
                      <w:sz w:val="21"/>
                      <w:highlight w:val="none"/>
                      <w14:textFill>
                        <w14:solidFill>
                          <w14:schemeClr w14:val="tx1"/>
                        </w14:solidFill>
                      </w14:textFill>
                    </w:rPr>
                  </w:pPr>
                </w:p>
              </w:tc>
              <w:tc>
                <w:tcPr>
                  <w:tcW w:w="1941" w:type="dxa"/>
                  <w:tcBorders>
                    <w:tl2br w:val="nil"/>
                    <w:tr2bl w:val="nil"/>
                  </w:tcBorders>
                  <w:vAlign w:val="center"/>
                </w:tcPr>
                <w:p w14:paraId="32C13FC5">
                  <w:pPr>
                    <w:bidi w:val="0"/>
                    <w:jc w:val="center"/>
                    <w:rPr>
                      <w:rFonts w:hint="default"/>
                      <w:color w:val="000000" w:themeColor="text1"/>
                      <w:kern w:val="0"/>
                      <w:sz w:val="21"/>
                      <w:highlight w:val="none"/>
                      <w14:textFill>
                        <w14:solidFill>
                          <w14:schemeClr w14:val="tx1"/>
                        </w14:solidFill>
                      </w14:textFill>
                    </w:rPr>
                  </w:pPr>
                  <w:r>
                    <w:rPr>
                      <w:color w:val="000000" w:themeColor="text1"/>
                      <w:kern w:val="0"/>
                      <w:sz w:val="21"/>
                      <w:highlight w:val="none"/>
                      <w14:textFill>
                        <w14:solidFill>
                          <w14:schemeClr w14:val="tx1"/>
                        </w14:solidFill>
                      </w14:textFill>
                    </w:rPr>
                    <w:t>现有工程</w:t>
                  </w:r>
                </w:p>
              </w:tc>
              <w:tc>
                <w:tcPr>
                  <w:tcW w:w="1941" w:type="dxa"/>
                  <w:tcBorders>
                    <w:tl2br w:val="nil"/>
                    <w:tr2bl w:val="nil"/>
                  </w:tcBorders>
                  <w:vAlign w:val="center"/>
                </w:tcPr>
                <w:p w14:paraId="26F281CC">
                  <w:pPr>
                    <w:bidi w:val="0"/>
                    <w:jc w:val="center"/>
                    <w:rPr>
                      <w:rFonts w:hint="default"/>
                      <w:color w:val="000000" w:themeColor="text1"/>
                      <w:kern w:val="0"/>
                      <w:sz w:val="21"/>
                      <w:highlight w:val="none"/>
                      <w14:textFill>
                        <w14:solidFill>
                          <w14:schemeClr w14:val="tx1"/>
                        </w14:solidFill>
                      </w14:textFill>
                    </w:rPr>
                  </w:pPr>
                  <w:r>
                    <w:rPr>
                      <w:rFonts w:hint="eastAsia"/>
                      <w:color w:val="000000" w:themeColor="text1"/>
                      <w:kern w:val="0"/>
                      <w:sz w:val="21"/>
                      <w:highlight w:val="none"/>
                      <w:lang w:val="en-US" w:eastAsia="zh-CN"/>
                      <w14:textFill>
                        <w14:solidFill>
                          <w14:schemeClr w14:val="tx1"/>
                        </w14:solidFill>
                      </w14:textFill>
                    </w:rPr>
                    <w:t>本期</w:t>
                  </w:r>
                  <w:r>
                    <w:rPr>
                      <w:color w:val="000000" w:themeColor="text1"/>
                      <w:kern w:val="0"/>
                      <w:sz w:val="21"/>
                      <w:highlight w:val="none"/>
                      <w14:textFill>
                        <w14:solidFill>
                          <w14:schemeClr w14:val="tx1"/>
                        </w14:solidFill>
                      </w14:textFill>
                    </w:rPr>
                    <w:t>工程</w:t>
                  </w:r>
                </w:p>
              </w:tc>
              <w:tc>
                <w:tcPr>
                  <w:tcW w:w="1942" w:type="dxa"/>
                  <w:tcBorders>
                    <w:tl2br w:val="nil"/>
                    <w:tr2bl w:val="nil"/>
                  </w:tcBorders>
                  <w:vAlign w:val="center"/>
                </w:tcPr>
                <w:p w14:paraId="782F3DB3">
                  <w:pPr>
                    <w:bidi w:val="0"/>
                    <w:jc w:val="center"/>
                    <w:rPr>
                      <w:rFonts w:hint="default"/>
                      <w:color w:val="000000" w:themeColor="text1"/>
                      <w:kern w:val="0"/>
                      <w:sz w:val="21"/>
                      <w:highlight w:val="none"/>
                      <w14:textFill>
                        <w14:solidFill>
                          <w14:schemeClr w14:val="tx1"/>
                        </w14:solidFill>
                      </w14:textFill>
                    </w:rPr>
                  </w:pPr>
                  <w:r>
                    <w:rPr>
                      <w:rFonts w:hint="eastAsia"/>
                      <w:color w:val="000000" w:themeColor="text1"/>
                      <w:kern w:val="0"/>
                      <w:sz w:val="21"/>
                      <w:highlight w:val="none"/>
                      <w:lang w:val="en-US" w:eastAsia="zh-CN"/>
                      <w14:textFill>
                        <w14:solidFill>
                          <w14:schemeClr w14:val="tx1"/>
                        </w14:solidFill>
                      </w14:textFill>
                    </w:rPr>
                    <w:t>本期</w:t>
                  </w:r>
                  <w:r>
                    <w:rPr>
                      <w:color w:val="000000" w:themeColor="text1"/>
                      <w:kern w:val="0"/>
                      <w:sz w:val="21"/>
                      <w:highlight w:val="none"/>
                      <w14:textFill>
                        <w14:solidFill>
                          <w14:schemeClr w14:val="tx1"/>
                        </w14:solidFill>
                      </w14:textFill>
                    </w:rPr>
                    <w:t>扩建后全厂</w:t>
                  </w:r>
                </w:p>
              </w:tc>
              <w:tc>
                <w:tcPr>
                  <w:tcW w:w="2395" w:type="dxa"/>
                  <w:vMerge w:val="continue"/>
                  <w:tcBorders>
                    <w:tl2br w:val="nil"/>
                    <w:tr2bl w:val="nil"/>
                  </w:tcBorders>
                  <w:vAlign w:val="center"/>
                </w:tcPr>
                <w:p w14:paraId="03A76DB6">
                  <w:pPr>
                    <w:bidi w:val="0"/>
                    <w:jc w:val="center"/>
                    <w:rPr>
                      <w:rFonts w:hint="default"/>
                      <w:color w:val="000000" w:themeColor="text1"/>
                      <w:kern w:val="0"/>
                      <w:sz w:val="21"/>
                      <w:highlight w:val="none"/>
                      <w14:textFill>
                        <w14:solidFill>
                          <w14:schemeClr w14:val="tx1"/>
                        </w14:solidFill>
                      </w14:textFill>
                    </w:rPr>
                  </w:pPr>
                </w:p>
              </w:tc>
            </w:tr>
            <w:tr w14:paraId="5AE29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3426" w:type="dxa"/>
                  <w:gridSpan w:val="7"/>
                  <w:tcBorders>
                    <w:tl2br w:val="nil"/>
                    <w:tr2bl w:val="nil"/>
                  </w:tcBorders>
                  <w:vAlign w:val="center"/>
                </w:tcPr>
                <w:p w14:paraId="6EE58DC1">
                  <w:pPr>
                    <w:bidi w:val="0"/>
                    <w:jc w:val="both"/>
                    <w:rPr>
                      <w:rFonts w:hint="default"/>
                      <w:color w:val="000000" w:themeColor="text1"/>
                      <w:kern w:val="0"/>
                      <w:sz w:val="21"/>
                      <w:highlight w:val="none"/>
                      <w14:textFill>
                        <w14:solidFill>
                          <w14:schemeClr w14:val="tx1"/>
                        </w14:solidFill>
                      </w14:textFill>
                    </w:rPr>
                  </w:pPr>
                  <w:r>
                    <w:rPr>
                      <w:rFonts w:hint="default"/>
                      <w:color w:val="000000" w:themeColor="text1"/>
                      <w:kern w:val="0"/>
                      <w:sz w:val="21"/>
                      <w:highlight w:val="none"/>
                      <w14:textFill>
                        <w14:solidFill>
                          <w14:schemeClr w14:val="tx1"/>
                        </w14:solidFill>
                      </w14:textFill>
                    </w:rPr>
                    <w:t>一、原材料消耗</w:t>
                  </w:r>
                </w:p>
              </w:tc>
            </w:tr>
            <w:tr w14:paraId="5C52E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70DFB87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1</w:t>
                  </w:r>
                </w:p>
              </w:tc>
              <w:tc>
                <w:tcPr>
                  <w:tcW w:w="3103" w:type="dxa"/>
                  <w:tcBorders>
                    <w:tl2br w:val="nil"/>
                    <w:tr2bl w:val="nil"/>
                  </w:tcBorders>
                  <w:vAlign w:val="center"/>
                </w:tcPr>
                <w:p w14:paraId="4375904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粗、精金刚砂磨料</w:t>
                  </w:r>
                </w:p>
              </w:tc>
              <w:tc>
                <w:tcPr>
                  <w:tcW w:w="1330" w:type="dxa"/>
                  <w:tcBorders>
                    <w:tl2br w:val="nil"/>
                    <w:tr2bl w:val="nil"/>
                  </w:tcBorders>
                  <w:vAlign w:val="center"/>
                </w:tcPr>
                <w:p w14:paraId="6C40261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0CEE190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76DA4F4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1C9CB5B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center"/>
                </w:tcPr>
                <w:p w14:paraId="5505F81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6FBF1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774" w:type="dxa"/>
                  <w:tcBorders>
                    <w:tl2br w:val="nil"/>
                    <w:tr2bl w:val="nil"/>
                  </w:tcBorders>
                  <w:vAlign w:val="center"/>
                </w:tcPr>
                <w:p w14:paraId="028D65C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2</w:t>
                  </w:r>
                </w:p>
              </w:tc>
              <w:tc>
                <w:tcPr>
                  <w:tcW w:w="3103" w:type="dxa"/>
                  <w:tcBorders>
                    <w:tl2br w:val="nil"/>
                    <w:tr2bl w:val="nil"/>
                  </w:tcBorders>
                  <w:vAlign w:val="center"/>
                </w:tcPr>
                <w:p w14:paraId="261A736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DSL-3.6清洗剂</w:t>
                  </w:r>
                </w:p>
              </w:tc>
              <w:tc>
                <w:tcPr>
                  <w:tcW w:w="1330" w:type="dxa"/>
                  <w:tcBorders>
                    <w:tl2br w:val="nil"/>
                    <w:tr2bl w:val="nil"/>
                  </w:tcBorders>
                  <w:vAlign w:val="center"/>
                </w:tcPr>
                <w:p w14:paraId="1DEE1DC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7155ED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30DAFBD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25BCAFD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1EC2F1A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5848E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3EC864E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3</w:t>
                  </w:r>
                </w:p>
              </w:tc>
              <w:tc>
                <w:tcPr>
                  <w:tcW w:w="3103" w:type="dxa"/>
                  <w:tcBorders>
                    <w:tl2br w:val="nil"/>
                    <w:tr2bl w:val="nil"/>
                  </w:tcBorders>
                  <w:vAlign w:val="center"/>
                </w:tcPr>
                <w:p w14:paraId="11E0752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75%酒精</w:t>
                  </w:r>
                </w:p>
              </w:tc>
              <w:tc>
                <w:tcPr>
                  <w:tcW w:w="1330" w:type="dxa"/>
                  <w:tcBorders>
                    <w:tl2br w:val="nil"/>
                    <w:tr2bl w:val="nil"/>
                  </w:tcBorders>
                  <w:vAlign w:val="center"/>
                </w:tcPr>
                <w:p w14:paraId="460641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46A3F24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2BB84EF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center"/>
                </w:tcPr>
                <w:p w14:paraId="6F46472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center"/>
                </w:tcPr>
                <w:p w14:paraId="569C594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1B647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67F1129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4</w:t>
                  </w:r>
                </w:p>
              </w:tc>
              <w:tc>
                <w:tcPr>
                  <w:tcW w:w="3103" w:type="dxa"/>
                  <w:tcBorders>
                    <w:tl2br w:val="nil"/>
                    <w:tr2bl w:val="nil"/>
                  </w:tcBorders>
                  <w:vAlign w:val="center"/>
                </w:tcPr>
                <w:p w14:paraId="63F552B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无水乙醇</w:t>
                  </w:r>
                </w:p>
              </w:tc>
              <w:tc>
                <w:tcPr>
                  <w:tcW w:w="1330" w:type="dxa"/>
                  <w:tcBorders>
                    <w:tl2br w:val="nil"/>
                    <w:tr2bl w:val="nil"/>
                  </w:tcBorders>
                  <w:vAlign w:val="center"/>
                </w:tcPr>
                <w:p w14:paraId="7FB776F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2114D7D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134BD83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57E50F3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6CAF961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7DE74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196F41F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5</w:t>
                  </w:r>
                </w:p>
              </w:tc>
              <w:tc>
                <w:tcPr>
                  <w:tcW w:w="3103" w:type="dxa"/>
                  <w:tcBorders>
                    <w:tl2br w:val="nil"/>
                    <w:tr2bl w:val="nil"/>
                  </w:tcBorders>
                  <w:vAlign w:val="center"/>
                </w:tcPr>
                <w:p w14:paraId="7162BEF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无水乙醚</w:t>
                  </w:r>
                </w:p>
              </w:tc>
              <w:tc>
                <w:tcPr>
                  <w:tcW w:w="1330" w:type="dxa"/>
                  <w:tcBorders>
                    <w:tl2br w:val="nil"/>
                    <w:tr2bl w:val="nil"/>
                  </w:tcBorders>
                  <w:vAlign w:val="center"/>
                </w:tcPr>
                <w:p w14:paraId="0FC03AD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2C9BEBF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18519E6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245ADC2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4B72486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65E6F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045E8A2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6</w:t>
                  </w:r>
                </w:p>
              </w:tc>
              <w:tc>
                <w:tcPr>
                  <w:tcW w:w="3103" w:type="dxa"/>
                  <w:tcBorders>
                    <w:tl2br w:val="nil"/>
                    <w:tr2bl w:val="nil"/>
                  </w:tcBorders>
                  <w:vAlign w:val="center"/>
                </w:tcPr>
                <w:p w14:paraId="29C3C18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抛光粉</w:t>
                  </w:r>
                </w:p>
              </w:tc>
              <w:tc>
                <w:tcPr>
                  <w:tcW w:w="1330" w:type="dxa"/>
                  <w:tcBorders>
                    <w:tl2br w:val="nil"/>
                    <w:tr2bl w:val="nil"/>
                  </w:tcBorders>
                  <w:vAlign w:val="center"/>
                </w:tcPr>
                <w:p w14:paraId="116F5FC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6D9F529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7EE98C3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center"/>
                </w:tcPr>
                <w:p w14:paraId="4F5A547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center"/>
                </w:tcPr>
                <w:p w14:paraId="5F2033C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6DA62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381B2A5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7</w:t>
                  </w:r>
                </w:p>
              </w:tc>
              <w:tc>
                <w:tcPr>
                  <w:tcW w:w="3103" w:type="dxa"/>
                  <w:tcBorders>
                    <w:tl2br w:val="nil"/>
                    <w:tr2bl w:val="nil"/>
                  </w:tcBorders>
                  <w:vAlign w:val="center"/>
                </w:tcPr>
                <w:p w14:paraId="4AC2C1E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抛光液</w:t>
                  </w:r>
                </w:p>
              </w:tc>
              <w:tc>
                <w:tcPr>
                  <w:tcW w:w="1330" w:type="dxa"/>
                  <w:tcBorders>
                    <w:tl2br w:val="nil"/>
                    <w:tr2bl w:val="nil"/>
                  </w:tcBorders>
                  <w:vAlign w:val="center"/>
                </w:tcPr>
                <w:p w14:paraId="1F0A3AC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36E62E9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3A91ABB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center"/>
                </w:tcPr>
                <w:p w14:paraId="2B3465F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center"/>
                </w:tcPr>
                <w:p w14:paraId="5BA3876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0B70A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43E1450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8</w:t>
                  </w:r>
                </w:p>
              </w:tc>
              <w:tc>
                <w:tcPr>
                  <w:tcW w:w="3103" w:type="dxa"/>
                  <w:tcBorders>
                    <w:tl2br w:val="nil"/>
                    <w:tr2bl w:val="nil"/>
                  </w:tcBorders>
                  <w:vAlign w:val="center"/>
                </w:tcPr>
                <w:p w14:paraId="167757C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丙酮</w:t>
                  </w:r>
                </w:p>
              </w:tc>
              <w:tc>
                <w:tcPr>
                  <w:tcW w:w="1330" w:type="dxa"/>
                  <w:tcBorders>
                    <w:tl2br w:val="nil"/>
                    <w:tr2bl w:val="nil"/>
                  </w:tcBorders>
                  <w:vAlign w:val="center"/>
                </w:tcPr>
                <w:p w14:paraId="2ED2FB3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48BFB98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466F895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35982DA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02CE2AF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3259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7AF18FE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9</w:t>
                  </w:r>
                </w:p>
              </w:tc>
              <w:tc>
                <w:tcPr>
                  <w:tcW w:w="3103" w:type="dxa"/>
                  <w:tcBorders>
                    <w:tl2br w:val="nil"/>
                    <w:tr2bl w:val="nil"/>
                  </w:tcBorders>
                  <w:vAlign w:val="center"/>
                </w:tcPr>
                <w:p w14:paraId="1EF5A45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金刚砂</w:t>
                  </w:r>
                </w:p>
              </w:tc>
              <w:tc>
                <w:tcPr>
                  <w:tcW w:w="1330" w:type="dxa"/>
                  <w:tcBorders>
                    <w:tl2br w:val="nil"/>
                    <w:tr2bl w:val="nil"/>
                  </w:tcBorders>
                  <w:vAlign w:val="center"/>
                </w:tcPr>
                <w:p w14:paraId="1FC2447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68C3D01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7CD3EBB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6A41633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23CD81A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14614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774" w:type="dxa"/>
                  <w:tcBorders>
                    <w:tl2br w:val="nil"/>
                    <w:tr2bl w:val="nil"/>
                  </w:tcBorders>
                  <w:vAlign w:val="center"/>
                </w:tcPr>
                <w:p w14:paraId="48D2B02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3103" w:type="dxa"/>
                  <w:tcBorders>
                    <w:tl2br w:val="nil"/>
                    <w:tr2bl w:val="nil"/>
                  </w:tcBorders>
                  <w:vAlign w:val="center"/>
                </w:tcPr>
                <w:p w14:paraId="45C69E1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切削液</w:t>
                  </w:r>
                </w:p>
              </w:tc>
              <w:tc>
                <w:tcPr>
                  <w:tcW w:w="1330" w:type="dxa"/>
                  <w:tcBorders>
                    <w:tl2br w:val="nil"/>
                    <w:tr2bl w:val="nil"/>
                  </w:tcBorders>
                  <w:vAlign w:val="center"/>
                </w:tcPr>
                <w:p w14:paraId="1A7EF58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6898BF2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7648B81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3ABD6EB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3566B40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4E353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774" w:type="dxa"/>
                  <w:tcBorders>
                    <w:tl2br w:val="nil"/>
                    <w:tr2bl w:val="nil"/>
                  </w:tcBorders>
                  <w:vAlign w:val="center"/>
                </w:tcPr>
                <w:p w14:paraId="7912C43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3103" w:type="dxa"/>
                  <w:tcBorders>
                    <w:tl2br w:val="nil"/>
                    <w:tr2bl w:val="nil"/>
                  </w:tcBorders>
                  <w:vAlign w:val="center"/>
                </w:tcPr>
                <w:p w14:paraId="2BAA9A5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全合成玻璃磨削液</w:t>
                  </w:r>
                </w:p>
              </w:tc>
              <w:tc>
                <w:tcPr>
                  <w:tcW w:w="1330" w:type="dxa"/>
                  <w:tcBorders>
                    <w:tl2br w:val="nil"/>
                    <w:tr2bl w:val="nil"/>
                  </w:tcBorders>
                  <w:vAlign w:val="center"/>
                </w:tcPr>
                <w:p w14:paraId="54106BF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2F9A9E9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5EB4628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0FC6BE4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7259AFD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2C59A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774" w:type="dxa"/>
                  <w:tcBorders>
                    <w:tl2br w:val="nil"/>
                    <w:tr2bl w:val="nil"/>
                  </w:tcBorders>
                  <w:vAlign w:val="center"/>
                </w:tcPr>
                <w:p w14:paraId="235F021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3103" w:type="dxa"/>
                  <w:tcBorders>
                    <w:tl2br w:val="nil"/>
                    <w:tr2bl w:val="nil"/>
                  </w:tcBorders>
                  <w:vAlign w:val="center"/>
                </w:tcPr>
                <w:p w14:paraId="3AD540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切削油</w:t>
                  </w:r>
                </w:p>
              </w:tc>
              <w:tc>
                <w:tcPr>
                  <w:tcW w:w="1330" w:type="dxa"/>
                  <w:tcBorders>
                    <w:tl2br w:val="nil"/>
                    <w:tr2bl w:val="nil"/>
                  </w:tcBorders>
                  <w:vAlign w:val="center"/>
                </w:tcPr>
                <w:p w14:paraId="6FDDA1A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57EBDF0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030E095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5A5093D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1692877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4154A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4E120D7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3103" w:type="dxa"/>
                  <w:tcBorders>
                    <w:tl2br w:val="nil"/>
                    <w:tr2bl w:val="nil"/>
                  </w:tcBorders>
                  <w:vAlign w:val="center"/>
                </w:tcPr>
                <w:p w14:paraId="65FF9EC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冷却液</w:t>
                  </w:r>
                </w:p>
              </w:tc>
              <w:tc>
                <w:tcPr>
                  <w:tcW w:w="1330" w:type="dxa"/>
                  <w:tcBorders>
                    <w:tl2br w:val="nil"/>
                    <w:tr2bl w:val="nil"/>
                  </w:tcBorders>
                  <w:vAlign w:val="center"/>
                </w:tcPr>
                <w:p w14:paraId="022BFBA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1386473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72E06C5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1307A8A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3C87EE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455B9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42FBC28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3103" w:type="dxa"/>
                  <w:tcBorders>
                    <w:tl2br w:val="nil"/>
                    <w:tr2bl w:val="nil"/>
                  </w:tcBorders>
                  <w:vAlign w:val="center"/>
                </w:tcPr>
                <w:p w14:paraId="0F03AD0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NOA61胶水</w:t>
                  </w:r>
                </w:p>
              </w:tc>
              <w:tc>
                <w:tcPr>
                  <w:tcW w:w="1330" w:type="dxa"/>
                  <w:tcBorders>
                    <w:tl2br w:val="nil"/>
                    <w:tr2bl w:val="nil"/>
                  </w:tcBorders>
                  <w:vAlign w:val="center"/>
                </w:tcPr>
                <w:p w14:paraId="596C981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1941" w:type="dxa"/>
                  <w:tcBorders>
                    <w:tl2br w:val="nil"/>
                    <w:tr2bl w:val="nil"/>
                  </w:tcBorders>
                  <w:vAlign w:val="center"/>
                </w:tcPr>
                <w:p w14:paraId="616D486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6DF6A20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center"/>
                </w:tcPr>
                <w:p w14:paraId="6AA81C1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6B016CB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3D3FD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17FC1DC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3103" w:type="dxa"/>
                  <w:tcBorders>
                    <w:tl2br w:val="nil"/>
                    <w:tr2bl w:val="nil"/>
                  </w:tcBorders>
                  <w:vAlign w:val="center"/>
                </w:tcPr>
                <w:p w14:paraId="7E2A0E7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光学玻璃</w:t>
                  </w:r>
                </w:p>
              </w:tc>
              <w:tc>
                <w:tcPr>
                  <w:tcW w:w="1330" w:type="dxa"/>
                  <w:tcBorders>
                    <w:tl2br w:val="nil"/>
                    <w:tr2bl w:val="nil"/>
                  </w:tcBorders>
                  <w:vAlign w:val="center"/>
                </w:tcPr>
                <w:p w14:paraId="6154072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005D9F8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7BD34A9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2A3A931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4D54805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48293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774" w:type="dxa"/>
                  <w:tcBorders>
                    <w:tl2br w:val="nil"/>
                    <w:tr2bl w:val="nil"/>
                  </w:tcBorders>
                  <w:vAlign w:val="center"/>
                </w:tcPr>
                <w:p w14:paraId="4110647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3103" w:type="dxa"/>
                  <w:tcBorders>
                    <w:tl2br w:val="nil"/>
                    <w:tr2bl w:val="nil"/>
                  </w:tcBorders>
                  <w:vAlign w:val="center"/>
                </w:tcPr>
                <w:p w14:paraId="42BEA93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蜂蜡</w:t>
                  </w:r>
                </w:p>
              </w:tc>
              <w:tc>
                <w:tcPr>
                  <w:tcW w:w="1330" w:type="dxa"/>
                  <w:tcBorders>
                    <w:tl2br w:val="nil"/>
                    <w:tr2bl w:val="nil"/>
                  </w:tcBorders>
                  <w:vAlign w:val="center"/>
                </w:tcPr>
                <w:p w14:paraId="1575B8C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48A7A77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578A249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center"/>
                </w:tcPr>
                <w:p w14:paraId="34D61DA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34861CA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13986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774" w:type="dxa"/>
                  <w:tcBorders>
                    <w:tl2br w:val="nil"/>
                    <w:tr2bl w:val="nil"/>
                  </w:tcBorders>
                  <w:vAlign w:val="center"/>
                </w:tcPr>
                <w:p w14:paraId="7C495DC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17</w:t>
                  </w:r>
                </w:p>
              </w:tc>
              <w:tc>
                <w:tcPr>
                  <w:tcW w:w="3103" w:type="dxa"/>
                  <w:tcBorders>
                    <w:tl2br w:val="nil"/>
                    <w:tr2bl w:val="nil"/>
                  </w:tcBorders>
                  <w:vAlign w:val="center"/>
                </w:tcPr>
                <w:p w14:paraId="5704D95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进口胶</w:t>
                  </w:r>
                </w:p>
              </w:tc>
              <w:tc>
                <w:tcPr>
                  <w:tcW w:w="1330" w:type="dxa"/>
                  <w:tcBorders>
                    <w:tl2br w:val="nil"/>
                    <w:tr2bl w:val="nil"/>
                  </w:tcBorders>
                  <w:vAlign w:val="center"/>
                </w:tcPr>
                <w:p w14:paraId="1465673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3144E04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48C40EF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center"/>
                </w:tcPr>
                <w:p w14:paraId="0089493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7C7C438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05003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774" w:type="dxa"/>
                  <w:tcBorders>
                    <w:tl2br w:val="nil"/>
                    <w:tr2bl w:val="nil"/>
                  </w:tcBorders>
                  <w:vAlign w:val="center"/>
                </w:tcPr>
                <w:p w14:paraId="67300CA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w:t>
                  </w:r>
                </w:p>
              </w:tc>
              <w:tc>
                <w:tcPr>
                  <w:tcW w:w="3103" w:type="dxa"/>
                  <w:tcBorders>
                    <w:tl2br w:val="nil"/>
                    <w:tr2bl w:val="nil"/>
                  </w:tcBorders>
                  <w:vAlign w:val="center"/>
                </w:tcPr>
                <w:p w14:paraId="3F181AB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金刚石钻石液</w:t>
                  </w:r>
                </w:p>
              </w:tc>
              <w:tc>
                <w:tcPr>
                  <w:tcW w:w="1330" w:type="dxa"/>
                  <w:tcBorders>
                    <w:tl2br w:val="nil"/>
                    <w:tr2bl w:val="nil"/>
                  </w:tcBorders>
                  <w:vAlign w:val="center"/>
                </w:tcPr>
                <w:p w14:paraId="60513E3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57D4CA4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78DB804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center"/>
                </w:tcPr>
                <w:p w14:paraId="543F440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center"/>
                </w:tcPr>
                <w:p w14:paraId="05055B6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75B06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4" w:type="dxa"/>
                  <w:tcBorders>
                    <w:tl2br w:val="nil"/>
                    <w:tr2bl w:val="nil"/>
                  </w:tcBorders>
                  <w:vAlign w:val="center"/>
                </w:tcPr>
                <w:p w14:paraId="08B16F5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19</w:t>
                  </w:r>
                </w:p>
              </w:tc>
              <w:tc>
                <w:tcPr>
                  <w:tcW w:w="3103" w:type="dxa"/>
                  <w:tcBorders>
                    <w:tl2br w:val="nil"/>
                    <w:tr2bl w:val="nil"/>
                  </w:tcBorders>
                  <w:vAlign w:val="center"/>
                </w:tcPr>
                <w:p w14:paraId="61F370A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SiO</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2</w:t>
                  </w:r>
                </w:p>
              </w:tc>
              <w:tc>
                <w:tcPr>
                  <w:tcW w:w="1330" w:type="dxa"/>
                  <w:tcBorders>
                    <w:tl2br w:val="nil"/>
                    <w:tr2bl w:val="nil"/>
                  </w:tcBorders>
                  <w:vAlign w:val="center"/>
                </w:tcPr>
                <w:p w14:paraId="424D8D0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3C840DE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08E576B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57206C4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389032F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5B01E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174D06C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3103" w:type="dxa"/>
                  <w:tcBorders>
                    <w:tl2br w:val="nil"/>
                    <w:tr2bl w:val="nil"/>
                  </w:tcBorders>
                  <w:vAlign w:val="center"/>
                </w:tcPr>
                <w:p w14:paraId="72DB2BE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Ta</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position w:val="2"/>
                      <w:sz w:val="21"/>
                      <w:szCs w:val="21"/>
                      <w:highlight w:val="none"/>
                      <w:vertAlign w:val="baseline"/>
                      <w14:textFill>
                        <w14:solidFill>
                          <w14:schemeClr w14:val="tx1"/>
                        </w14:solidFill>
                      </w14:textFill>
                    </w:rPr>
                    <w:t>O</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5</w:t>
                  </w:r>
                </w:p>
              </w:tc>
              <w:tc>
                <w:tcPr>
                  <w:tcW w:w="1330" w:type="dxa"/>
                  <w:tcBorders>
                    <w:tl2br w:val="nil"/>
                    <w:tr2bl w:val="nil"/>
                  </w:tcBorders>
                  <w:vAlign w:val="center"/>
                </w:tcPr>
                <w:p w14:paraId="3B6ABDB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w:t>
                  </w:r>
                </w:p>
              </w:tc>
              <w:tc>
                <w:tcPr>
                  <w:tcW w:w="1941" w:type="dxa"/>
                  <w:tcBorders>
                    <w:tl2br w:val="nil"/>
                    <w:tr2bl w:val="nil"/>
                  </w:tcBorders>
                  <w:vAlign w:val="center"/>
                </w:tcPr>
                <w:p w14:paraId="01ECFA9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7010DF1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098BD2C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7EA2C1F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0F21D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31C77BC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21</w:t>
                  </w:r>
                </w:p>
              </w:tc>
              <w:tc>
                <w:tcPr>
                  <w:tcW w:w="3103" w:type="dxa"/>
                  <w:tcBorders>
                    <w:tl2br w:val="nil"/>
                    <w:tr2bl w:val="nil"/>
                  </w:tcBorders>
                  <w:vAlign w:val="top"/>
                </w:tcPr>
                <w:p w14:paraId="63A454A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氧化铋（Bi</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30" w:type="dxa"/>
                  <w:tcBorders>
                    <w:tl2br w:val="nil"/>
                    <w:tr2bl w:val="nil"/>
                  </w:tcBorders>
                  <w:vAlign w:val="top"/>
                </w:tcPr>
                <w:p w14:paraId="5CAC4ED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top"/>
                </w:tcPr>
                <w:p w14:paraId="4DE62E0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29536A6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top"/>
                </w:tcPr>
                <w:p w14:paraId="66EC9AB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top"/>
                </w:tcPr>
                <w:p w14:paraId="402D100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1011A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29DC034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w:t>
                  </w:r>
                </w:p>
              </w:tc>
              <w:tc>
                <w:tcPr>
                  <w:tcW w:w="3103" w:type="dxa"/>
                  <w:tcBorders>
                    <w:tl2br w:val="nil"/>
                    <w:tr2bl w:val="nil"/>
                  </w:tcBorders>
                  <w:vAlign w:val="top"/>
                </w:tcPr>
                <w:p w14:paraId="700DBBC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氧化硼（B</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30" w:type="dxa"/>
                  <w:tcBorders>
                    <w:tl2br w:val="nil"/>
                    <w:tr2bl w:val="nil"/>
                  </w:tcBorders>
                  <w:vAlign w:val="top"/>
                </w:tcPr>
                <w:p w14:paraId="712FFF0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top"/>
                </w:tcPr>
                <w:p w14:paraId="45D4D27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0FED4A2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top"/>
                </w:tcPr>
                <w:p w14:paraId="6826449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top"/>
                </w:tcPr>
                <w:p w14:paraId="1F11127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0D866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2B84584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23</w:t>
                  </w:r>
                </w:p>
              </w:tc>
              <w:tc>
                <w:tcPr>
                  <w:tcW w:w="3103" w:type="dxa"/>
                  <w:tcBorders>
                    <w:tl2br w:val="nil"/>
                    <w:tr2bl w:val="nil"/>
                  </w:tcBorders>
                  <w:vAlign w:val="top"/>
                </w:tcPr>
                <w:p w14:paraId="73CF836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氧化铁（Fe</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30" w:type="dxa"/>
                  <w:tcBorders>
                    <w:tl2br w:val="nil"/>
                    <w:tr2bl w:val="nil"/>
                  </w:tcBorders>
                  <w:vAlign w:val="top"/>
                </w:tcPr>
                <w:p w14:paraId="5E71B06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top"/>
                </w:tcPr>
                <w:p w14:paraId="7890C70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1CEA1AA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top"/>
                </w:tcPr>
                <w:p w14:paraId="2DDCEE4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top"/>
                </w:tcPr>
                <w:p w14:paraId="0530B23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496BD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6E3E209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w:t>
                  </w:r>
                </w:p>
              </w:tc>
              <w:tc>
                <w:tcPr>
                  <w:tcW w:w="3103" w:type="dxa"/>
                  <w:tcBorders>
                    <w:tl2br w:val="nil"/>
                    <w:tr2bl w:val="nil"/>
                  </w:tcBorders>
                  <w:vAlign w:val="top"/>
                </w:tcPr>
                <w:p w14:paraId="4C96A96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TiO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330" w:type="dxa"/>
                  <w:tcBorders>
                    <w:tl2br w:val="nil"/>
                    <w:tr2bl w:val="nil"/>
                  </w:tcBorders>
                  <w:vAlign w:val="top"/>
                </w:tcPr>
                <w:p w14:paraId="2B6CDB0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1941" w:type="dxa"/>
                  <w:tcBorders>
                    <w:tl2br w:val="nil"/>
                    <w:tr2bl w:val="nil"/>
                  </w:tcBorders>
                  <w:vAlign w:val="top"/>
                </w:tcPr>
                <w:p w14:paraId="6DF1F0D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182E213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top"/>
                </w:tcPr>
                <w:p w14:paraId="4A58710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top"/>
                </w:tcPr>
                <w:p w14:paraId="7A09664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73F3A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500DF0A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w:t>
                  </w:r>
                </w:p>
              </w:tc>
              <w:tc>
                <w:tcPr>
                  <w:tcW w:w="3103" w:type="dxa"/>
                  <w:tcBorders>
                    <w:tl2br w:val="nil"/>
                    <w:tr2bl w:val="nil"/>
                  </w:tcBorders>
                  <w:vAlign w:val="top"/>
                </w:tcPr>
                <w:p w14:paraId="1784C50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Al</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330" w:type="dxa"/>
                  <w:tcBorders>
                    <w:tl2br w:val="nil"/>
                    <w:tr2bl w:val="nil"/>
                  </w:tcBorders>
                  <w:vAlign w:val="top"/>
                </w:tcPr>
                <w:p w14:paraId="56FB4C6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1941" w:type="dxa"/>
                  <w:tcBorders>
                    <w:tl2br w:val="nil"/>
                    <w:tr2bl w:val="nil"/>
                  </w:tcBorders>
                  <w:vAlign w:val="top"/>
                </w:tcPr>
                <w:p w14:paraId="0EB877B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406F911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top"/>
                </w:tcPr>
                <w:p w14:paraId="3986494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top"/>
                </w:tcPr>
                <w:p w14:paraId="7FCA81D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01DCC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75F4E46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26</w:t>
                  </w:r>
                </w:p>
              </w:tc>
              <w:tc>
                <w:tcPr>
                  <w:tcW w:w="3103" w:type="dxa"/>
                  <w:tcBorders>
                    <w:tl2br w:val="nil"/>
                    <w:tr2bl w:val="nil"/>
                  </w:tcBorders>
                  <w:vAlign w:val="top"/>
                </w:tcPr>
                <w:p w14:paraId="3BF350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HfO2</w:t>
                  </w:r>
                </w:p>
              </w:tc>
              <w:tc>
                <w:tcPr>
                  <w:tcW w:w="1330" w:type="dxa"/>
                  <w:tcBorders>
                    <w:tl2br w:val="nil"/>
                    <w:tr2bl w:val="nil"/>
                  </w:tcBorders>
                  <w:vAlign w:val="top"/>
                </w:tcPr>
                <w:p w14:paraId="1AAF85D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1941" w:type="dxa"/>
                  <w:tcBorders>
                    <w:tl2br w:val="nil"/>
                    <w:tr2bl w:val="nil"/>
                  </w:tcBorders>
                  <w:vAlign w:val="top"/>
                </w:tcPr>
                <w:p w14:paraId="286F351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03FC402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top"/>
                </w:tcPr>
                <w:p w14:paraId="1C5BE4D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top"/>
                </w:tcPr>
                <w:p w14:paraId="23B3449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5CBB8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5814CB5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w:t>
                  </w:r>
                </w:p>
              </w:tc>
              <w:tc>
                <w:tcPr>
                  <w:tcW w:w="3103" w:type="dxa"/>
                  <w:tcBorders>
                    <w:tl2br w:val="nil"/>
                    <w:tr2bl w:val="nil"/>
                  </w:tcBorders>
                  <w:vAlign w:val="top"/>
                </w:tcPr>
                <w:p w14:paraId="6600098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MgF</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330" w:type="dxa"/>
                  <w:tcBorders>
                    <w:tl2br w:val="nil"/>
                    <w:tr2bl w:val="nil"/>
                  </w:tcBorders>
                  <w:vAlign w:val="top"/>
                </w:tcPr>
                <w:p w14:paraId="12B4A12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1941" w:type="dxa"/>
                  <w:tcBorders>
                    <w:tl2br w:val="nil"/>
                    <w:tr2bl w:val="nil"/>
                  </w:tcBorders>
                  <w:vAlign w:val="top"/>
                </w:tcPr>
                <w:p w14:paraId="2A0DAEE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68A1565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2" w:type="dxa"/>
                  <w:tcBorders>
                    <w:tl2br w:val="nil"/>
                    <w:tr2bl w:val="nil"/>
                  </w:tcBorders>
                  <w:vAlign w:val="top"/>
                </w:tcPr>
                <w:p w14:paraId="23116E3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top"/>
                </w:tcPr>
                <w:p w14:paraId="3437413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r>
            <w:tr w14:paraId="0E805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6D6169C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28</w:t>
                  </w:r>
                </w:p>
              </w:tc>
              <w:tc>
                <w:tcPr>
                  <w:tcW w:w="3103" w:type="dxa"/>
                  <w:tcBorders>
                    <w:tl2br w:val="nil"/>
                    <w:tr2bl w:val="nil"/>
                  </w:tcBorders>
                  <w:vAlign w:val="top"/>
                </w:tcPr>
                <w:p w14:paraId="033787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硫酸</w:t>
                  </w:r>
                </w:p>
              </w:tc>
              <w:tc>
                <w:tcPr>
                  <w:tcW w:w="1330" w:type="dxa"/>
                  <w:tcBorders>
                    <w:tl2br w:val="nil"/>
                    <w:tr2bl w:val="nil"/>
                  </w:tcBorders>
                  <w:vAlign w:val="top"/>
                </w:tcPr>
                <w:p w14:paraId="2F07038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top"/>
                </w:tcPr>
                <w:p w14:paraId="791F263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top"/>
                </w:tcPr>
                <w:p w14:paraId="2B390B9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top"/>
                </w:tcPr>
                <w:p w14:paraId="21C1EFC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top"/>
                </w:tcPr>
                <w:p w14:paraId="2846EFA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5C30B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095F684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29</w:t>
                  </w:r>
                </w:p>
              </w:tc>
              <w:tc>
                <w:tcPr>
                  <w:tcW w:w="3103" w:type="dxa"/>
                  <w:tcBorders>
                    <w:tl2br w:val="nil"/>
                    <w:tr2bl w:val="nil"/>
                  </w:tcBorders>
                  <w:vAlign w:val="top"/>
                </w:tcPr>
                <w:p w14:paraId="1A2CD99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AZ光刻胶</w:t>
                  </w:r>
                </w:p>
              </w:tc>
              <w:tc>
                <w:tcPr>
                  <w:tcW w:w="1330" w:type="dxa"/>
                  <w:tcBorders>
                    <w:tl2br w:val="nil"/>
                    <w:tr2bl w:val="nil"/>
                  </w:tcBorders>
                  <w:vAlign w:val="top"/>
                </w:tcPr>
                <w:p w14:paraId="57C4232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top"/>
                </w:tcPr>
                <w:p w14:paraId="57C067A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0B6ADA9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top"/>
                </w:tcPr>
                <w:p w14:paraId="3B8DA1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top"/>
                </w:tcPr>
                <w:p w14:paraId="05C93A5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523EA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5495148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w:t>
                  </w:r>
                </w:p>
              </w:tc>
              <w:tc>
                <w:tcPr>
                  <w:tcW w:w="3103" w:type="dxa"/>
                  <w:tcBorders>
                    <w:tl2br w:val="nil"/>
                    <w:tr2bl w:val="nil"/>
                  </w:tcBorders>
                  <w:vAlign w:val="top"/>
                </w:tcPr>
                <w:p w14:paraId="6BFD4A9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基片</w:t>
                  </w:r>
                </w:p>
              </w:tc>
              <w:tc>
                <w:tcPr>
                  <w:tcW w:w="1330" w:type="dxa"/>
                  <w:tcBorders>
                    <w:tl2br w:val="nil"/>
                    <w:tr2bl w:val="nil"/>
                  </w:tcBorders>
                  <w:vAlign w:val="top"/>
                </w:tcPr>
                <w:p w14:paraId="221E65A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pcs/a</w:t>
                  </w:r>
                </w:p>
              </w:tc>
              <w:tc>
                <w:tcPr>
                  <w:tcW w:w="1941" w:type="dxa"/>
                  <w:tcBorders>
                    <w:tl2br w:val="nil"/>
                    <w:tr2bl w:val="nil"/>
                  </w:tcBorders>
                  <w:vAlign w:val="top"/>
                </w:tcPr>
                <w:p w14:paraId="0571057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65445FE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top"/>
                </w:tcPr>
                <w:p w14:paraId="2A84093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top"/>
                </w:tcPr>
                <w:p w14:paraId="78324C1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固体</w:t>
                  </w:r>
                </w:p>
              </w:tc>
            </w:tr>
            <w:tr w14:paraId="26C30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1E4E23C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31</w:t>
                  </w:r>
                </w:p>
              </w:tc>
              <w:tc>
                <w:tcPr>
                  <w:tcW w:w="3103" w:type="dxa"/>
                  <w:tcBorders>
                    <w:tl2br w:val="nil"/>
                    <w:tr2bl w:val="nil"/>
                  </w:tcBorders>
                  <w:vAlign w:val="center"/>
                </w:tcPr>
                <w:p w14:paraId="2EE4125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显影液2.38% 四甲基氢氧化铵显影液</w:t>
                  </w:r>
                </w:p>
              </w:tc>
              <w:tc>
                <w:tcPr>
                  <w:tcW w:w="1330" w:type="dxa"/>
                  <w:tcBorders>
                    <w:tl2br w:val="nil"/>
                    <w:tr2bl w:val="nil"/>
                  </w:tcBorders>
                  <w:vAlign w:val="center"/>
                </w:tcPr>
                <w:p w14:paraId="083BB8F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0A4D1FE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705ECED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614989B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center"/>
                </w:tcPr>
                <w:p w14:paraId="0BC2982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7F4E5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2CB5A19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32</w:t>
                  </w:r>
                </w:p>
              </w:tc>
              <w:tc>
                <w:tcPr>
                  <w:tcW w:w="3103" w:type="dxa"/>
                  <w:tcBorders>
                    <w:tl2br w:val="nil"/>
                    <w:tr2bl w:val="nil"/>
                  </w:tcBorders>
                  <w:vAlign w:val="center"/>
                </w:tcPr>
                <w:p w14:paraId="2AEC241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增粘剂六甲基二硅杂氮烷</w:t>
                  </w:r>
                </w:p>
              </w:tc>
              <w:tc>
                <w:tcPr>
                  <w:tcW w:w="1330" w:type="dxa"/>
                  <w:tcBorders>
                    <w:tl2br w:val="nil"/>
                    <w:tr2bl w:val="nil"/>
                  </w:tcBorders>
                  <w:vAlign w:val="center"/>
                </w:tcPr>
                <w:p w14:paraId="02DB80C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3F1AF88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center"/>
                </w:tcPr>
                <w:p w14:paraId="2CE367B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0C9B353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21BBA65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3D41A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1625EF5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33</w:t>
                  </w:r>
                </w:p>
              </w:tc>
              <w:tc>
                <w:tcPr>
                  <w:tcW w:w="3103" w:type="dxa"/>
                  <w:tcBorders>
                    <w:tl2br w:val="nil"/>
                    <w:tr2bl w:val="nil"/>
                  </w:tcBorders>
                  <w:vAlign w:val="center"/>
                </w:tcPr>
                <w:p w14:paraId="6F66549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稀释剂1-2-丙二醇甲醚醋酸酯</w:t>
                  </w:r>
                </w:p>
              </w:tc>
              <w:tc>
                <w:tcPr>
                  <w:tcW w:w="1330" w:type="dxa"/>
                  <w:tcBorders>
                    <w:tl2br w:val="nil"/>
                    <w:tr2bl w:val="nil"/>
                  </w:tcBorders>
                  <w:vAlign w:val="center"/>
                </w:tcPr>
                <w:p w14:paraId="000016B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7BBE8BF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0CB8EBE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225B862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4F62EFC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5FD17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23666A3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34</w:t>
                  </w:r>
                </w:p>
              </w:tc>
              <w:tc>
                <w:tcPr>
                  <w:tcW w:w="3103" w:type="dxa"/>
                  <w:tcBorders>
                    <w:tl2br w:val="nil"/>
                    <w:tr2bl w:val="nil"/>
                  </w:tcBorders>
                  <w:vAlign w:val="center"/>
                </w:tcPr>
                <w:p w14:paraId="5A9F884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氮气</w:t>
                  </w:r>
                </w:p>
              </w:tc>
              <w:tc>
                <w:tcPr>
                  <w:tcW w:w="1330" w:type="dxa"/>
                  <w:tcBorders>
                    <w:tl2br w:val="nil"/>
                    <w:tr2bl w:val="nil"/>
                  </w:tcBorders>
                  <w:vAlign w:val="center"/>
                </w:tcPr>
                <w:p w14:paraId="58AC42D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05EEE28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38715B9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4C8AAD6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4D1D94C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气体</w:t>
                  </w:r>
                </w:p>
              </w:tc>
            </w:tr>
            <w:tr w14:paraId="137EB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6FB54FF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35</w:t>
                  </w:r>
                </w:p>
              </w:tc>
              <w:tc>
                <w:tcPr>
                  <w:tcW w:w="3103" w:type="dxa"/>
                  <w:tcBorders>
                    <w:tl2br w:val="nil"/>
                    <w:tr2bl w:val="nil"/>
                  </w:tcBorders>
                  <w:vAlign w:val="center"/>
                </w:tcPr>
                <w:p w14:paraId="247CD0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氩气</w:t>
                  </w:r>
                </w:p>
              </w:tc>
              <w:tc>
                <w:tcPr>
                  <w:tcW w:w="1330" w:type="dxa"/>
                  <w:tcBorders>
                    <w:tl2br w:val="nil"/>
                    <w:tr2bl w:val="nil"/>
                  </w:tcBorders>
                  <w:vAlign w:val="center"/>
                </w:tcPr>
                <w:p w14:paraId="03F25C7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1B5F411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6401D9F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7ED81F1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0C79002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气体</w:t>
                  </w:r>
                </w:p>
              </w:tc>
            </w:tr>
            <w:tr w14:paraId="590A7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63E2103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36</w:t>
                  </w:r>
                </w:p>
              </w:tc>
              <w:tc>
                <w:tcPr>
                  <w:tcW w:w="3103" w:type="dxa"/>
                  <w:tcBorders>
                    <w:tl2br w:val="nil"/>
                    <w:tr2bl w:val="nil"/>
                  </w:tcBorders>
                  <w:vAlign w:val="center"/>
                </w:tcPr>
                <w:p w14:paraId="239D5F8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氧气</w:t>
                  </w:r>
                </w:p>
              </w:tc>
              <w:tc>
                <w:tcPr>
                  <w:tcW w:w="1330" w:type="dxa"/>
                  <w:tcBorders>
                    <w:tl2br w:val="nil"/>
                    <w:tr2bl w:val="nil"/>
                  </w:tcBorders>
                  <w:vAlign w:val="center"/>
                </w:tcPr>
                <w:p w14:paraId="2B6C712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0E75E82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1939444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5329C40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00BE2B3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气体</w:t>
                  </w:r>
                </w:p>
              </w:tc>
            </w:tr>
            <w:tr w14:paraId="5E48D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166037E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37</w:t>
                  </w:r>
                </w:p>
              </w:tc>
              <w:tc>
                <w:tcPr>
                  <w:tcW w:w="3103" w:type="dxa"/>
                  <w:tcBorders>
                    <w:tl2br w:val="nil"/>
                    <w:tr2bl w:val="nil"/>
                  </w:tcBorders>
                  <w:vAlign w:val="center"/>
                </w:tcPr>
                <w:p w14:paraId="6D234DD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清洁胶</w:t>
                  </w:r>
                </w:p>
              </w:tc>
              <w:tc>
                <w:tcPr>
                  <w:tcW w:w="1330" w:type="dxa"/>
                  <w:tcBorders>
                    <w:tl2br w:val="nil"/>
                    <w:tr2bl w:val="nil"/>
                  </w:tcBorders>
                  <w:vAlign w:val="center"/>
                </w:tcPr>
                <w:p w14:paraId="0F73A49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2F94A32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561B75A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7E88DB4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62D364C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2FC5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5492D65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38</w:t>
                  </w:r>
                </w:p>
              </w:tc>
              <w:tc>
                <w:tcPr>
                  <w:tcW w:w="3103" w:type="dxa"/>
                  <w:tcBorders>
                    <w:tl2br w:val="nil"/>
                    <w:tr2bl w:val="nil"/>
                  </w:tcBorders>
                  <w:vAlign w:val="center"/>
                </w:tcPr>
                <w:p w14:paraId="1CBC283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highlight w:val="none"/>
                      <w14:textFill>
                        <w14:solidFill>
                          <w14:schemeClr w14:val="tx1"/>
                        </w14:solidFill>
                      </w14:textFill>
                    </w:rPr>
                    <w:t>N-甲基吡咯烷酮</w:t>
                  </w:r>
                </w:p>
              </w:tc>
              <w:tc>
                <w:tcPr>
                  <w:tcW w:w="1330" w:type="dxa"/>
                  <w:tcBorders>
                    <w:tl2br w:val="nil"/>
                    <w:tr2bl w:val="nil"/>
                  </w:tcBorders>
                  <w:vAlign w:val="center"/>
                </w:tcPr>
                <w:p w14:paraId="21B2F59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1E15531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4CC52E6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3735F25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38F58AB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76C63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7195E1A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39</w:t>
                  </w:r>
                </w:p>
              </w:tc>
              <w:tc>
                <w:tcPr>
                  <w:tcW w:w="3103" w:type="dxa"/>
                  <w:tcBorders>
                    <w:tl2br w:val="nil"/>
                    <w:tr2bl w:val="nil"/>
                  </w:tcBorders>
                  <w:vAlign w:val="center"/>
                </w:tcPr>
                <w:p w14:paraId="7459D2F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氢氟酸</w:t>
                  </w:r>
                </w:p>
              </w:tc>
              <w:tc>
                <w:tcPr>
                  <w:tcW w:w="1330" w:type="dxa"/>
                  <w:tcBorders>
                    <w:tl2br w:val="nil"/>
                    <w:tr2bl w:val="nil"/>
                  </w:tcBorders>
                  <w:vAlign w:val="center"/>
                </w:tcPr>
                <w:p w14:paraId="7C05F66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2E03BB7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7C0A214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3B4E3B0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2AFCB5E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65A58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30BDA3B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40</w:t>
                  </w:r>
                </w:p>
              </w:tc>
              <w:tc>
                <w:tcPr>
                  <w:tcW w:w="3103" w:type="dxa"/>
                  <w:tcBorders>
                    <w:tl2br w:val="nil"/>
                    <w:tr2bl w:val="nil"/>
                  </w:tcBorders>
                  <w:vAlign w:val="center"/>
                </w:tcPr>
                <w:p w14:paraId="0730FC3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highlight w:val="none"/>
                      <w14:textFill>
                        <w14:solidFill>
                          <w14:schemeClr w14:val="tx1"/>
                        </w14:solidFill>
                      </w14:textFill>
                    </w:rPr>
                    <w:t>硝酸铈铵</w:t>
                  </w:r>
                </w:p>
              </w:tc>
              <w:tc>
                <w:tcPr>
                  <w:tcW w:w="1330" w:type="dxa"/>
                  <w:tcBorders>
                    <w:tl2br w:val="nil"/>
                    <w:tr2bl w:val="nil"/>
                  </w:tcBorders>
                  <w:vAlign w:val="center"/>
                </w:tcPr>
                <w:p w14:paraId="0A0B9A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941" w:type="dxa"/>
                  <w:tcBorders>
                    <w:tl2br w:val="nil"/>
                    <w:tr2bl w:val="nil"/>
                  </w:tcBorders>
                  <w:vAlign w:val="center"/>
                </w:tcPr>
                <w:p w14:paraId="0467163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62E31F3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1D55123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2C2C287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固体</w:t>
                  </w:r>
                </w:p>
              </w:tc>
            </w:tr>
            <w:tr w14:paraId="4543B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686EBDE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w:t>
                  </w:r>
                </w:p>
              </w:tc>
              <w:tc>
                <w:tcPr>
                  <w:tcW w:w="3103" w:type="dxa"/>
                  <w:tcBorders>
                    <w:tl2br w:val="nil"/>
                    <w:tr2bl w:val="nil"/>
                  </w:tcBorders>
                  <w:vAlign w:val="center"/>
                </w:tcPr>
                <w:p w14:paraId="663F778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68%硝酸</w:t>
                  </w:r>
                </w:p>
              </w:tc>
              <w:tc>
                <w:tcPr>
                  <w:tcW w:w="1330" w:type="dxa"/>
                  <w:tcBorders>
                    <w:tl2br w:val="nil"/>
                    <w:tr2bl w:val="nil"/>
                  </w:tcBorders>
                  <w:vAlign w:val="center"/>
                </w:tcPr>
                <w:p w14:paraId="7F862DD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6DB2432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759CABA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707CAB8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3A417A5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5ADBF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2AF6EDB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42</w:t>
                  </w:r>
                </w:p>
              </w:tc>
              <w:tc>
                <w:tcPr>
                  <w:tcW w:w="3103" w:type="dxa"/>
                  <w:tcBorders>
                    <w:tl2br w:val="nil"/>
                    <w:tr2bl w:val="nil"/>
                  </w:tcBorders>
                  <w:vAlign w:val="center"/>
                </w:tcPr>
                <w:p w14:paraId="30538A1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100%冰乙酸</w:t>
                  </w:r>
                </w:p>
              </w:tc>
              <w:tc>
                <w:tcPr>
                  <w:tcW w:w="1330" w:type="dxa"/>
                  <w:tcBorders>
                    <w:tl2br w:val="nil"/>
                    <w:tr2bl w:val="nil"/>
                  </w:tcBorders>
                  <w:vAlign w:val="center"/>
                </w:tcPr>
                <w:p w14:paraId="49D3435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0CECABA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1356021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332199F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0C2D2A8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79FA9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794AE59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43</w:t>
                  </w:r>
                </w:p>
              </w:tc>
              <w:tc>
                <w:tcPr>
                  <w:tcW w:w="3103" w:type="dxa"/>
                  <w:tcBorders>
                    <w:tl2br w:val="nil"/>
                    <w:tr2bl w:val="nil"/>
                  </w:tcBorders>
                  <w:vAlign w:val="center"/>
                </w:tcPr>
                <w:p w14:paraId="7149D2F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85%磷酸</w:t>
                  </w:r>
                </w:p>
              </w:tc>
              <w:tc>
                <w:tcPr>
                  <w:tcW w:w="1330" w:type="dxa"/>
                  <w:tcBorders>
                    <w:tl2br w:val="nil"/>
                    <w:tr2bl w:val="nil"/>
                  </w:tcBorders>
                  <w:vAlign w:val="center"/>
                </w:tcPr>
                <w:p w14:paraId="421D1BB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58FE87A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18E425E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50F4D67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28A9555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20804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73509B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44</w:t>
                  </w:r>
                </w:p>
              </w:tc>
              <w:tc>
                <w:tcPr>
                  <w:tcW w:w="3103" w:type="dxa"/>
                  <w:tcBorders>
                    <w:tl2br w:val="nil"/>
                    <w:tr2bl w:val="nil"/>
                  </w:tcBorders>
                  <w:vAlign w:val="center"/>
                </w:tcPr>
                <w:p w14:paraId="5850F67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100%氟化铵</w:t>
                  </w:r>
                </w:p>
              </w:tc>
              <w:tc>
                <w:tcPr>
                  <w:tcW w:w="1330" w:type="dxa"/>
                  <w:tcBorders>
                    <w:tl2br w:val="nil"/>
                    <w:tr2bl w:val="nil"/>
                  </w:tcBorders>
                  <w:vAlign w:val="center"/>
                </w:tcPr>
                <w:p w14:paraId="385B58F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1941" w:type="dxa"/>
                  <w:tcBorders>
                    <w:tl2br w:val="nil"/>
                    <w:tr2bl w:val="nil"/>
                  </w:tcBorders>
                  <w:vAlign w:val="center"/>
                </w:tcPr>
                <w:p w14:paraId="0FF7CB0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28E9D5B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3748E16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35C7A27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固体</w:t>
                  </w:r>
                </w:p>
              </w:tc>
            </w:tr>
            <w:tr w14:paraId="17CDF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center"/>
                </w:tcPr>
                <w:p w14:paraId="67528CA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45</w:t>
                  </w:r>
                </w:p>
              </w:tc>
              <w:tc>
                <w:tcPr>
                  <w:tcW w:w="3103" w:type="dxa"/>
                  <w:tcBorders>
                    <w:tl2br w:val="nil"/>
                    <w:tr2bl w:val="nil"/>
                  </w:tcBorders>
                  <w:vAlign w:val="center"/>
                </w:tcPr>
                <w:p w14:paraId="2D4280F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37%盐酸</w:t>
                  </w:r>
                </w:p>
              </w:tc>
              <w:tc>
                <w:tcPr>
                  <w:tcW w:w="1330" w:type="dxa"/>
                  <w:tcBorders>
                    <w:tl2br w:val="nil"/>
                    <w:tr2bl w:val="nil"/>
                  </w:tcBorders>
                  <w:vAlign w:val="center"/>
                </w:tcPr>
                <w:p w14:paraId="64235F5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L/a</w:t>
                  </w:r>
                </w:p>
              </w:tc>
              <w:tc>
                <w:tcPr>
                  <w:tcW w:w="1941" w:type="dxa"/>
                  <w:tcBorders>
                    <w:tl2br w:val="nil"/>
                    <w:tr2bl w:val="nil"/>
                  </w:tcBorders>
                  <w:vAlign w:val="center"/>
                </w:tcPr>
                <w:p w14:paraId="1D68ACB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1" w:type="dxa"/>
                  <w:tcBorders>
                    <w:tl2br w:val="nil"/>
                    <w:tr2bl w:val="nil"/>
                  </w:tcBorders>
                  <w:vAlign w:val="center"/>
                </w:tcPr>
                <w:p w14:paraId="758653D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center"/>
                </w:tcPr>
                <w:p w14:paraId="56BD48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center"/>
                </w:tcPr>
                <w:p w14:paraId="7CACFC0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r>
            <w:tr w14:paraId="206ED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3426" w:type="dxa"/>
                  <w:gridSpan w:val="7"/>
                  <w:tcBorders>
                    <w:tl2br w:val="nil"/>
                    <w:tr2bl w:val="nil"/>
                  </w:tcBorders>
                  <w:vAlign w:val="center"/>
                </w:tcPr>
                <w:p w14:paraId="1F037E1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二、能源消耗</w:t>
                  </w:r>
                </w:p>
              </w:tc>
            </w:tr>
            <w:tr w14:paraId="1DB59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24CBD06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3103" w:type="dxa"/>
                  <w:tcBorders>
                    <w:tl2br w:val="nil"/>
                    <w:tr2bl w:val="nil"/>
                  </w:tcBorders>
                  <w:vAlign w:val="top"/>
                </w:tcPr>
                <w:p w14:paraId="669DF67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1330" w:type="dxa"/>
                  <w:tcBorders>
                    <w:tl2br w:val="nil"/>
                    <w:tr2bl w:val="nil"/>
                  </w:tcBorders>
                  <w:vAlign w:val="top"/>
                </w:tcPr>
                <w:p w14:paraId="4DECB4A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吨/年</w:t>
                  </w:r>
                </w:p>
              </w:tc>
              <w:tc>
                <w:tcPr>
                  <w:tcW w:w="1941" w:type="dxa"/>
                  <w:tcBorders>
                    <w:tl2br w:val="nil"/>
                    <w:tr2bl w:val="nil"/>
                  </w:tcBorders>
                  <w:vAlign w:val="top"/>
                </w:tcPr>
                <w:p w14:paraId="78CB8B2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1862711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942" w:type="dxa"/>
                  <w:tcBorders>
                    <w:tl2br w:val="nil"/>
                    <w:tr2bl w:val="nil"/>
                  </w:tcBorders>
                  <w:vAlign w:val="top"/>
                </w:tcPr>
                <w:p w14:paraId="287E4D0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95" w:type="dxa"/>
                  <w:tcBorders>
                    <w:tl2br w:val="nil"/>
                    <w:tr2bl w:val="nil"/>
                  </w:tcBorders>
                  <w:vAlign w:val="top"/>
                </w:tcPr>
                <w:p w14:paraId="280F43F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1EE68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74" w:type="dxa"/>
                  <w:tcBorders>
                    <w:tl2br w:val="nil"/>
                    <w:tr2bl w:val="nil"/>
                  </w:tcBorders>
                  <w:vAlign w:val="top"/>
                </w:tcPr>
                <w:p w14:paraId="3F51523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3103" w:type="dxa"/>
                  <w:tcBorders>
                    <w:tl2br w:val="nil"/>
                    <w:tr2bl w:val="nil"/>
                  </w:tcBorders>
                  <w:vAlign w:val="top"/>
                </w:tcPr>
                <w:p w14:paraId="573E6E0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w:t>
                  </w:r>
                </w:p>
              </w:tc>
              <w:tc>
                <w:tcPr>
                  <w:tcW w:w="1330" w:type="dxa"/>
                  <w:tcBorders>
                    <w:tl2br w:val="nil"/>
                    <w:tr2bl w:val="nil"/>
                  </w:tcBorders>
                  <w:vAlign w:val="top"/>
                </w:tcPr>
                <w:p w14:paraId="071DCF6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kW·h/年</w:t>
                  </w:r>
                </w:p>
              </w:tc>
              <w:tc>
                <w:tcPr>
                  <w:tcW w:w="1941" w:type="dxa"/>
                  <w:tcBorders>
                    <w:tl2br w:val="nil"/>
                    <w:tr2bl w:val="nil"/>
                  </w:tcBorders>
                  <w:vAlign w:val="top"/>
                </w:tcPr>
                <w:p w14:paraId="337003A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1" w:type="dxa"/>
                  <w:tcBorders>
                    <w:tl2br w:val="nil"/>
                    <w:tr2bl w:val="nil"/>
                  </w:tcBorders>
                  <w:vAlign w:val="top"/>
                </w:tcPr>
                <w:p w14:paraId="4CBC114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1942" w:type="dxa"/>
                  <w:tcBorders>
                    <w:tl2br w:val="nil"/>
                    <w:tr2bl w:val="nil"/>
                  </w:tcBorders>
                  <w:vAlign w:val="top"/>
                </w:tcPr>
                <w:p w14:paraId="7ED45FD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95" w:type="dxa"/>
                  <w:tcBorders>
                    <w:tl2br w:val="nil"/>
                    <w:tr2bl w:val="nil"/>
                  </w:tcBorders>
                  <w:vAlign w:val="top"/>
                </w:tcPr>
                <w:p w14:paraId="739292F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bl>
          <w:p w14:paraId="02A7420C">
            <w:pPr>
              <w:pStyle w:val="12"/>
              <w:spacing w:before="160"/>
              <w:ind w:left="721"/>
              <w:rPr>
                <w:rFonts w:hint="eastAsia" w:cs="Times New Roman"/>
                <w:color w:val="000000" w:themeColor="text1"/>
                <w:kern w:val="2"/>
                <w:sz w:val="24"/>
                <w:szCs w:val="32"/>
                <w:highlight w:val="none"/>
                <w:lang w:val="en-US" w:eastAsia="zh-CN" w:bidi="ar-SA"/>
                <w14:textFill>
                  <w14:solidFill>
                    <w14:schemeClr w14:val="tx1"/>
                  </w14:solidFill>
                </w14:textFill>
              </w:rPr>
            </w:pPr>
            <w:r>
              <w:rPr>
                <w:rFonts w:hint="eastAsia" w:cs="Times New Roman"/>
                <w:color w:val="000000" w:themeColor="text1"/>
                <w:kern w:val="2"/>
                <w:sz w:val="24"/>
                <w:szCs w:val="32"/>
                <w:highlight w:val="none"/>
                <w:lang w:val="en-US" w:eastAsia="zh-CN" w:bidi="ar-SA"/>
                <w14:textFill>
                  <w14:solidFill>
                    <w14:schemeClr w14:val="tx1"/>
                  </w14:solidFill>
                </w14:textFill>
              </w:rPr>
              <w:t>主要原辅材料性质见下表。</w:t>
            </w:r>
          </w:p>
          <w:p w14:paraId="01BF02E2">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2.4-3</w:t>
            </w:r>
            <w:r>
              <w:rPr>
                <w:b/>
                <w:color w:val="000000" w:themeColor="text1"/>
                <w:sz w:val="24"/>
                <w:szCs w:val="24"/>
                <w:highlight w:val="none"/>
                <w14:textFill>
                  <w14:solidFill>
                    <w14:schemeClr w14:val="tx1"/>
                  </w14:solidFill>
                </w14:textFill>
              </w:rPr>
              <w:t xml:space="preserve"> 主要原辅材料性质介绍</w:t>
            </w:r>
          </w:p>
          <w:tbl>
            <w:tblPr>
              <w:tblStyle w:val="30"/>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2"/>
              <w:gridCol w:w="2025"/>
              <w:gridCol w:w="5625"/>
              <w:gridCol w:w="4744"/>
            </w:tblGrid>
            <w:tr w14:paraId="63F7D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32" w:type="dxa"/>
                  <w:tcBorders>
                    <w:tl2br w:val="nil"/>
                    <w:tr2bl w:val="nil"/>
                  </w:tcBorders>
                </w:tcPr>
                <w:p w14:paraId="1936948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名称</w:t>
                  </w:r>
                </w:p>
              </w:tc>
              <w:tc>
                <w:tcPr>
                  <w:tcW w:w="2025" w:type="dxa"/>
                  <w:tcBorders>
                    <w:tl2br w:val="nil"/>
                    <w:tr2bl w:val="nil"/>
                  </w:tcBorders>
                </w:tcPr>
                <w:p w14:paraId="0326AC3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主要分子式</w:t>
                  </w:r>
                </w:p>
              </w:tc>
              <w:tc>
                <w:tcPr>
                  <w:tcW w:w="5625" w:type="dxa"/>
                  <w:tcBorders>
                    <w:tl2br w:val="nil"/>
                    <w:tr2bl w:val="nil"/>
                  </w:tcBorders>
                </w:tcPr>
                <w:p w14:paraId="795723D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理化性质</w:t>
                  </w:r>
                </w:p>
              </w:tc>
              <w:tc>
                <w:tcPr>
                  <w:tcW w:w="4744" w:type="dxa"/>
                  <w:tcBorders>
                    <w:tl2br w:val="nil"/>
                    <w:tr2bl w:val="nil"/>
                  </w:tcBorders>
                </w:tcPr>
                <w:p w14:paraId="0E16EA8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毒理性质</w:t>
                  </w:r>
                </w:p>
              </w:tc>
            </w:tr>
            <w:tr w14:paraId="27B52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1032" w:type="dxa"/>
                  <w:tcBorders>
                    <w:tl2br w:val="nil"/>
                    <w:tr2bl w:val="nil"/>
                  </w:tcBorders>
                  <w:vAlign w:val="center"/>
                </w:tcPr>
                <w:p w14:paraId="7E2526C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DSL-3.6清洗剂</w:t>
                  </w:r>
                </w:p>
              </w:tc>
              <w:tc>
                <w:tcPr>
                  <w:tcW w:w="2025" w:type="dxa"/>
                  <w:tcBorders>
                    <w:tl2br w:val="nil"/>
                    <w:tr2bl w:val="nil"/>
                  </w:tcBorders>
                  <w:vAlign w:val="center"/>
                </w:tcPr>
                <w:p w14:paraId="097D0E2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混合物：①脂肪醇醚，25%～30%；②脂肪醇，4%～5%；③ 石油馏出物，10%～15%；④杂环化合物，1%～5%；⑤卤代烃20%～25%。</w:t>
                  </w:r>
                </w:p>
              </w:tc>
              <w:tc>
                <w:tcPr>
                  <w:tcW w:w="5625" w:type="dxa"/>
                  <w:tcBorders>
                    <w:tl2br w:val="nil"/>
                    <w:tr2bl w:val="nil"/>
                  </w:tcBorders>
                  <w:vAlign w:val="center"/>
                </w:tcPr>
                <w:p w14:paraId="3B169E3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棕色透明状液体，极易溶于水，不易挥发，无刺激性气味；</w:t>
                  </w:r>
                </w:p>
                <w:p w14:paraId="748D435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沸点：35℃~125℃</w:t>
                  </w:r>
                </w:p>
                <w:p w14:paraId="4641944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密度，g/cm3（20±1℃）：1.10～1.12</w:t>
                  </w:r>
                </w:p>
                <w:p w14:paraId="339A46C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闪点：80℃</w:t>
                  </w:r>
                </w:p>
                <w:p w14:paraId="719A9C9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脂肪醇醚闪点＞125℃，饱和蒸汽压＜15Pa，沸点＜250℃</w:t>
                  </w:r>
                </w:p>
                <w:p w14:paraId="4198DED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脂肪醇熔点18-22℃，沸点255-259℃，闪点126.7℃，自燃温度275℃</w:t>
                  </w:r>
                </w:p>
              </w:tc>
              <w:tc>
                <w:tcPr>
                  <w:tcW w:w="4744" w:type="dxa"/>
                  <w:tcBorders>
                    <w:tl2br w:val="nil"/>
                    <w:tr2bl w:val="nil"/>
                  </w:tcBorders>
                  <w:vAlign w:val="center"/>
                </w:tcPr>
                <w:p w14:paraId="3B87E5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主要损害呼吸系统</w:t>
                  </w:r>
                </w:p>
                <w:p w14:paraId="4FE9C24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急性症状：呼吸摄入会刺激呼吸道发炎，眼睛接触会感觉疼痛并发炎慢性症状：在TLV值内重复使用对人体无影响</w:t>
                  </w:r>
                </w:p>
              </w:tc>
            </w:tr>
            <w:tr w14:paraId="181D9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1032" w:type="dxa"/>
                  <w:tcBorders>
                    <w:tl2br w:val="nil"/>
                    <w:tr2bl w:val="nil"/>
                  </w:tcBorders>
                  <w:vAlign w:val="center"/>
                </w:tcPr>
                <w:p w14:paraId="70CCEF5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金刚砂</w:t>
                  </w:r>
                </w:p>
              </w:tc>
              <w:tc>
                <w:tcPr>
                  <w:tcW w:w="2025" w:type="dxa"/>
                  <w:tcBorders>
                    <w:tl2br w:val="nil"/>
                    <w:tr2bl w:val="nil"/>
                  </w:tcBorders>
                  <w:vAlign w:val="center"/>
                </w:tcPr>
                <w:p w14:paraId="0B93A96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碳化硅俗名金刚砂，化学式SiC</w:t>
                  </w:r>
                </w:p>
              </w:tc>
              <w:tc>
                <w:tcPr>
                  <w:tcW w:w="5625" w:type="dxa"/>
                  <w:tcBorders>
                    <w:tl2br w:val="nil"/>
                    <w:tr2bl w:val="nil"/>
                  </w:tcBorders>
                  <w:vAlign w:val="center"/>
                </w:tcPr>
                <w:p w14:paraId="1325485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无色晶体，含杂质时呈蓝黑色。结构与金刚石相似，每个硅原子被4个碳原子包围，每个碳原子被4个硅原子包围，形成“巨型分子”。硬度仅次于金刚石，所以碳化硅能用于制造固结磨具、涂附磨具和自由研磨，从而可用来加工玻璃、陶瓷、石材、铸铁及某些非铁金属、硬质合金、钛合金、高速钢刀具和砂轮等。密度为3.217克/厘米，熔点约为2700C（分解升华）</w:t>
                  </w:r>
                  <w:r>
                    <w:rPr>
                      <w:rFonts w:hint="eastAsia"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化学性质稳定，高温时也不与氯、氧、硫、强酸反应。</w:t>
                  </w:r>
                </w:p>
              </w:tc>
              <w:tc>
                <w:tcPr>
                  <w:tcW w:w="4744" w:type="dxa"/>
                  <w:tcBorders>
                    <w:tl2br w:val="nil"/>
                    <w:tr2bl w:val="nil"/>
                  </w:tcBorders>
                  <w:vAlign w:val="center"/>
                </w:tcPr>
                <w:p w14:paraId="0A139B5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p>
              </w:tc>
            </w:tr>
            <w:tr w14:paraId="1D414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1032" w:type="dxa"/>
                  <w:tcBorders>
                    <w:tl2br w:val="nil"/>
                    <w:tr2bl w:val="nil"/>
                  </w:tcBorders>
                  <w:vAlign w:val="center"/>
                </w:tcPr>
                <w:p w14:paraId="140C472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乙醇（酒精</w:t>
                  </w:r>
                  <w:r>
                    <w:rPr>
                      <w:rFonts w:hint="eastAsia"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p>
              </w:tc>
              <w:tc>
                <w:tcPr>
                  <w:tcW w:w="2025" w:type="dxa"/>
                  <w:tcBorders>
                    <w:tl2br w:val="nil"/>
                    <w:tr2bl w:val="nil"/>
                  </w:tcBorders>
                  <w:vAlign w:val="center"/>
                </w:tcPr>
                <w:p w14:paraId="6DCE8C5A">
                  <w:pPr>
                    <w:pStyle w:val="36"/>
                    <w:keepNext w:val="0"/>
                    <w:keepLines w:val="0"/>
                    <w:pageBreakBefore w:val="0"/>
                    <w:widowControl w:val="0"/>
                    <w:tabs>
                      <w:tab w:val="left" w:pos="736"/>
                    </w:tabs>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分子式：C</w:t>
                  </w:r>
                  <w:r>
                    <w:rPr>
                      <w:rFonts w:hint="default" w:ascii="Times New Roman" w:hAnsi="Times New Roman" w:eastAsia="宋体" w:cs="Times New Roman"/>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t>H</w:t>
                  </w:r>
                  <w:r>
                    <w:rPr>
                      <w:rFonts w:hint="default" w:ascii="Times New Roman" w:hAnsi="Times New Roman" w:eastAsia="宋体" w:cs="Times New Roman"/>
                      <w:color w:val="000000" w:themeColor="text1"/>
                      <w:spacing w:val="0"/>
                      <w:w w:val="100"/>
                      <w:position w:val="0"/>
                      <w:sz w:val="21"/>
                      <w:szCs w:val="21"/>
                      <w:highlight w:val="none"/>
                      <w:vertAlign w:val="subscript"/>
                      <w14:textFill>
                        <w14:solidFill>
                          <w14:schemeClr w14:val="tx1"/>
                        </w14:solidFill>
                      </w14:textFill>
                    </w:rPr>
                    <w:t>6</w:t>
                  </w:r>
                  <w:r>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t>O</w:t>
                  </w:r>
                </w:p>
              </w:tc>
              <w:tc>
                <w:tcPr>
                  <w:tcW w:w="5625" w:type="dxa"/>
                  <w:tcBorders>
                    <w:tl2br w:val="nil"/>
                    <w:tr2bl w:val="nil"/>
                  </w:tcBorders>
                  <w:vAlign w:val="center"/>
                </w:tcPr>
                <w:p w14:paraId="75D575E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 xml:space="preserve">熔点：-114℃ </w:t>
                  </w:r>
                </w:p>
                <w:p w14:paraId="7BED73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沸点：78℃</w:t>
                  </w:r>
                </w:p>
                <w:p w14:paraId="0687103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pH:7.0(10g/L, H</w:t>
                  </w:r>
                  <w:r>
                    <w:rPr>
                      <w:rFonts w:hint="default" w:ascii="Times New Roman" w:hAnsi="Times New Roman" w:eastAsia="宋体" w:cs="Times New Roman"/>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t>O,20℃)</w:t>
                  </w:r>
                </w:p>
                <w:p w14:paraId="5496E80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相对密度（水=1）：0.79</w:t>
                  </w:r>
                </w:p>
                <w:p w14:paraId="245707F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饱和蒸汽压（kPa）：5.8（20℃）</w:t>
                  </w:r>
                </w:p>
              </w:tc>
              <w:tc>
                <w:tcPr>
                  <w:tcW w:w="4744" w:type="dxa"/>
                  <w:tcBorders>
                    <w:tl2br w:val="nil"/>
                    <w:tr2bl w:val="nil"/>
                  </w:tcBorders>
                  <w:vAlign w:val="center"/>
                </w:tcPr>
                <w:p w14:paraId="78A8F46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吸入：吸入可能有害。引起呼吸道刺激。摄入：如服入是有害的。</w:t>
                  </w:r>
                </w:p>
                <w:p w14:paraId="26C6F64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皮肤：如果通过皮肤吸收可能是有害的。造成皮肤刺激。</w:t>
                  </w:r>
                </w:p>
                <w:p w14:paraId="556241F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眼睛：造成眼刺激。</w:t>
                  </w:r>
                </w:p>
              </w:tc>
            </w:tr>
            <w:tr w14:paraId="3681E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7F04E84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乙醚</w:t>
                  </w:r>
                </w:p>
              </w:tc>
              <w:tc>
                <w:tcPr>
                  <w:tcW w:w="2025" w:type="dxa"/>
                  <w:tcBorders>
                    <w:tl2br w:val="nil"/>
                    <w:tr2bl w:val="nil"/>
                  </w:tcBorders>
                  <w:vAlign w:val="center"/>
                </w:tcPr>
                <w:p w14:paraId="4D1EB22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分子式：C</w:t>
                  </w:r>
                  <w:r>
                    <w:rPr>
                      <w:rFonts w:hint="default" w:ascii="Times New Roman" w:hAnsi="Times New Roman" w:eastAsia="宋体" w:cs="Times New Roman"/>
                      <w:color w:val="000000" w:themeColor="text1"/>
                      <w:spacing w:val="0"/>
                      <w:w w:val="100"/>
                      <w:position w:val="0"/>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t>H</w:t>
                  </w:r>
                  <w:r>
                    <w:rPr>
                      <w:rFonts w:hint="default" w:ascii="Times New Roman" w:hAnsi="Times New Roman" w:eastAsia="宋体" w:cs="Times New Roman"/>
                      <w:color w:val="000000" w:themeColor="text1"/>
                      <w:spacing w:val="0"/>
                      <w:w w:val="100"/>
                      <w:position w:val="0"/>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t>O</w:t>
                  </w:r>
                </w:p>
              </w:tc>
              <w:tc>
                <w:tcPr>
                  <w:tcW w:w="5625" w:type="dxa"/>
                  <w:tcBorders>
                    <w:tl2br w:val="nil"/>
                    <w:tr2bl w:val="nil"/>
                  </w:tcBorders>
                  <w:vAlign w:val="center"/>
                </w:tcPr>
                <w:p w14:paraId="697B85E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外观性状：无色至淡黄色液体，有芳香气味，易挥发</w:t>
                  </w:r>
                </w:p>
                <w:p w14:paraId="3794EF2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熔点（℃）：-116.2</w:t>
                  </w:r>
                </w:p>
                <w:p w14:paraId="47EA69B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沸点、初沸点、沸程（℃）：34-35℃/760mmHg</w:t>
                  </w:r>
                </w:p>
                <w:p w14:paraId="57A755B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相对密度（水=1）：0.71</w:t>
                  </w:r>
                </w:p>
                <w:p w14:paraId="725B02F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 xml:space="preserve">饱和蒸汽压（kPa）：58.92（20℃） </w:t>
                  </w:r>
                </w:p>
                <w:p w14:paraId="3AEFEC1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闪点（℃）：-40℉/-40℃</w:t>
                  </w:r>
                </w:p>
                <w:p w14:paraId="0662FB0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自燃温度（℃）：160～180</w:t>
                  </w:r>
                </w:p>
              </w:tc>
              <w:tc>
                <w:tcPr>
                  <w:tcW w:w="4744" w:type="dxa"/>
                  <w:tcBorders>
                    <w:tl2br w:val="nil"/>
                    <w:tr2bl w:val="nil"/>
                  </w:tcBorders>
                  <w:vAlign w:val="center"/>
                </w:tcPr>
                <w:p w14:paraId="4F1B842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吸入：吸入可能有害。可能引起呼吸道刺激</w:t>
                  </w:r>
                </w:p>
                <w:p w14:paraId="0025F7B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蒸气可引起睡意和</w:t>
                  </w:r>
                  <w:r>
                    <w:rPr>
                      <w:rFonts w:hint="eastAsia" w:ascii="Times New Roman" w:hAnsi="Times New Roman" w:cs="Times New Roman"/>
                      <w:color w:val="000000" w:themeColor="text1"/>
                      <w:spacing w:val="0"/>
                      <w:w w:val="100"/>
                      <w:position w:val="0"/>
                      <w:sz w:val="21"/>
                      <w:szCs w:val="21"/>
                      <w:highlight w:val="none"/>
                      <w:lang w:eastAsia="zh-CN"/>
                      <w14:textFill>
                        <w14:solidFill>
                          <w14:schemeClr w14:val="tx1"/>
                        </w14:solidFill>
                      </w14:textFill>
                    </w:rPr>
                    <w:t>眩晕</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w:t>
                  </w:r>
                </w:p>
                <w:p w14:paraId="3403FA2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摄入：误吞对人体有害。</w:t>
                  </w:r>
                </w:p>
                <w:p w14:paraId="49A58A0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皮肤：如果通过皮肤吸收可能是有害的。可能引起皮肤刺激。</w:t>
                  </w:r>
                </w:p>
                <w:p w14:paraId="4927F8D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眼睛：能引起眼睛刺激。</w:t>
                  </w:r>
                </w:p>
              </w:tc>
            </w:tr>
            <w:tr w14:paraId="0DEB2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02D0AB8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丙酮</w:t>
                  </w:r>
                </w:p>
              </w:tc>
              <w:tc>
                <w:tcPr>
                  <w:tcW w:w="2025" w:type="dxa"/>
                  <w:tcBorders>
                    <w:tl2br w:val="nil"/>
                    <w:tr2bl w:val="nil"/>
                  </w:tcBorders>
                  <w:vAlign w:val="center"/>
                </w:tcPr>
                <w:p w14:paraId="73FD7BB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2"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分子式：C</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H</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6</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O</w:t>
                  </w:r>
                </w:p>
              </w:tc>
              <w:tc>
                <w:tcPr>
                  <w:tcW w:w="5625" w:type="dxa"/>
                  <w:tcBorders>
                    <w:tl2br w:val="nil"/>
                    <w:tr2bl w:val="nil"/>
                  </w:tcBorders>
                  <w:vAlign w:val="center"/>
                </w:tcPr>
                <w:p w14:paraId="5932F46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 xml:space="preserve">熔点（℃）：-94 </w:t>
                  </w:r>
                </w:p>
                <w:p w14:paraId="2F88399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沸点（℃）：56</w:t>
                  </w:r>
                </w:p>
                <w:p w14:paraId="0EB9F6F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相对密度（水=1）：0.789-0.793g/mL</w:t>
                  </w:r>
                </w:p>
                <w:p w14:paraId="64D6B17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蒸气压（kPa）：24（20℃）</w:t>
                  </w:r>
                </w:p>
              </w:tc>
              <w:tc>
                <w:tcPr>
                  <w:tcW w:w="4744" w:type="dxa"/>
                  <w:tcBorders>
                    <w:tl2br w:val="nil"/>
                    <w:tr2bl w:val="nil"/>
                  </w:tcBorders>
                  <w:vAlign w:val="center"/>
                </w:tcPr>
                <w:p w14:paraId="4459A78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造成严重眼刺激。可能引起昏睡或眩晕。反复暴露可能引起皮肤干燥和开裂。长期反复接触 致皮炎。慢性影响：长期接触该品出现眩晕、</w:t>
                  </w:r>
                </w:p>
                <w:p w14:paraId="7A745B6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灼烧感、咽炎、支气管炎、乏力、易激动等。</w:t>
                  </w:r>
                </w:p>
              </w:tc>
            </w:tr>
            <w:tr w14:paraId="363D6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7F5747C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氧化铋</w:t>
                  </w:r>
                </w:p>
              </w:tc>
              <w:tc>
                <w:tcPr>
                  <w:tcW w:w="2025" w:type="dxa"/>
                  <w:tcBorders>
                    <w:tl2br w:val="nil"/>
                    <w:tr2bl w:val="nil"/>
                  </w:tcBorders>
                  <w:vAlign w:val="center"/>
                </w:tcPr>
                <w:p w14:paraId="5C543D8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分子式：</w:t>
                  </w: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Bi</w:t>
                  </w:r>
                  <w:r>
                    <w:rPr>
                      <w:rFonts w:hint="default" w:ascii="Times New Roman" w:hAnsi="Times New Roman" w:eastAsia="宋体" w:cs="Times New Roman"/>
                      <w:color w:val="000000" w:themeColor="text1"/>
                      <w:spacing w:val="0"/>
                      <w:w w:val="100"/>
                      <w:position w:val="-3"/>
                      <w:sz w:val="21"/>
                      <w:szCs w:val="21"/>
                      <w:highlight w:val="none"/>
                      <w14:textFill>
                        <w14:solidFill>
                          <w14:schemeClr w14:val="tx1"/>
                        </w14:solidFill>
                      </w14:textFill>
                    </w:rPr>
                    <w:t>2</w:t>
                  </w: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O</w:t>
                  </w:r>
                  <w:r>
                    <w:rPr>
                      <w:rFonts w:hint="default" w:ascii="Times New Roman" w:hAnsi="Times New Roman" w:eastAsia="宋体" w:cs="Times New Roman"/>
                      <w:color w:val="000000" w:themeColor="text1"/>
                      <w:spacing w:val="0"/>
                      <w:w w:val="100"/>
                      <w:position w:val="-3"/>
                      <w:sz w:val="21"/>
                      <w:szCs w:val="21"/>
                      <w:highlight w:val="none"/>
                      <w14:textFill>
                        <w14:solidFill>
                          <w14:schemeClr w14:val="tx1"/>
                        </w14:solidFill>
                      </w14:textFill>
                    </w:rPr>
                    <w:t>3</w:t>
                  </w:r>
                </w:p>
              </w:tc>
              <w:tc>
                <w:tcPr>
                  <w:tcW w:w="5625" w:type="dxa"/>
                  <w:tcBorders>
                    <w:tl2br w:val="nil"/>
                    <w:tr2bl w:val="nil"/>
                  </w:tcBorders>
                  <w:vAlign w:val="center"/>
                </w:tcPr>
                <w:p w14:paraId="1621659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化学式：Bi</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O</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 xml:space="preserve">3 </w:t>
                  </w:r>
                </w:p>
                <w:p w14:paraId="3F66891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vertAlign w:val="baseline"/>
                      <w14:textFill>
                        <w14:solidFill>
                          <w14:schemeClr w14:val="tx1"/>
                        </w14:solidFill>
                      </w14:textFill>
                    </w:rPr>
                    <w:t>分子量：465.96</w:t>
                  </w:r>
                </w:p>
                <w:p w14:paraId="308854C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 xml:space="preserve">性状：黄色重质粉末或单斜结晶。无气味。在空气中稳定。 </w:t>
                  </w:r>
                </w:p>
                <w:p w14:paraId="084D536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密度（g/mL，25/4℃）：8.9</w:t>
                  </w:r>
                </w:p>
                <w:p w14:paraId="62CDB9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熔点（℃）：825</w:t>
                  </w:r>
                </w:p>
                <w:p w14:paraId="260BB06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沸点（℃，常压）：1890</w:t>
                  </w:r>
                </w:p>
                <w:p w14:paraId="2167478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闪点（℃）：1890</w:t>
                  </w:r>
                </w:p>
                <w:p w14:paraId="786A666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溶解性：溶于盐酸和硝酸，不溶于水。加热变为褐红色，冷后仍变为黄色</w:t>
                  </w:r>
                </w:p>
              </w:tc>
              <w:tc>
                <w:tcPr>
                  <w:tcW w:w="4744" w:type="dxa"/>
                  <w:tcBorders>
                    <w:tl2br w:val="nil"/>
                    <w:tr2bl w:val="nil"/>
                  </w:tcBorders>
                  <w:vAlign w:val="center"/>
                </w:tcPr>
                <w:p w14:paraId="471788E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急性毒性：大鼠经口LD</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50:</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5g/kg；</w:t>
                  </w:r>
                </w:p>
                <w:p w14:paraId="1D5660B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小鼠经口LD</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50:</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10g/kg</w:t>
                  </w:r>
                </w:p>
              </w:tc>
            </w:tr>
            <w:tr w14:paraId="053CC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15BF6DA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氧化硼</w:t>
                  </w:r>
                </w:p>
              </w:tc>
              <w:tc>
                <w:tcPr>
                  <w:tcW w:w="2025" w:type="dxa"/>
                  <w:tcBorders>
                    <w:tl2br w:val="nil"/>
                    <w:tr2bl w:val="nil"/>
                  </w:tcBorders>
                  <w:vAlign w:val="center"/>
                </w:tcPr>
                <w:p w14:paraId="2040AA7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分子式：</w:t>
                  </w: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B</w:t>
                  </w:r>
                  <w:r>
                    <w:rPr>
                      <w:rFonts w:hint="default" w:ascii="Times New Roman" w:hAnsi="Times New Roman" w:eastAsia="宋体" w:cs="Times New Roman"/>
                      <w:color w:val="000000" w:themeColor="text1"/>
                      <w:spacing w:val="0"/>
                      <w:w w:val="100"/>
                      <w:position w:val="-3"/>
                      <w:sz w:val="21"/>
                      <w:szCs w:val="21"/>
                      <w:highlight w:val="none"/>
                      <w14:textFill>
                        <w14:solidFill>
                          <w14:schemeClr w14:val="tx1"/>
                        </w14:solidFill>
                      </w14:textFill>
                    </w:rPr>
                    <w:t>2</w:t>
                  </w: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O</w:t>
                  </w:r>
                  <w:r>
                    <w:rPr>
                      <w:rFonts w:hint="default" w:ascii="Times New Roman" w:hAnsi="Times New Roman" w:eastAsia="宋体" w:cs="Times New Roman"/>
                      <w:color w:val="000000" w:themeColor="text1"/>
                      <w:spacing w:val="0"/>
                      <w:w w:val="100"/>
                      <w:position w:val="-3"/>
                      <w:sz w:val="21"/>
                      <w:szCs w:val="21"/>
                      <w:highlight w:val="none"/>
                      <w14:textFill>
                        <w14:solidFill>
                          <w14:schemeClr w14:val="tx1"/>
                        </w14:solidFill>
                      </w14:textFill>
                    </w:rPr>
                    <w:t>3</w:t>
                  </w:r>
                </w:p>
              </w:tc>
              <w:tc>
                <w:tcPr>
                  <w:tcW w:w="5625" w:type="dxa"/>
                  <w:tcBorders>
                    <w:tl2br w:val="nil"/>
                    <w:tr2bl w:val="nil"/>
                  </w:tcBorders>
                  <w:vAlign w:val="center"/>
                </w:tcPr>
                <w:p w14:paraId="22FD1A1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1、性状：无色玻璃状晶体或粉末。</w:t>
                  </w:r>
                </w:p>
                <w:p w14:paraId="52927A3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2、密度（g/mL，25/4℃）：1.812（无定形）、2.46（结晶）</w:t>
                  </w:r>
                </w:p>
                <w:p w14:paraId="6BB38BE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3、熔点（℃）：450℃（结晶）</w:t>
                  </w:r>
                </w:p>
                <w:p w14:paraId="205C3C0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4、沸点（℃，常压）：1860</w:t>
                  </w:r>
                </w:p>
                <w:p w14:paraId="4C14855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5、溶解性：溶于水，成为硼酸。溶于酸、碱溶液</w:t>
                  </w:r>
                </w:p>
              </w:tc>
              <w:tc>
                <w:tcPr>
                  <w:tcW w:w="4744" w:type="dxa"/>
                  <w:tcBorders>
                    <w:tl2br w:val="nil"/>
                    <w:tr2bl w:val="nil"/>
                  </w:tcBorders>
                  <w:vAlign w:val="center"/>
                </w:tcPr>
                <w:p w14:paraId="74F1881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1、急性毒性：小鼠引入腹膜LD50:1868mg/kg</w:t>
                  </w:r>
                </w:p>
                <w:p w14:paraId="774BAD7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小鼠经口LD</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50:</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3163mg/kg ，小鼠经口</w:t>
                  </w: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LD</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50:</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3163mg/kg。</w:t>
                  </w:r>
                </w:p>
                <w:p w14:paraId="7638D0A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2、可刺激鼻、眼及皮肤，引起结膜炎、红疹</w:t>
                  </w:r>
                </w:p>
              </w:tc>
            </w:tr>
            <w:tr w14:paraId="79336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790616C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二氧化硅</w:t>
                  </w:r>
                </w:p>
              </w:tc>
              <w:tc>
                <w:tcPr>
                  <w:tcW w:w="2025" w:type="dxa"/>
                  <w:tcBorders>
                    <w:tl2br w:val="nil"/>
                    <w:tr2bl w:val="nil"/>
                  </w:tcBorders>
                  <w:vAlign w:val="center"/>
                </w:tcPr>
                <w:p w14:paraId="04B256D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分子式：SiO</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2</w:t>
                  </w:r>
                </w:p>
              </w:tc>
              <w:tc>
                <w:tcPr>
                  <w:tcW w:w="5625" w:type="dxa"/>
                  <w:tcBorders>
                    <w:tl2br w:val="nil"/>
                    <w:tr2bl w:val="nil"/>
                  </w:tcBorders>
                  <w:vAlign w:val="center"/>
                </w:tcPr>
                <w:p w14:paraId="4CF3C23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密度：2.2g/cm</w:t>
                  </w:r>
                  <w:r>
                    <w:rPr>
                      <w:rFonts w:hint="eastAsia" w:ascii="Times New Roman" w:hAnsi="Times New Roman" w:cs="Times New Roman"/>
                      <w:color w:val="000000" w:themeColor="text1"/>
                      <w:spacing w:val="0"/>
                      <w:w w:val="10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w w:val="100"/>
                      <w:position w:val="9"/>
                      <w:sz w:val="21"/>
                      <w:szCs w:val="21"/>
                      <w:highlight w:val="none"/>
                      <w14:textFill>
                        <w14:solidFill>
                          <w14:schemeClr w14:val="tx1"/>
                        </w14:solidFill>
                      </w14:textFill>
                    </w:rPr>
                    <w:t xml:space="preserve"> </w:t>
                  </w:r>
                  <w:r>
                    <w:rPr>
                      <w:rFonts w:hint="eastAsia" w:ascii="Times New Roman" w:hAnsi="Times New Roman" w:cs="Times New Roman"/>
                      <w:color w:val="000000" w:themeColor="text1"/>
                      <w:spacing w:val="0"/>
                      <w:w w:val="100"/>
                      <w:position w:val="9"/>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 xml:space="preserve">熔点：1723℃ </w:t>
                  </w:r>
                  <w:r>
                    <w:rPr>
                      <w:rFonts w:hint="eastAsia" w:ascii="Times New Roman" w:hAnsi="Times New Roman" w:cs="Times New Roman"/>
                      <w:color w:val="000000" w:themeColor="text1"/>
                      <w:spacing w:val="0"/>
                      <w:w w:val="10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 xml:space="preserve">沸点：2230℃ </w:t>
                  </w:r>
                </w:p>
                <w:p w14:paraId="0BB6B8E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折射率：1.6</w:t>
                  </w:r>
                </w:p>
                <w:p w14:paraId="55EB8DE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eastAsia" w:ascii="Times New Roman" w:hAnsi="Times New Roman" w:eastAsia="宋体" w:cs="Times New Roman"/>
                      <w:color w:val="000000" w:themeColor="text1"/>
                      <w:spacing w:val="0"/>
                      <w:w w:val="10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受热时的变化：与强碱在加热时熔化，生成硅酸盐溶解度：不溶于水，能与HF作用生成气态SiF</w:t>
                  </w:r>
                  <w:r>
                    <w:rPr>
                      <w:rFonts w:hint="eastAsia" w:ascii="Times New Roman" w:hAnsi="Times New Roman" w:cs="Times New Roman"/>
                      <w:color w:val="000000" w:themeColor="text1"/>
                      <w:spacing w:val="0"/>
                      <w:w w:val="100"/>
                      <w:position w:val="-2"/>
                      <w:sz w:val="21"/>
                      <w:szCs w:val="21"/>
                      <w:highlight w:val="none"/>
                      <w:vertAlign w:val="subscript"/>
                      <w:lang w:val="en-US" w:eastAsia="zh-CN"/>
                      <w14:textFill>
                        <w14:solidFill>
                          <w14:schemeClr w14:val="tx1"/>
                        </w14:solidFill>
                      </w14:textFill>
                    </w:rPr>
                    <w:t>4</w:t>
                  </w:r>
                </w:p>
              </w:tc>
              <w:tc>
                <w:tcPr>
                  <w:tcW w:w="4744" w:type="dxa"/>
                  <w:tcBorders>
                    <w:tl2br w:val="nil"/>
                    <w:tr2bl w:val="nil"/>
                  </w:tcBorders>
                  <w:vAlign w:val="center"/>
                </w:tcPr>
                <w:p w14:paraId="14A66E7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w:t>
                  </w:r>
                </w:p>
              </w:tc>
            </w:tr>
            <w:tr w14:paraId="049ED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2CFC6F1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二氧化钛</w:t>
                  </w:r>
                </w:p>
              </w:tc>
              <w:tc>
                <w:tcPr>
                  <w:tcW w:w="2025" w:type="dxa"/>
                  <w:tcBorders>
                    <w:tl2br w:val="nil"/>
                    <w:tr2bl w:val="nil"/>
                  </w:tcBorders>
                  <w:vAlign w:val="center"/>
                </w:tcPr>
                <w:p w14:paraId="0663539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分子式：TiO</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2</w:t>
                  </w:r>
                </w:p>
              </w:tc>
              <w:tc>
                <w:tcPr>
                  <w:tcW w:w="5625" w:type="dxa"/>
                  <w:tcBorders>
                    <w:tl2br w:val="nil"/>
                    <w:tr2bl w:val="nil"/>
                  </w:tcBorders>
                  <w:vAlign w:val="center"/>
                </w:tcPr>
                <w:p w14:paraId="19D7ECA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分子量：79.866</w:t>
                  </w:r>
                  <w:r>
                    <w:rPr>
                      <w:rFonts w:hint="eastAsia" w:ascii="Times New Roman" w:hAnsi="Times New Roman" w:cs="Times New Roman"/>
                      <w:color w:val="000000" w:themeColor="text1"/>
                      <w:spacing w:val="0"/>
                      <w:w w:val="10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熔点：1840℃</w:t>
                  </w:r>
                  <w:r>
                    <w:rPr>
                      <w:rFonts w:hint="eastAsia" w:ascii="Times New Roman" w:hAnsi="Times New Roman" w:cs="Times New Roman"/>
                      <w:color w:val="000000" w:themeColor="text1"/>
                      <w:spacing w:val="0"/>
                      <w:w w:val="10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沸点：2900℃</w:t>
                  </w:r>
                </w:p>
                <w:p w14:paraId="2339DA8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水溶性：溶于热浓硫酸、盐酸、硝酸密度：4.26g/cm³</w:t>
                  </w:r>
                </w:p>
                <w:p w14:paraId="24C8EEE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折射率：2.76~2.55</w:t>
                  </w:r>
                </w:p>
              </w:tc>
              <w:tc>
                <w:tcPr>
                  <w:tcW w:w="4744" w:type="dxa"/>
                  <w:tcBorders>
                    <w:tl2br w:val="nil"/>
                    <w:tr2bl w:val="nil"/>
                  </w:tcBorders>
                  <w:vAlign w:val="center"/>
                </w:tcPr>
                <w:p w14:paraId="796EFC1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spacing w:val="0"/>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sz w:val="21"/>
                      <w:szCs w:val="21"/>
                      <w:highlight w:val="none"/>
                      <w:lang w:val="en-US" w:eastAsia="zh-CN"/>
                      <w14:textFill>
                        <w14:solidFill>
                          <w14:schemeClr w14:val="tx1"/>
                        </w14:solidFill>
                      </w14:textFill>
                    </w:rPr>
                    <w:t>/</w:t>
                  </w:r>
                </w:p>
              </w:tc>
            </w:tr>
            <w:tr w14:paraId="43A45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5DA2F62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五氧化二钽</w:t>
                  </w:r>
                </w:p>
              </w:tc>
              <w:tc>
                <w:tcPr>
                  <w:tcW w:w="2025" w:type="dxa"/>
                  <w:tcBorders>
                    <w:tl2br w:val="nil"/>
                    <w:tr2bl w:val="nil"/>
                  </w:tcBorders>
                  <w:vAlign w:val="center"/>
                </w:tcPr>
                <w:p w14:paraId="46731B5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分子式：Ta</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O</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5</w:t>
                  </w:r>
                </w:p>
              </w:tc>
              <w:tc>
                <w:tcPr>
                  <w:tcW w:w="5625" w:type="dxa"/>
                  <w:tcBorders>
                    <w:tl2br w:val="nil"/>
                    <w:tr2bl w:val="nil"/>
                  </w:tcBorders>
                  <w:vAlign w:val="center"/>
                </w:tcPr>
                <w:p w14:paraId="6107168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分子量：441.89 密度：8.2g/cm</w:t>
                  </w:r>
                  <w:r>
                    <w:rPr>
                      <w:rFonts w:hint="eastAsia" w:ascii="Times New Roman" w:hAnsi="Times New Roman" w:cs="Times New Roman"/>
                      <w:color w:val="000000" w:themeColor="text1"/>
                      <w:spacing w:val="0"/>
                      <w:w w:val="10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w w:val="100"/>
                      <w:position w:val="9"/>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 xml:space="preserve">熔点：1872℃ 沸点：2230℃ </w:t>
                  </w:r>
                </w:p>
                <w:p w14:paraId="0080A65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折射率：2.25</w:t>
                  </w:r>
                </w:p>
                <w:p w14:paraId="6198CB4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溶解度：溶于熔融硫酸氢钾和氢氟酸，不溶于水和其他酸。</w:t>
                  </w:r>
                </w:p>
              </w:tc>
              <w:tc>
                <w:tcPr>
                  <w:tcW w:w="4744" w:type="dxa"/>
                  <w:tcBorders>
                    <w:tl2br w:val="nil"/>
                    <w:tr2bl w:val="nil"/>
                  </w:tcBorders>
                  <w:vAlign w:val="center"/>
                </w:tcPr>
                <w:p w14:paraId="5431802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w:t>
                  </w:r>
                </w:p>
              </w:tc>
            </w:tr>
            <w:tr w14:paraId="1BA54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7D3D258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氧化铁</w:t>
                  </w:r>
                </w:p>
              </w:tc>
              <w:tc>
                <w:tcPr>
                  <w:tcW w:w="2025" w:type="dxa"/>
                  <w:tcBorders>
                    <w:tl2br w:val="nil"/>
                    <w:tr2bl w:val="nil"/>
                  </w:tcBorders>
                  <w:vAlign w:val="center"/>
                </w:tcPr>
                <w:p w14:paraId="08DADD9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分子式：Fe</w:t>
                  </w:r>
                  <w:r>
                    <w:rPr>
                      <w:rFonts w:hint="default" w:ascii="Times New Roman" w:hAnsi="Times New Roman" w:eastAsia="宋体" w:cs="Times New Roman"/>
                      <w:color w:val="000000" w:themeColor="text1"/>
                      <w:spacing w:val="0"/>
                      <w:w w:val="10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w w:val="100"/>
                      <w:sz w:val="21"/>
                      <w:szCs w:val="21"/>
                      <w:highlight w:val="none"/>
                      <w:vertAlign w:val="baseline"/>
                      <w14:textFill>
                        <w14:solidFill>
                          <w14:schemeClr w14:val="tx1"/>
                        </w14:solidFill>
                      </w14:textFill>
                    </w:rPr>
                    <w:t>O</w:t>
                  </w:r>
                  <w:r>
                    <w:rPr>
                      <w:rFonts w:hint="default" w:ascii="Times New Roman" w:hAnsi="Times New Roman" w:eastAsia="宋体" w:cs="Times New Roman"/>
                      <w:color w:val="000000" w:themeColor="text1"/>
                      <w:spacing w:val="0"/>
                      <w:w w:val="100"/>
                      <w:sz w:val="21"/>
                      <w:szCs w:val="21"/>
                      <w:highlight w:val="none"/>
                      <w:vertAlign w:val="subscript"/>
                      <w14:textFill>
                        <w14:solidFill>
                          <w14:schemeClr w14:val="tx1"/>
                        </w14:solidFill>
                      </w14:textFill>
                    </w:rPr>
                    <w:t>3</w:t>
                  </w:r>
                </w:p>
              </w:tc>
              <w:tc>
                <w:tcPr>
                  <w:tcW w:w="5625" w:type="dxa"/>
                  <w:tcBorders>
                    <w:tl2br w:val="nil"/>
                    <w:tr2bl w:val="nil"/>
                  </w:tcBorders>
                  <w:vAlign w:val="center"/>
                </w:tcPr>
                <w:p w14:paraId="5739995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分子量：159.6882</w:t>
                  </w:r>
                  <w:r>
                    <w:rPr>
                      <w:rFonts w:hint="eastAsia" w:ascii="Times New Roman" w:hAnsi="Times New Roman" w:cs="Times New Roman"/>
                      <w:color w:val="000000" w:themeColor="text1"/>
                      <w:spacing w:val="0"/>
                      <w:w w:val="10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密度：5.24g/cm</w:t>
                  </w:r>
                  <w:r>
                    <w:rPr>
                      <w:rFonts w:hint="eastAsia" w:ascii="Times New Roman" w:hAnsi="Times New Roman" w:cs="Times New Roman"/>
                      <w:color w:val="000000" w:themeColor="text1"/>
                      <w:spacing w:val="0"/>
                      <w:w w:val="10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 xml:space="preserve"> </w:t>
                  </w:r>
                  <w:r>
                    <w:rPr>
                      <w:rFonts w:hint="eastAsia" w:ascii="Times New Roman" w:hAnsi="Times New Roman" w:cs="Times New Roman"/>
                      <w:color w:val="000000" w:themeColor="text1"/>
                      <w:spacing w:val="0"/>
                      <w:w w:val="10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熔点：1565℃</w:t>
                  </w:r>
                </w:p>
                <w:p w14:paraId="5874F82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沸点：3414℃</w:t>
                  </w:r>
                </w:p>
                <w:p w14:paraId="55DAA30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溶解度：不溶于水，可溶于酸。</w:t>
                  </w:r>
                </w:p>
              </w:tc>
              <w:tc>
                <w:tcPr>
                  <w:tcW w:w="4744" w:type="dxa"/>
                  <w:tcBorders>
                    <w:tl2br w:val="nil"/>
                    <w:tr2bl w:val="nil"/>
                  </w:tcBorders>
                  <w:vAlign w:val="center"/>
                </w:tcPr>
                <w:p w14:paraId="66C8236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w:t>
                  </w:r>
                </w:p>
              </w:tc>
            </w:tr>
            <w:tr w14:paraId="36BFA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61F9FF4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进口胶</w:t>
                  </w:r>
                </w:p>
              </w:tc>
              <w:tc>
                <w:tcPr>
                  <w:tcW w:w="2025" w:type="dxa"/>
                  <w:tcBorders>
                    <w:tl2br w:val="nil"/>
                    <w:tr2bl w:val="nil"/>
                  </w:tcBorders>
                  <w:vAlign w:val="center"/>
                </w:tcPr>
                <w:p w14:paraId="47FB9D7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center"/>
                    <w:textAlignment w:val="auto"/>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蜡</w:t>
                  </w:r>
                </w:p>
              </w:tc>
              <w:tc>
                <w:tcPr>
                  <w:tcW w:w="5625" w:type="dxa"/>
                  <w:tcBorders>
                    <w:tl2br w:val="nil"/>
                    <w:tr2bl w:val="nil"/>
                  </w:tcBorders>
                  <w:vAlign w:val="center"/>
                </w:tcPr>
                <w:p w14:paraId="515D599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hanging="17"/>
                    <w:jc w:val="both"/>
                    <w:textAlignment w:val="auto"/>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t>外观性状：不定性颜色的固体比重（H</w:t>
                  </w:r>
                  <w:r>
                    <w:rPr>
                      <w:rFonts w:hint="default" w:ascii="Times New Roman" w:hAnsi="Times New Roman" w:eastAsia="宋体" w:cs="Times New Roman"/>
                      <w:color w:val="000000" w:themeColor="text1"/>
                      <w:spacing w:val="0"/>
                      <w:w w:val="100"/>
                      <w:position w:val="2"/>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w w:val="100"/>
                      <w:position w:val="2"/>
                      <w:sz w:val="21"/>
                      <w:szCs w:val="21"/>
                      <w:highlight w:val="none"/>
                      <w:vertAlign w:val="baseline"/>
                      <w14:textFill>
                        <w14:solidFill>
                          <w14:schemeClr w14:val="tx1"/>
                        </w14:solidFill>
                      </w14:textFill>
                    </w:rPr>
                    <w:t xml:space="preserve">0=1）：0.9±0.05  </w:t>
                  </w:r>
                </w:p>
                <w:p w14:paraId="697098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hanging="17"/>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vertAlign w:val="baseline"/>
                      <w14:textFill>
                        <w14:solidFill>
                          <w14:schemeClr w14:val="tx1"/>
                        </w14:solidFill>
                      </w14:textFill>
                    </w:rPr>
                    <w:t>闪点：240℃</w:t>
                  </w:r>
                </w:p>
                <w:p w14:paraId="0F77DD9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溶解性：不溶于水</w:t>
                  </w:r>
                </w:p>
              </w:tc>
              <w:tc>
                <w:tcPr>
                  <w:tcW w:w="4744" w:type="dxa"/>
                  <w:tcBorders>
                    <w:tl2br w:val="nil"/>
                    <w:tr2bl w:val="nil"/>
                  </w:tcBorders>
                  <w:vAlign w:val="center"/>
                </w:tcPr>
                <w:p w14:paraId="0D2CA99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眼睛接触：热的蜡屑可能会刺激、灼伤眼睛皮肤接触：会发紧、热蜡可能会使皮肤灼伤</w:t>
                  </w:r>
                </w:p>
              </w:tc>
            </w:tr>
            <w:tr w14:paraId="6D529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015EDC0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金刚石钻石液</w:t>
                  </w:r>
                </w:p>
              </w:tc>
              <w:tc>
                <w:tcPr>
                  <w:tcW w:w="2025" w:type="dxa"/>
                  <w:tcBorders>
                    <w:tl2br w:val="nil"/>
                    <w:tr2bl w:val="nil"/>
                  </w:tcBorders>
                  <w:vAlign w:val="center"/>
                </w:tcPr>
                <w:p w14:paraId="0F107BB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金刚石，化学式SiC</w:t>
                  </w:r>
                </w:p>
              </w:tc>
              <w:tc>
                <w:tcPr>
                  <w:tcW w:w="5625" w:type="dxa"/>
                  <w:tcBorders>
                    <w:tl2br w:val="nil"/>
                    <w:tr2bl w:val="nil"/>
                  </w:tcBorders>
                  <w:vAlign w:val="center"/>
                </w:tcPr>
                <w:p w14:paraId="69A23FE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 xml:space="preserve">外观和性状：深灰色不透明液体，轻微的酸性气味 </w:t>
                  </w:r>
                </w:p>
                <w:p w14:paraId="1EEE6C9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沸点：100℃</w:t>
                  </w:r>
                </w:p>
                <w:p w14:paraId="53D388B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比重：1.00-1.1g/cm</w:t>
                  </w:r>
                  <w:r>
                    <w:rPr>
                      <w:rFonts w:hint="eastAsia" w:ascii="Times New Roman" w:hAnsi="Times New Roman" w:cs="Times New Roman"/>
                      <w:color w:val="000000" w:themeColor="text1"/>
                      <w:spacing w:val="0"/>
                      <w:w w:val="10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w w:val="100"/>
                      <w:position w:val="7"/>
                      <w:sz w:val="21"/>
                      <w:szCs w:val="21"/>
                      <w:highlight w:val="none"/>
                      <w14:textFill>
                        <w14:solidFill>
                          <w14:schemeClr w14:val="tx1"/>
                        </w14:solidFill>
                      </w14:textFill>
                    </w:rPr>
                    <w:t xml:space="preserve"> </w:t>
                  </w:r>
                  <w:r>
                    <w:rPr>
                      <w:rFonts w:hint="eastAsia" w:ascii="Times New Roman" w:hAnsi="Times New Roman" w:cs="Times New Roman"/>
                      <w:color w:val="000000" w:themeColor="text1"/>
                      <w:spacing w:val="0"/>
                      <w:w w:val="100"/>
                      <w:position w:val="7"/>
                      <w:sz w:val="21"/>
                      <w:szCs w:val="21"/>
                      <w:highlight w:val="none"/>
                      <w:lang w:eastAsia="zh-CN"/>
                      <w14:textFill>
                        <w14:solidFill>
                          <w14:schemeClr w14:val="tx1"/>
                        </w14:solidFill>
                      </w14:textFill>
                    </w:rPr>
                    <w:t>黏度</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：约1.1cps</w:t>
                  </w:r>
                </w:p>
                <w:p w14:paraId="6DD4449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pH值：2-7</w:t>
                  </w:r>
                </w:p>
                <w:p w14:paraId="56579B4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溶解性：可溶于水</w:t>
                  </w:r>
                </w:p>
              </w:tc>
              <w:tc>
                <w:tcPr>
                  <w:tcW w:w="4744" w:type="dxa"/>
                  <w:tcBorders>
                    <w:tl2br w:val="nil"/>
                    <w:tr2bl w:val="nil"/>
                  </w:tcBorders>
                  <w:vAlign w:val="center"/>
                </w:tcPr>
                <w:p w14:paraId="73A263C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9"/>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吸入：在高浓度的气态环境中（高于700ppm</w:t>
                  </w:r>
                  <w:r>
                    <w:rPr>
                      <w:rFonts w:hint="eastAsia" w:ascii="Times New Roman" w:hAnsi="Times New Roman" w:cs="Times New Roman"/>
                      <w:color w:val="000000" w:themeColor="text1"/>
                      <w:spacing w:val="0"/>
                      <w:w w:val="10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会刺激眼睛和呼吸道，有时会导致头疼、麻醉以及意识不清晰。</w:t>
                  </w:r>
                </w:p>
                <w:p w14:paraId="1108AA7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2"/>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皮肤和眼睛接触：虽然有轻微的酸性，但是不</w:t>
                  </w:r>
                </w:p>
                <w:p w14:paraId="473AAEC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会损害眼组织。有轻微的毒性，若长时间或反复接触，可能会刺激和皮肤发炎。</w:t>
                  </w:r>
                </w:p>
              </w:tc>
            </w:tr>
            <w:tr w14:paraId="742FF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66848DA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氟化镁</w:t>
                  </w:r>
                </w:p>
              </w:tc>
              <w:tc>
                <w:tcPr>
                  <w:tcW w:w="2025" w:type="dxa"/>
                  <w:tcBorders>
                    <w:tl2br w:val="nil"/>
                    <w:tr2bl w:val="nil"/>
                  </w:tcBorders>
                  <w:vAlign w:val="center"/>
                </w:tcPr>
                <w:p w14:paraId="2A6684C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分子式：MgF</w:t>
                  </w:r>
                  <w:r>
                    <w:rPr>
                      <w:rFonts w:hint="default" w:ascii="Times New Roman" w:hAnsi="Times New Roman" w:eastAsia="宋体" w:cs="Times New Roman"/>
                      <w:color w:val="000000" w:themeColor="text1"/>
                      <w:spacing w:val="0"/>
                      <w:w w:val="100"/>
                      <w:position w:val="1"/>
                      <w:sz w:val="21"/>
                      <w:szCs w:val="21"/>
                      <w:highlight w:val="none"/>
                      <w:vertAlign w:val="subscript"/>
                      <w14:textFill>
                        <w14:solidFill>
                          <w14:schemeClr w14:val="tx1"/>
                        </w14:solidFill>
                      </w14:textFill>
                    </w:rPr>
                    <w:t>2</w:t>
                  </w:r>
                </w:p>
              </w:tc>
              <w:tc>
                <w:tcPr>
                  <w:tcW w:w="5625" w:type="dxa"/>
                  <w:tcBorders>
                    <w:tl2br w:val="nil"/>
                    <w:tr2bl w:val="nil"/>
                  </w:tcBorders>
                  <w:vAlign w:val="center"/>
                </w:tcPr>
                <w:p w14:paraId="596DC2D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外观和性状：无色四方晶体，难溶于水和醇，微溶于稀酸，溶于硝酸。</w:t>
                  </w:r>
                </w:p>
                <w:p w14:paraId="4055E52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熔点：1261°C</w:t>
                  </w:r>
                </w:p>
                <w:p w14:paraId="33F188B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沸点：2260°C（分解） 水溶性：难溶</w:t>
                  </w:r>
                </w:p>
                <w:p w14:paraId="3EDF73C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eastAsia" w:ascii="Times New Roman" w:hAnsi="Times New Roman" w:eastAsia="宋体" w:cs="Times New Roman"/>
                      <w:color w:val="000000" w:themeColor="text1"/>
                      <w:spacing w:val="0"/>
                      <w:w w:val="10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密度：3.148 g/cm</w:t>
                  </w:r>
                  <w:r>
                    <w:rPr>
                      <w:rFonts w:hint="eastAsia" w:ascii="Times New Roman" w:hAnsi="Times New Roman" w:cs="Times New Roman"/>
                      <w:color w:val="000000" w:themeColor="text1"/>
                      <w:spacing w:val="0"/>
                      <w:w w:val="100"/>
                      <w:sz w:val="21"/>
                      <w:szCs w:val="21"/>
                      <w:highlight w:val="none"/>
                      <w:vertAlign w:val="superscript"/>
                      <w:lang w:val="en-US" w:eastAsia="zh-CN"/>
                      <w14:textFill>
                        <w14:solidFill>
                          <w14:schemeClr w14:val="tx1"/>
                        </w14:solidFill>
                      </w14:textFill>
                    </w:rPr>
                    <w:t>3</w:t>
                  </w:r>
                </w:p>
              </w:tc>
              <w:tc>
                <w:tcPr>
                  <w:tcW w:w="4744" w:type="dxa"/>
                  <w:tcBorders>
                    <w:tl2br w:val="nil"/>
                    <w:tr2bl w:val="nil"/>
                  </w:tcBorders>
                  <w:vAlign w:val="center"/>
                </w:tcPr>
                <w:p w14:paraId="5BB5ECC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w:t>
                  </w:r>
                </w:p>
              </w:tc>
            </w:tr>
            <w:tr w14:paraId="0F013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0DB74B7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氩气</w:t>
                  </w:r>
                </w:p>
              </w:tc>
              <w:tc>
                <w:tcPr>
                  <w:tcW w:w="2025" w:type="dxa"/>
                  <w:tcBorders>
                    <w:tl2br w:val="nil"/>
                    <w:tr2bl w:val="nil"/>
                  </w:tcBorders>
                  <w:vAlign w:val="center"/>
                </w:tcPr>
                <w:p w14:paraId="4EDE032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分子式：</w:t>
                  </w:r>
                  <w:r>
                    <w:rPr>
                      <w:rFonts w:hint="eastAsia" w:ascii="Times New Roman" w:hAnsi="Times New Roman" w:cs="Times New Roman"/>
                      <w:color w:val="000000" w:themeColor="text1"/>
                      <w:spacing w:val="0"/>
                      <w:w w:val="100"/>
                      <w:position w:val="1"/>
                      <w:sz w:val="21"/>
                      <w:szCs w:val="21"/>
                      <w:highlight w:val="none"/>
                      <w:lang w:val="en-US" w:eastAsia="zh-CN"/>
                      <w14:textFill>
                        <w14:solidFill>
                          <w14:schemeClr w14:val="tx1"/>
                        </w14:solidFill>
                      </w14:textFill>
                    </w:rPr>
                    <w:t>Ar</w:t>
                  </w:r>
                </w:p>
              </w:tc>
              <w:tc>
                <w:tcPr>
                  <w:tcW w:w="5625" w:type="dxa"/>
                  <w:tcBorders>
                    <w:tl2br w:val="nil"/>
                    <w:tr2bl w:val="nil"/>
                  </w:tcBorders>
                  <w:vAlign w:val="center"/>
                </w:tcPr>
                <w:p w14:paraId="5B711DD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一种无色、无味、无毒的单原子惰性气体，其密度是空气的1.4倍，是氦气的10倍。氩气不能燃烧或支持燃烧，并且在室温下不会与其他物质发生任何化学反应。其化学性质非常不活泼，具有良好的稳定性。它在高温下也不溶于液态金属，并显示出其在焊接有色金属方面的优越性。</w:t>
                  </w:r>
                </w:p>
              </w:tc>
              <w:tc>
                <w:tcPr>
                  <w:tcW w:w="4744" w:type="dxa"/>
                  <w:tcBorders>
                    <w:tl2br w:val="nil"/>
                    <w:tr2bl w:val="nil"/>
                  </w:tcBorders>
                  <w:vAlign w:val="center"/>
                </w:tcPr>
                <w:p w14:paraId="24189843">
                  <w:pPr>
                    <w:pStyle w:val="110"/>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color w:val="000000" w:themeColor="text1"/>
                      <w:highlight w:val="none"/>
                      <w14:textFill>
                        <w14:solidFill>
                          <w14:schemeClr w14:val="tx1"/>
                        </w14:solidFill>
                      </w14:textFill>
                    </w:rPr>
                    <w:t>普通大气压下无毒。高浓度时，使氧分压降低而发生窒息。氩浓度达50%以上，引起严重症状；75%以上时，可在数分钟内死亡。当空气中氩浓度增高时，先出现呼吸加速，注意力不集中，共济失调。继之，疲倦乏力、烦躁不安、恶心、呕吐、昏迷、抽搐，以致死亡。液态氩可致皮肤冻伤；眼部接触可引起炎症。若遇高热，容器内压增大，有开裂和爆炸的危险。</w:t>
                  </w:r>
                </w:p>
              </w:tc>
            </w:tr>
            <w:tr w14:paraId="2EF8E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0F5294F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氧气</w:t>
                  </w:r>
                </w:p>
              </w:tc>
              <w:tc>
                <w:tcPr>
                  <w:tcW w:w="2025" w:type="dxa"/>
                  <w:tcBorders>
                    <w:tl2br w:val="nil"/>
                    <w:tr2bl w:val="nil"/>
                  </w:tcBorders>
                  <w:vAlign w:val="center"/>
                </w:tcPr>
                <w:p w14:paraId="4271918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分子式：</w:t>
                  </w:r>
                  <w:r>
                    <w:rPr>
                      <w:rFonts w:hint="eastAsia" w:ascii="Times New Roman" w:hAnsi="Times New Roman" w:cs="Times New Roman"/>
                      <w:color w:val="000000" w:themeColor="text1"/>
                      <w:spacing w:val="0"/>
                      <w:w w:val="100"/>
                      <w:position w:val="1"/>
                      <w:sz w:val="21"/>
                      <w:szCs w:val="21"/>
                      <w:highlight w:val="none"/>
                      <w:lang w:val="en-US" w:eastAsia="zh-CN"/>
                      <w14:textFill>
                        <w14:solidFill>
                          <w14:schemeClr w14:val="tx1"/>
                        </w14:solidFill>
                      </w14:textFill>
                    </w:rPr>
                    <w:t>O</w:t>
                  </w:r>
                  <w:r>
                    <w:rPr>
                      <w:rFonts w:hint="eastAsia" w:ascii="Times New Roman" w:hAnsi="Times New Roman" w:cs="Times New Roman"/>
                      <w:color w:val="000000" w:themeColor="text1"/>
                      <w:spacing w:val="0"/>
                      <w:w w:val="100"/>
                      <w:position w:val="1"/>
                      <w:sz w:val="21"/>
                      <w:szCs w:val="21"/>
                      <w:highlight w:val="none"/>
                      <w:vertAlign w:val="subscript"/>
                      <w:lang w:val="en-US" w:eastAsia="zh-CN"/>
                      <w14:textFill>
                        <w14:solidFill>
                          <w14:schemeClr w14:val="tx1"/>
                        </w14:solidFill>
                      </w14:textFill>
                    </w:rPr>
                    <w:t>2</w:t>
                  </w:r>
                </w:p>
              </w:tc>
              <w:tc>
                <w:tcPr>
                  <w:tcW w:w="5625" w:type="dxa"/>
                  <w:tcBorders>
                    <w:tl2br w:val="nil"/>
                    <w:tr2bl w:val="nil"/>
                  </w:tcBorders>
                  <w:vAlign w:val="center"/>
                </w:tcPr>
                <w:p w14:paraId="2FB3D4F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instrText xml:space="preserve"> HYPERLINK "https://baike.baidu.com/item/%E6%B0%9F/457819?fromModule=lemma_inlink" \o "https://baike.baidu.com/item/%E6%B0%9F/457819?fromModule=lemma_inlink" </w:instrTex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是氧元素形成的一种单质，化学式O2，其化学性质比较活泼，大部分的元素都能与氧气反应。常温下不是很活泼，与许多物质都不易作用。但在高温下则很活泼，能与多种元素直接化合，这与氧原子的电负性仅次于氟有关。无色无味气体，是氧元素最常见的单质形态。熔点-218.4℃，沸点-183℃。不易溶于水，1L水中溶解约30mL氧气。在空气中氧气约占21%。液氧为天蓝色。固氧为蓝色晶体。</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fldChar w:fldCharType="end"/>
                  </w:r>
                </w:p>
              </w:tc>
              <w:tc>
                <w:tcPr>
                  <w:tcW w:w="4744" w:type="dxa"/>
                  <w:tcBorders>
                    <w:tl2br w:val="nil"/>
                    <w:tr2bl w:val="nil"/>
                  </w:tcBorders>
                  <w:vAlign w:val="center"/>
                </w:tcPr>
                <w:p w14:paraId="4DA5EF6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急性毒性：人类吸入TCLo：100pph/14HTCLo：100%（100%）（人吸入，14h）；TCLo：80%（大鼠吸入）。氧气是一种易燃物质，可以加速燃烧。如果氧气泄漏，尤其在封闭空间中，可能导致火灾或爆炸。</w:t>
                  </w:r>
                </w:p>
              </w:tc>
            </w:tr>
            <w:tr w14:paraId="38A6F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7DAB10B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氮气</w:t>
                  </w:r>
                </w:p>
              </w:tc>
              <w:tc>
                <w:tcPr>
                  <w:tcW w:w="2025" w:type="dxa"/>
                  <w:tcBorders>
                    <w:tl2br w:val="nil"/>
                    <w:tr2bl w:val="nil"/>
                  </w:tcBorders>
                  <w:vAlign w:val="center"/>
                </w:tcPr>
                <w:p w14:paraId="4CFEE1A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分子式：</w:t>
                  </w:r>
                  <w:r>
                    <w:rPr>
                      <w:rFonts w:hint="eastAsia" w:ascii="Times New Roman" w:hAnsi="Times New Roman" w:cs="Times New Roman"/>
                      <w:color w:val="000000" w:themeColor="text1"/>
                      <w:spacing w:val="0"/>
                      <w:w w:val="100"/>
                      <w:position w:val="1"/>
                      <w:sz w:val="21"/>
                      <w:szCs w:val="21"/>
                      <w:highlight w:val="none"/>
                      <w:lang w:val="en-US" w:eastAsia="zh-CN"/>
                      <w14:textFill>
                        <w14:solidFill>
                          <w14:schemeClr w14:val="tx1"/>
                        </w14:solidFill>
                      </w14:textFill>
                    </w:rPr>
                    <w:t>N</w:t>
                  </w:r>
                  <w:r>
                    <w:rPr>
                      <w:rFonts w:hint="eastAsia" w:ascii="Times New Roman" w:hAnsi="Times New Roman" w:cs="Times New Roman"/>
                      <w:color w:val="000000" w:themeColor="text1"/>
                      <w:spacing w:val="0"/>
                      <w:w w:val="100"/>
                      <w:position w:val="1"/>
                      <w:sz w:val="21"/>
                      <w:szCs w:val="21"/>
                      <w:highlight w:val="none"/>
                      <w:vertAlign w:val="subscript"/>
                      <w:lang w:val="en-US" w:eastAsia="zh-CN"/>
                      <w14:textFill>
                        <w14:solidFill>
                          <w14:schemeClr w14:val="tx1"/>
                        </w14:solidFill>
                      </w14:textFill>
                    </w:rPr>
                    <w:t>2</w:t>
                  </w:r>
                </w:p>
              </w:tc>
              <w:tc>
                <w:tcPr>
                  <w:tcW w:w="5625" w:type="dxa"/>
                  <w:tcBorders>
                    <w:tl2br w:val="nil"/>
                    <w:tr2bl w:val="nil"/>
                  </w:tcBorders>
                  <w:vAlign w:val="center"/>
                </w:tcPr>
                <w:p w14:paraId="449AE89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分子量：28.0134；液体密度（-210℃，12.534kPa）：869.5kg/m</w:t>
                  </w:r>
                  <w:r>
                    <w:rPr>
                      <w:rFonts w:hint="default" w:ascii="Times New Roman" w:hAnsi="Times New Roman" w:eastAsia="宋体" w:cs="Times New Roman"/>
                      <w:color w:val="000000" w:themeColor="text1"/>
                      <w:spacing w:val="0"/>
                      <w:w w:val="10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在常温常压下，为无色无臭无味的惰性气体。</w:t>
                  </w:r>
                </w:p>
              </w:tc>
              <w:tc>
                <w:tcPr>
                  <w:tcW w:w="4744" w:type="dxa"/>
                  <w:tcBorders>
                    <w:tl2br w:val="nil"/>
                    <w:tr2bl w:val="nil"/>
                  </w:tcBorders>
                  <w:vAlign w:val="center"/>
                </w:tcPr>
                <w:p w14:paraId="4E43C76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无毒，无刺激性，液氮接触皮肤能引起冷烧伤</w:t>
                  </w:r>
                </w:p>
              </w:tc>
            </w:tr>
            <w:tr w14:paraId="4A952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2E3EDFB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显影液</w:t>
                  </w:r>
                </w:p>
              </w:tc>
              <w:tc>
                <w:tcPr>
                  <w:tcW w:w="2025" w:type="dxa"/>
                  <w:tcBorders>
                    <w:tl2br w:val="nil"/>
                    <w:tr2bl w:val="nil"/>
                  </w:tcBorders>
                  <w:vAlign w:val="center"/>
                </w:tcPr>
                <w:p w14:paraId="58F21B6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四甲基氢氧化铵</w:t>
                  </w: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分子式：</w:t>
                  </w:r>
                  <w:r>
                    <w:rPr>
                      <w:rFonts w:hint="eastAsia" w:ascii="Times New Roman" w:hAnsi="Times New Roman" w:cs="Times New Roman"/>
                      <w:color w:val="000000" w:themeColor="text1"/>
                      <w:spacing w:val="0"/>
                      <w:w w:val="100"/>
                      <w:position w:val="1"/>
                      <w:sz w:val="21"/>
                      <w:szCs w:val="21"/>
                      <w:highlight w:val="none"/>
                      <w:lang w:val="en-US" w:eastAsia="zh-CN"/>
                      <w14:textFill>
                        <w14:solidFill>
                          <w14:schemeClr w14:val="tx1"/>
                        </w14:solidFill>
                      </w14:textFill>
                    </w:rPr>
                    <w:t>(CH</w:t>
                  </w:r>
                  <w:r>
                    <w:rPr>
                      <w:rFonts w:hint="eastAsia" w:ascii="Times New Roman" w:hAnsi="Times New Roman" w:cs="Times New Roman"/>
                      <w:color w:val="000000" w:themeColor="text1"/>
                      <w:spacing w:val="0"/>
                      <w:w w:val="100"/>
                      <w:position w:val="1"/>
                      <w:sz w:val="21"/>
                      <w:szCs w:val="21"/>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pacing w:val="0"/>
                      <w:w w:val="100"/>
                      <w:position w:val="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pacing w:val="0"/>
                      <w:w w:val="100"/>
                      <w:position w:val="1"/>
                      <w:sz w:val="21"/>
                      <w:szCs w:val="21"/>
                      <w:highlight w:val="none"/>
                      <w:vertAlign w:val="subscript"/>
                      <w:lang w:val="en-US" w:eastAsia="zh-CN"/>
                      <w14:textFill>
                        <w14:solidFill>
                          <w14:schemeClr w14:val="tx1"/>
                        </w14:solidFill>
                      </w14:textFill>
                    </w:rPr>
                    <w:t>4</w:t>
                  </w:r>
                  <w:r>
                    <w:rPr>
                      <w:rFonts w:hint="eastAsia" w:ascii="Times New Roman" w:hAnsi="Times New Roman" w:cs="Times New Roman"/>
                      <w:color w:val="000000" w:themeColor="text1"/>
                      <w:spacing w:val="0"/>
                      <w:w w:val="100"/>
                      <w:position w:val="1"/>
                      <w:sz w:val="21"/>
                      <w:szCs w:val="21"/>
                      <w:highlight w:val="none"/>
                      <w:lang w:val="en-US" w:eastAsia="zh-CN"/>
                      <w14:textFill>
                        <w14:solidFill>
                          <w14:schemeClr w14:val="tx1"/>
                        </w14:solidFill>
                      </w14:textFill>
                    </w:rPr>
                    <w:t>NOH</w:t>
                  </w:r>
                </w:p>
              </w:tc>
              <w:tc>
                <w:tcPr>
                  <w:tcW w:w="5625" w:type="dxa"/>
                  <w:tcBorders>
                    <w:tl2br w:val="nil"/>
                    <w:tr2bl w:val="nil"/>
                  </w:tcBorders>
                  <w:vAlign w:val="center"/>
                </w:tcPr>
                <w:p w14:paraId="2F758CD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有害成分2.38%四甲基氢氧化铵，相对密度（水=1）1，PH:11-13，溶于水与醇，沸点102℃。稳定性：稳定。</w:t>
                  </w:r>
                </w:p>
              </w:tc>
              <w:tc>
                <w:tcPr>
                  <w:tcW w:w="4744" w:type="dxa"/>
                  <w:tcBorders>
                    <w:tl2br w:val="nil"/>
                    <w:tr2bl w:val="nil"/>
                  </w:tcBorders>
                  <w:vAlign w:val="center"/>
                </w:tcPr>
                <w:p w14:paraId="04C8E37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急性毒性：LD50:50mg/kg ，LC50:90mg/kg</w:t>
                  </w:r>
                </w:p>
              </w:tc>
            </w:tr>
            <w:tr w14:paraId="44D62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2C20A2C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硫酸</w:t>
                  </w:r>
                </w:p>
              </w:tc>
              <w:tc>
                <w:tcPr>
                  <w:tcW w:w="2025" w:type="dxa"/>
                  <w:tcBorders>
                    <w:tl2br w:val="nil"/>
                    <w:tr2bl w:val="nil"/>
                  </w:tcBorders>
                  <w:vAlign w:val="center"/>
                </w:tcPr>
                <w:p w14:paraId="1BE27EC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分子式：</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H</w:t>
                  </w:r>
                  <w:r>
                    <w:rPr>
                      <w:rFonts w:hint="default" w:ascii="Times New Roman" w:hAnsi="Times New Roman" w:eastAsia="宋体" w:cs="Times New Roman"/>
                      <w:color w:val="000000" w:themeColor="text1"/>
                      <w:spacing w:val="0"/>
                      <w:w w:val="10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SO</w:t>
                  </w:r>
                  <w:r>
                    <w:rPr>
                      <w:rFonts w:hint="default" w:ascii="Times New Roman" w:hAnsi="Times New Roman" w:eastAsia="宋体" w:cs="Times New Roman"/>
                      <w:color w:val="000000" w:themeColor="text1"/>
                      <w:spacing w:val="0"/>
                      <w:w w:val="100"/>
                      <w:sz w:val="21"/>
                      <w:szCs w:val="21"/>
                      <w:highlight w:val="none"/>
                      <w:vertAlign w:val="subscript"/>
                      <w14:textFill>
                        <w14:solidFill>
                          <w14:schemeClr w14:val="tx1"/>
                        </w14:solidFill>
                      </w14:textFill>
                    </w:rPr>
                    <w:t>4</w:t>
                  </w:r>
                </w:p>
              </w:tc>
              <w:tc>
                <w:tcPr>
                  <w:tcW w:w="5625" w:type="dxa"/>
                  <w:tcBorders>
                    <w:tl2br w:val="nil"/>
                    <w:tr2bl w:val="nil"/>
                  </w:tcBorders>
                  <w:vAlign w:val="center"/>
                </w:tcPr>
                <w:p w14:paraId="56D092E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分子量98.07，密度1.834（98%），熔点10.49℃，沸点338℃，无色油状液体。工业品如含有杂质，则呈黄、棕等色。溶于水。</w:t>
                  </w:r>
                </w:p>
              </w:tc>
              <w:tc>
                <w:tcPr>
                  <w:tcW w:w="4744" w:type="dxa"/>
                  <w:tcBorders>
                    <w:tl2br w:val="nil"/>
                    <w:tr2bl w:val="nil"/>
                  </w:tcBorders>
                  <w:vAlign w:val="center"/>
                </w:tcPr>
                <w:p w14:paraId="7B3005B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强腐蚀性酸</w:t>
                  </w:r>
                </w:p>
              </w:tc>
            </w:tr>
            <w:tr w14:paraId="1F738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401C365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硝酸</w:t>
                  </w:r>
                </w:p>
              </w:tc>
              <w:tc>
                <w:tcPr>
                  <w:tcW w:w="2025" w:type="dxa"/>
                  <w:tcBorders>
                    <w:tl2br w:val="nil"/>
                    <w:tr2bl w:val="nil"/>
                  </w:tcBorders>
                  <w:vAlign w:val="center"/>
                </w:tcPr>
                <w:p w14:paraId="3263855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分子式：</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HNO</w:t>
                  </w:r>
                  <w:r>
                    <w:rPr>
                      <w:rFonts w:hint="default" w:ascii="Times New Roman" w:hAnsi="Times New Roman" w:eastAsia="宋体" w:cs="Times New Roman"/>
                      <w:color w:val="000000" w:themeColor="text1"/>
                      <w:spacing w:val="0"/>
                      <w:w w:val="100"/>
                      <w:sz w:val="21"/>
                      <w:szCs w:val="21"/>
                      <w:highlight w:val="none"/>
                      <w:vertAlign w:val="subscript"/>
                      <w14:textFill>
                        <w14:solidFill>
                          <w14:schemeClr w14:val="tx1"/>
                        </w14:solidFill>
                      </w14:textFill>
                    </w:rPr>
                    <w:t>3</w:t>
                  </w:r>
                </w:p>
              </w:tc>
              <w:tc>
                <w:tcPr>
                  <w:tcW w:w="5625" w:type="dxa"/>
                  <w:tcBorders>
                    <w:tl2br w:val="nil"/>
                    <w:tr2bl w:val="nil"/>
                  </w:tcBorders>
                  <w:vAlign w:val="center"/>
                </w:tcPr>
                <w:p w14:paraId="298040F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硝酸是一种具有强氧化性、腐蚀性的强酸。相对密度（水=1）1.42，熔点：-42℃，沸点：78℃，易溶于水，常温下纯硝酸溶液无色透明。</w:t>
                  </w:r>
                </w:p>
              </w:tc>
              <w:tc>
                <w:tcPr>
                  <w:tcW w:w="4744" w:type="dxa"/>
                  <w:tcBorders>
                    <w:tl2br w:val="nil"/>
                    <w:tr2bl w:val="nil"/>
                  </w:tcBorders>
                  <w:vAlign w:val="center"/>
                </w:tcPr>
                <w:p w14:paraId="08B3DF9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危险性类别：酸性腐蚀品、氧化剂、易制爆、强腐蚀（含量高于70%）/氧化剂（含量不超过70%）。健康危害：吸入硝酸气雾产生呼吸道刺激作用，可引起急性肺水肿。口服引起腹部剧痛，严重者可有胃穿孔、腹膜炎、喉痉挛、肾损害、休克以及窒息。眼和皮肤接触引起灼伤。慢性影响长期接触可引起牙齿酸蚀症。</w:t>
                  </w:r>
                </w:p>
              </w:tc>
            </w:tr>
            <w:tr w14:paraId="1FDF2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7DA42AB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盐酸</w:t>
                  </w:r>
                </w:p>
              </w:tc>
              <w:tc>
                <w:tcPr>
                  <w:tcW w:w="2025" w:type="dxa"/>
                  <w:tcBorders>
                    <w:tl2br w:val="nil"/>
                    <w:tr2bl w:val="nil"/>
                  </w:tcBorders>
                  <w:vAlign w:val="center"/>
                </w:tcPr>
                <w:p w14:paraId="3EC70EC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t>分子式：</w:t>
                  </w: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HCl</w:t>
                  </w:r>
                </w:p>
              </w:tc>
              <w:tc>
                <w:tcPr>
                  <w:tcW w:w="5625" w:type="dxa"/>
                  <w:tcBorders>
                    <w:tl2br w:val="nil"/>
                    <w:tr2bl w:val="nil"/>
                  </w:tcBorders>
                  <w:vAlign w:val="center"/>
                </w:tcPr>
                <w:p w14:paraId="1E9B0D6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分子量36.46，无色或微黄色有刺激性气味发烟液体；蒸汽压4225.6kPa（20℃）；熔点-114.2℃；沸点-85.0℃易溶于水；相对密度（水=1）1.19，（空气=1）1.27</w:t>
                  </w:r>
                </w:p>
              </w:tc>
              <w:tc>
                <w:tcPr>
                  <w:tcW w:w="4744" w:type="dxa"/>
                  <w:tcBorders>
                    <w:tl2br w:val="nil"/>
                    <w:tr2bl w:val="nil"/>
                  </w:tcBorders>
                  <w:vAlign w:val="center"/>
                </w:tcPr>
                <w:p w14:paraId="53751F5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t>急性毒性：LD50：400mg/kg（兔经口）；LC504600mg/m3，1小时（大鼠吸入）无水氯化氢无腐蚀性，但遇水时有强腐蚀性。能与一些活性金属粉末发生反应，放出氢气。遇氰化物能产生剧毒的氰化氢气。</w:t>
                  </w:r>
                </w:p>
              </w:tc>
            </w:tr>
            <w:tr w14:paraId="16B2A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3DD6C2F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AZ</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光刻胶</w:t>
                  </w:r>
                </w:p>
              </w:tc>
              <w:tc>
                <w:tcPr>
                  <w:tcW w:w="2025" w:type="dxa"/>
                  <w:tcBorders>
                    <w:tl2br w:val="nil"/>
                    <w:tr2bl w:val="nil"/>
                  </w:tcBorders>
                  <w:vAlign w:val="center"/>
                </w:tcPr>
                <w:p w14:paraId="4816B85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混合物：主要含光刻胶树脂、感光剂、有机溶剂、添加剂等</w:t>
                  </w:r>
                </w:p>
              </w:tc>
              <w:tc>
                <w:tcPr>
                  <w:tcW w:w="5625" w:type="dxa"/>
                  <w:tcBorders>
                    <w:tl2br w:val="nil"/>
                    <w:tr2bl w:val="nil"/>
                  </w:tcBorders>
                  <w:vAlign w:val="center"/>
                </w:tcPr>
                <w:p w14:paraId="3CE752DB">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常温下为淡黄色至无色透明</w:t>
                  </w: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黏稠</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液体，易溶于醇类、酯类有机溶剂；</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沸点：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80~150℃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（随溶剂组分变化）</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0.95~1.05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闪点：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45~60℃</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易挥发，在光照条件下易发生光化学反应</w:t>
                  </w:r>
                </w:p>
              </w:tc>
              <w:tc>
                <w:tcPr>
                  <w:tcW w:w="4744" w:type="dxa"/>
                  <w:tcBorders>
                    <w:tl2br w:val="nil"/>
                    <w:tr2bl w:val="nil"/>
                  </w:tcBorders>
                  <w:vAlign w:val="center"/>
                </w:tcPr>
                <w:p w14:paraId="03FDE526">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吸入：挥发气体会刺激呼吸道，引起咳嗽、咽喉不适；</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皮肤：接触会造成皮肤干燥、刺激，长期接触可能引发皮炎；</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眼睛：直接接触会造成严重眼刺激，出现红肿、刺痛；</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摄入：误吞有害，会刺激消化道黏膜。</w:t>
                  </w:r>
                </w:p>
              </w:tc>
            </w:tr>
            <w:tr w14:paraId="5FAF4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5C0095A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增粘剂六甲基二硅杂氮烷（</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HMDS</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p>
              </w:tc>
              <w:tc>
                <w:tcPr>
                  <w:tcW w:w="2025" w:type="dxa"/>
                  <w:tcBorders>
                    <w:tl2br w:val="nil"/>
                    <w:tr2bl w:val="nil"/>
                  </w:tcBorders>
                  <w:vAlign w:val="center"/>
                </w:tcPr>
                <w:p w14:paraId="5FEA827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C</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19</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NSi</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(CH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SiNHSi(CH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p>
              </w:tc>
              <w:tc>
                <w:tcPr>
                  <w:tcW w:w="5625" w:type="dxa"/>
                  <w:tcBorders>
                    <w:tl2br w:val="nil"/>
                    <w:tr2bl w:val="nil"/>
                  </w:tcBorders>
                  <w:vAlign w:val="center"/>
                </w:tcPr>
                <w:p w14:paraId="324BBCEA">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外观为无色透明易挥发液体，有轻微胺味；</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熔点：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-78℃</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沸点：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126℃</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0.77</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饱和蒸汽压（</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kPa</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1.6</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闪点：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易溶于有机溶剂，遇水易水解生成六甲基二硅氧烷和氨。</w:t>
                  </w:r>
                </w:p>
              </w:tc>
              <w:tc>
                <w:tcPr>
                  <w:tcW w:w="4744" w:type="dxa"/>
                  <w:tcBorders>
                    <w:tl2br w:val="nil"/>
                    <w:tr2bl w:val="nil"/>
                  </w:tcBorders>
                  <w:vAlign w:val="center"/>
                </w:tcPr>
                <w:p w14:paraId="3FEFE22D">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吸入：高浓度蒸气会刺激呼吸道，引起头晕、恶心、胸闷，严重时可致头痛、意识模糊；</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皮肤：接触会造成皮肤刺激、干燥，偶发过敏；</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眼睛：直接接触会引起眼结膜红肿、刺痛，严重时可致角膜损伤；</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摄入：误吞有害，会刺激胃肠道，引发呕吐、腹痛。</w:t>
                  </w:r>
                </w:p>
              </w:tc>
            </w:tr>
            <w:tr w14:paraId="79540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6045705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稀释剂</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丙二醇甲醚醋酸酯（</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PGMEA</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p>
              </w:tc>
              <w:tc>
                <w:tcPr>
                  <w:tcW w:w="2025" w:type="dxa"/>
                  <w:tcBorders>
                    <w:tl2br w:val="nil"/>
                    <w:tr2bl w:val="nil"/>
                  </w:tcBorders>
                  <w:vAlign w:val="center"/>
                </w:tcPr>
                <w:p w14:paraId="1239B0EF">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C</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12</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O</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p>
              </w:tc>
              <w:tc>
                <w:tcPr>
                  <w:tcW w:w="5625" w:type="dxa"/>
                  <w:tcBorders>
                    <w:tl2br w:val="nil"/>
                    <w:tr2bl w:val="nil"/>
                  </w:tcBorders>
                  <w:vAlign w:val="center"/>
                </w:tcPr>
                <w:p w14:paraId="176818DE">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外观为无色透明液体，有轻微酯类气味；</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熔点：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-87℃</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沸点：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146℃</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0.97</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水溶性：</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19.8g/L</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闪点：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42℃</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饱和蒸汽压（</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kPa</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0.67</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能与醇、醚、酮等有机溶剂互溶。</w:t>
                  </w:r>
                </w:p>
              </w:tc>
              <w:tc>
                <w:tcPr>
                  <w:tcW w:w="4744" w:type="dxa"/>
                  <w:tcBorders>
                    <w:tl2br w:val="nil"/>
                    <w:tr2bl w:val="nil"/>
                  </w:tcBorders>
                  <w:vAlign w:val="center"/>
                </w:tcPr>
                <w:p w14:paraId="6245E280">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吸入：长期吸入低浓度蒸气会引起头晕、乏力、食欲减退，高浓度会刺激呼吸道；</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皮肤：长期接触会造成皮肤干燥、脱脂，轻微刺激；</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眼睛：接触会引起眼刺激，出现红肿、流泪；</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急性毒性：大鼠经口</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LD50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2500mg/kg</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，属于低毒溶剂。</w:t>
                  </w:r>
                </w:p>
              </w:tc>
            </w:tr>
            <w:tr w14:paraId="205D6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0456ABE7">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清洁胶</w:t>
                  </w:r>
                </w:p>
              </w:tc>
              <w:tc>
                <w:tcPr>
                  <w:tcW w:w="2025" w:type="dxa"/>
                  <w:tcBorders>
                    <w:tl2br w:val="nil"/>
                    <w:tr2bl w:val="nil"/>
                  </w:tcBorders>
                  <w:vAlign w:val="center"/>
                </w:tcPr>
                <w:p w14:paraId="6D0E954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混合物：主要含高分子胶黏剂、有机溶剂、表面活性剂等</w:t>
                  </w:r>
                </w:p>
              </w:tc>
              <w:tc>
                <w:tcPr>
                  <w:tcW w:w="5625" w:type="dxa"/>
                  <w:tcBorders>
                    <w:tl2br w:val="nil"/>
                    <w:tr2bl w:val="nil"/>
                  </w:tcBorders>
                  <w:vAlign w:val="center"/>
                </w:tcPr>
                <w:p w14:paraId="30891C3B">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常温下为无色至淡黄色膏状</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液体，根据型号略有差异；</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0.9~1.1</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闪点：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60~80℃</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不易溶于水，易溶于醇类、酮类有机溶剂；</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常温下稳定，加热至</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100℃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以上易挥发。</w:t>
                  </w:r>
                </w:p>
              </w:tc>
              <w:tc>
                <w:tcPr>
                  <w:tcW w:w="4744" w:type="dxa"/>
                  <w:tcBorders>
                    <w:tl2br w:val="nil"/>
                    <w:tr2bl w:val="nil"/>
                  </w:tcBorders>
                  <w:vAlign w:val="center"/>
                </w:tcPr>
                <w:p w14:paraId="19E6B3FE">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吸入：挥发气体轻微刺激呼吸道，长期接触可能引起咽喉不适；</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皮肤：接触一般无强烈刺激，少数人会出现轻微皮肤瘙痒；</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眼睛：直接接触会引起眼刺激，出现红肿、异物感；</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摄入：误吞有害，会刺激消化道，引发恶心。</w:t>
                  </w:r>
                </w:p>
              </w:tc>
            </w:tr>
            <w:tr w14:paraId="26525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5657412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N-</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甲基吡咯烷酮（</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NMP</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p>
              </w:tc>
              <w:tc>
                <w:tcPr>
                  <w:tcW w:w="2025" w:type="dxa"/>
                  <w:tcBorders>
                    <w:tl2br w:val="nil"/>
                    <w:tr2bl w:val="nil"/>
                  </w:tcBorders>
                  <w:vAlign w:val="center"/>
                </w:tcPr>
                <w:p w14:paraId="4D0EE87F">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C</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NO</w:t>
                  </w:r>
                </w:p>
              </w:tc>
              <w:tc>
                <w:tcPr>
                  <w:tcW w:w="5625" w:type="dxa"/>
                  <w:tcBorders>
                    <w:tl2br w:val="nil"/>
                    <w:tr2bl w:val="nil"/>
                  </w:tcBorders>
                  <w:vAlign w:val="center"/>
                </w:tcPr>
                <w:p w14:paraId="780F0520">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外观为无色透明液体，有轻微胺味；</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熔点：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-24℃</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沸点：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202℃</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1.03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水溶性：与水互溶</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闪点：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95℃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饱和蒸汽压（</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kPa</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0.09</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能与多数有机溶剂互溶，化学性质稳定。</w:t>
                  </w:r>
                </w:p>
              </w:tc>
              <w:tc>
                <w:tcPr>
                  <w:tcW w:w="4744" w:type="dxa"/>
                  <w:tcBorders>
                    <w:tl2br w:val="nil"/>
                    <w:tr2bl w:val="nil"/>
                  </w:tcBorders>
                  <w:vAlign w:val="center"/>
                </w:tcPr>
                <w:p w14:paraId="4E7589DE">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吸入：长期吸入低浓度蒸气会引起头晕、乏力、失眠，高浓度会刺激呼吸道；</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皮肤：可经皮肤吸收，长期接触会造成皮肤干燥、脱皮，偶发肝肾功能轻微异常；</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眼睛：接触会引起眼刺激，出现红肿、刺痛；</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急性毒性：大鼠经口</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LD50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3910mg/kg</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，经皮</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LD50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&gt;2000mg/kg</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p>
              </w:tc>
            </w:tr>
            <w:tr w14:paraId="5AD55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1FC5A54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氢氟酸</w:t>
                  </w:r>
                </w:p>
              </w:tc>
              <w:tc>
                <w:tcPr>
                  <w:tcW w:w="2025" w:type="dxa"/>
                  <w:tcBorders>
                    <w:tl2br w:val="nil"/>
                    <w:tr2bl w:val="nil"/>
                  </w:tcBorders>
                  <w:vAlign w:val="center"/>
                </w:tcPr>
                <w:p w14:paraId="337A6A2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HF</w:t>
                  </w:r>
                </w:p>
              </w:tc>
              <w:tc>
                <w:tcPr>
                  <w:tcW w:w="5625" w:type="dxa"/>
                  <w:tcBorders>
                    <w:tl2br w:val="nil"/>
                    <w:tr2bl w:val="nil"/>
                  </w:tcBorders>
                  <w:vAlign w:val="center"/>
                </w:tcPr>
                <w:p w14:paraId="326C27C0">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外观为无色透明腐蚀性液体，有刺激性气味；</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纯品熔点：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-83.1℃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，沸点：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19.5℃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水溶液相对密度（水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1.05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与水、乙醇互溶，具有强腐蚀性，能与玻璃、金属发生反应。</w:t>
                  </w:r>
                </w:p>
              </w:tc>
              <w:tc>
                <w:tcPr>
                  <w:tcW w:w="4744" w:type="dxa"/>
                  <w:tcBorders>
                    <w:tl2br w:val="nil"/>
                    <w:tr2bl w:val="nil"/>
                  </w:tcBorders>
                  <w:vAlign w:val="center"/>
                </w:tcPr>
                <w:p w14:paraId="577EEF19">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吸入：蒸气会强烈刺激呼吸道黏膜，引起咳嗽、胸闷，严重时可致肺水肿、氟中毒；</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皮肤：接触会造成严重化学灼伤，初期无痛感，数小时后出现红肿、水泡，深层组织坏死，且氟离子会经皮肤吸收引发全身中毒；</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眼睛：接触会造成角膜、结膜严重灼伤，甚至失明；</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摄入：误吞会灼伤口腔、食道、胃黏膜，引发呕血、休克，严重时可致脏器损伤。</w:t>
                  </w:r>
                </w:p>
              </w:tc>
            </w:tr>
            <w:tr w14:paraId="46FAF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6EE5D525">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硝酸铈铵</w:t>
                  </w:r>
                </w:p>
              </w:tc>
              <w:tc>
                <w:tcPr>
                  <w:tcW w:w="2025" w:type="dxa"/>
                  <w:tcBorders>
                    <w:tl2br w:val="nil"/>
                    <w:tr2bl w:val="nil"/>
                  </w:tcBorders>
                  <w:vAlign w:val="center"/>
                </w:tcPr>
                <w:p w14:paraId="3A302147">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Ce(NO</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p>
              </w:tc>
              <w:tc>
                <w:tcPr>
                  <w:tcW w:w="5625" w:type="dxa"/>
                  <w:tcBorders>
                    <w:tl2br w:val="nil"/>
                    <w:tr2bl w:val="nil"/>
                  </w:tcBorders>
                  <w:vAlign w:val="center"/>
                </w:tcPr>
                <w:p w14:paraId="22EDEA90">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外观为橘红色结晶粉末，易潮解；</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熔点：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107℃</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（分解）</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1.77</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水溶性：易溶于水、乙醇，不溶于浓硝酸；</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常温下稳定，受热易分解产生氮氧化物。</w:t>
                  </w:r>
                </w:p>
              </w:tc>
              <w:tc>
                <w:tcPr>
                  <w:tcW w:w="4744" w:type="dxa"/>
                  <w:tcBorders>
                    <w:tl2br w:val="nil"/>
                    <w:tr2bl w:val="nil"/>
                  </w:tcBorders>
                  <w:vAlign w:val="center"/>
                </w:tcPr>
                <w:p w14:paraId="3014813B">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吸入：粉尘会刺激呼吸道，引起咳嗽、胸闷，长期接触可能导致肺组织损伤；</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皮肤：接触会造成皮肤刺激、红肿，粉末入眼会引起严重眼刺激；</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眼睛：直接接触会导致结膜红肿、角膜损伤；</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摄入：误吞有害，会刺激消化道，引发恶心、呕吐，铈离子会对肝肾造成轻微损伤。</w:t>
                  </w:r>
                </w:p>
              </w:tc>
            </w:tr>
            <w:tr w14:paraId="5AA3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0C1A03C1">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冰乙酸</w:t>
                  </w:r>
                </w:p>
              </w:tc>
              <w:tc>
                <w:tcPr>
                  <w:tcW w:w="2025" w:type="dxa"/>
                  <w:tcBorders>
                    <w:tl2br w:val="nil"/>
                    <w:tr2bl w:val="nil"/>
                  </w:tcBorders>
                  <w:vAlign w:val="center"/>
                </w:tcPr>
                <w:p w14:paraId="652056EB">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CH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COOH</w:t>
                  </w:r>
                </w:p>
              </w:tc>
              <w:tc>
                <w:tcPr>
                  <w:tcW w:w="5625" w:type="dxa"/>
                  <w:tcBorders>
                    <w:tl2br w:val="nil"/>
                    <w:tr2bl w:val="nil"/>
                  </w:tcBorders>
                  <w:vAlign w:val="center"/>
                </w:tcPr>
                <w:p w14:paraId="1F2AED62">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外观为无色透明液体，有强烈刺激性酸味；</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熔点：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16.6℃</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沸点：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117.9℃</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1.05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水溶性：与水、乙醇、乙醚等互溶</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闪点：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饱和蒸汽压（</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kPa</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1.52</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p>
              </w:tc>
              <w:tc>
                <w:tcPr>
                  <w:tcW w:w="4744" w:type="dxa"/>
                  <w:tcBorders>
                    <w:tl2br w:val="nil"/>
                    <w:tr2bl w:val="nil"/>
                  </w:tcBorders>
                  <w:vAlign w:val="center"/>
                </w:tcPr>
                <w:p w14:paraId="3E221526">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吸入：蒸气会强烈刺激鼻、咽喉和呼吸道，引起咳嗽、胸闷，长期接触可致慢性支气管炎；</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皮肤：接触会造成皮肤灼伤、红肿、水泡，长期接触会导致皮肤粗糙、脱皮；</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眼睛：直接接触会造成严重眼灼伤，出现结膜充血、角膜损伤；</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摄入：误吞会灼伤口腔、食道和胃黏膜，引发剧烈腹痛、呕吐。</w:t>
                  </w:r>
                </w:p>
              </w:tc>
            </w:tr>
            <w:tr w14:paraId="6D182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5138C627">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85% </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磷酸</w:t>
                  </w:r>
                </w:p>
              </w:tc>
              <w:tc>
                <w:tcPr>
                  <w:tcW w:w="2025" w:type="dxa"/>
                  <w:tcBorders>
                    <w:tl2br w:val="nil"/>
                    <w:tr2bl w:val="nil"/>
                  </w:tcBorders>
                  <w:vAlign w:val="center"/>
                </w:tcPr>
                <w:p w14:paraId="54D2CC22">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PO</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p>
              </w:tc>
              <w:tc>
                <w:tcPr>
                  <w:tcW w:w="5625" w:type="dxa"/>
                  <w:tcBorders>
                    <w:tl2br w:val="nil"/>
                    <w:tr2bl w:val="nil"/>
                  </w:tcBorders>
                  <w:vAlign w:val="center"/>
                </w:tcPr>
                <w:p w14:paraId="02D08618">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纯品为无色斜方晶体，</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85% </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工业品为无色透明</w:t>
                  </w: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黏稠</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液体，无刺激性气味；</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纯品熔点：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42.35℃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沸点：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213℃</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（失去</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1/2H2​O</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85%</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溶液相对密度（水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1.685</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易溶于水、乙醇，在空气中易吸潮，化学性质稳定，无强氧化性。</w:t>
                  </w:r>
                </w:p>
              </w:tc>
              <w:tc>
                <w:tcPr>
                  <w:tcW w:w="4744" w:type="dxa"/>
                  <w:tcBorders>
                    <w:tl2br w:val="nil"/>
                    <w:tr2bl w:val="nil"/>
                  </w:tcBorders>
                  <w:vAlign w:val="center"/>
                </w:tcPr>
                <w:p w14:paraId="2666EBFD">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吸入：蒸气</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雾滴会刺激呼吸道黏膜，引起咳嗽、咽喉不适，长期接触可致慢性鼻炎；</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皮肤：接触会造成轻微腐蚀，出现皮肤发红、刺痛，高浓度会造成灼伤；</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眼睛：接触会引起眼刺激，高浓度会致结膜、角膜损伤；</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摄入：误吞会刺激消化道，引发恶心、呕吐，严重时可致消化道黏膜灼伤。</w:t>
                  </w:r>
                </w:p>
              </w:tc>
            </w:tr>
            <w:tr w14:paraId="5C8C4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32" w:type="dxa"/>
                  <w:tcBorders>
                    <w:tl2br w:val="nil"/>
                    <w:tr2bl w:val="nil"/>
                  </w:tcBorders>
                  <w:vAlign w:val="center"/>
                </w:tcPr>
                <w:p w14:paraId="51017C1B">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氟化铵</w:t>
                  </w:r>
                </w:p>
              </w:tc>
              <w:tc>
                <w:tcPr>
                  <w:tcW w:w="2025" w:type="dxa"/>
                  <w:tcBorders>
                    <w:tl2br w:val="nil"/>
                    <w:tr2bl w:val="nil"/>
                  </w:tcBorders>
                  <w:vAlign w:val="center"/>
                </w:tcPr>
                <w:p w14:paraId="003CF86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2"/>
                      <w:szCs w:val="22"/>
                      <w:highlight w:val="none"/>
                      <w:u w:val="none"/>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F</w:t>
                  </w:r>
                </w:p>
              </w:tc>
              <w:tc>
                <w:tcPr>
                  <w:tcW w:w="5625" w:type="dxa"/>
                  <w:tcBorders>
                    <w:tl2br w:val="nil"/>
                    <w:tr2bl w:val="nil"/>
                  </w:tcBorders>
                  <w:vAlign w:val="center"/>
                </w:tcPr>
                <w:p w14:paraId="3B816D26">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外观为无色透明结晶或白色粉末，易潮解；</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熔点：</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100℃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（分解）</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相对密度（水</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1</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1.01</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水溶性：易溶于水，水溶液呈弱酸性，微溶于乙醇，受热易分解产生氟化氢和氨；</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与酸接触会释放出氟化氢气体。</w:t>
                  </w:r>
                </w:p>
              </w:tc>
              <w:tc>
                <w:tcPr>
                  <w:tcW w:w="4744" w:type="dxa"/>
                  <w:tcBorders>
                    <w:tl2br w:val="nil"/>
                    <w:tr2bl w:val="nil"/>
                  </w:tcBorders>
                  <w:vAlign w:val="center"/>
                </w:tcPr>
                <w:p w14:paraId="17D5A9EC">
                  <w:pPr>
                    <w:keepNext w:val="0"/>
                    <w:keepLines w:val="0"/>
                    <w:widowControl/>
                    <w:suppressLineNumbers w:val="0"/>
                    <w:jc w:val="both"/>
                    <w:textAlignment w:val="center"/>
                    <w:rPr>
                      <w:rFonts w:hint="default" w:ascii="Times New Roman" w:hAnsi="Times New Roman" w:eastAsia="宋体" w:cs="Times New Roman"/>
                      <w:color w:val="000000" w:themeColor="text1"/>
                      <w:spacing w:val="0"/>
                      <w:w w:val="10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吸入：粉尘</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 / </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蒸气会刺激呼吸道，引起咳嗽、胸闷，氟离子会损伤呼吸道黏膜，长期接触可致氟中毒；</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皮肤：接触会造成皮肤刺激、红肿，粉末潮解后具有腐蚀性，可致皮肤灼伤；</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眼睛：接触会引起眼结膜红肿、刺痛，严重时可致角膜损伤；</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摄入：误吞有害，会刺激消化道，引发呕吐、腹痛，氟离子经消化道吸收会引发全身氟中毒。</w:t>
                  </w:r>
                </w:p>
              </w:tc>
            </w:tr>
          </w:tbl>
          <w:p w14:paraId="177A8671">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34FCAFA4">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620D3B08">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26C23727">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665DDC8D">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0F680BF1">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759916E1">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78BF81D7">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5B527F28">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7EE01DCD">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061F4AD1">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p w14:paraId="6E875710">
            <w:pPr>
              <w:spacing w:line="360" w:lineRule="auto"/>
              <w:jc w:val="center"/>
              <w:rPr>
                <w:rFonts w:hint="eastAsia"/>
                <w:b/>
                <w:bCs/>
                <w:color w:val="000000" w:themeColor="text1"/>
                <w:sz w:val="24"/>
                <w:szCs w:val="24"/>
                <w:highlight w:val="none"/>
                <w:lang w:val="en-US" w:eastAsia="zh-CN"/>
                <w14:textFill>
                  <w14:solidFill>
                    <w14:schemeClr w14:val="tx1"/>
                  </w14:solidFill>
                </w14:textFill>
              </w:rPr>
            </w:pPr>
          </w:p>
        </w:tc>
      </w:tr>
    </w:tbl>
    <w:p w14:paraId="10BAD2EE">
      <w:pPr>
        <w:pStyle w:val="12"/>
        <w:rPr>
          <w:snapToGrid w:val="0"/>
          <w:color w:val="000000" w:themeColor="text1"/>
          <w:highlight w:val="none"/>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46"/>
        <w:gridCol w:w="8278"/>
      </w:tblGrid>
      <w:tr w14:paraId="775B9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48" w:hRule="atLeast"/>
          <w:jc w:val="center"/>
        </w:trPr>
        <w:tc>
          <w:tcPr>
            <w:tcW w:w="546" w:type="dxa"/>
            <w:vAlign w:val="center"/>
          </w:tcPr>
          <w:p w14:paraId="61877815">
            <w:pPr>
              <w:pStyle w:val="26"/>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278" w:type="dxa"/>
          </w:tcPr>
          <w:p w14:paraId="669931E7">
            <w:pPr>
              <w:pStyle w:val="37"/>
              <w:rPr>
                <w:rFonts w:hint="default"/>
                <w:b w:val="0"/>
                <w:color w:val="000000" w:themeColor="text1"/>
                <w:sz w:val="24"/>
                <w:szCs w:val="21"/>
                <w:highlight w:val="none"/>
                <w:lang w:val="en-US" w:eastAsia="zh-CN"/>
                <w14:textFill>
                  <w14:solidFill>
                    <w14:schemeClr w14:val="tx1"/>
                  </w14:solidFill>
                </w14:textFill>
              </w:rPr>
            </w:pPr>
            <w:r>
              <w:rPr>
                <w:rFonts w:hint="eastAsia"/>
                <w:b w:val="0"/>
                <w:color w:val="000000" w:themeColor="text1"/>
                <w:sz w:val="24"/>
                <w:szCs w:val="21"/>
                <w:highlight w:val="none"/>
                <w:lang w:val="en-US" w:eastAsia="zh-CN"/>
                <w14:textFill>
                  <w14:solidFill>
                    <w14:schemeClr w14:val="tx1"/>
                  </w14:solidFill>
                </w14:textFill>
              </w:rPr>
              <w:t>2.5 主要生产设备</w:t>
            </w:r>
          </w:p>
          <w:p w14:paraId="13619D51">
            <w:pPr>
              <w:pStyle w:val="36"/>
              <w:keepNext w:val="0"/>
              <w:keepLines w:val="0"/>
              <w:pageBreakBefore w:val="0"/>
              <w:widowControl w:val="0"/>
              <w:kinsoku/>
              <w:wordWrap/>
              <w:overflowPunct/>
              <w:topLinePunct w:val="0"/>
              <w:bidi w:val="0"/>
              <w:adjustRightInd/>
              <w:snapToGrid/>
              <w:spacing w:before="0" w:line="360" w:lineRule="auto"/>
              <w:ind w:left="488"/>
              <w:textAlignment w:val="auto"/>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（1）主要生产设备</w:t>
            </w:r>
          </w:p>
          <w:p w14:paraId="6ED8F17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本项目的主要生产设备详见下表。</w:t>
            </w:r>
          </w:p>
          <w:p w14:paraId="529357A9">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color w:val="000000" w:themeColor="text1"/>
                <w:sz w:val="24"/>
                <w:szCs w:val="32"/>
                <w:highlight w:val="none"/>
                <w:lang w:val="en-US" w:eastAsia="zh-CN"/>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2.5-1</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本</w:t>
            </w:r>
            <w:r>
              <w:rPr>
                <w:rFonts w:hint="eastAsia"/>
                <w:b/>
                <w:color w:val="000000" w:themeColor="text1"/>
                <w:sz w:val="24"/>
                <w:szCs w:val="24"/>
                <w:highlight w:val="none"/>
                <w14:textFill>
                  <w14:solidFill>
                    <w14:schemeClr w14:val="tx1"/>
                  </w14:solidFill>
                </w14:textFill>
              </w:rPr>
              <w:t>项目主要</w:t>
            </w:r>
            <w:r>
              <w:rPr>
                <w:rFonts w:hint="eastAsia"/>
                <w:b/>
                <w:color w:val="000000" w:themeColor="text1"/>
                <w:sz w:val="24"/>
                <w:szCs w:val="24"/>
                <w:highlight w:val="none"/>
                <w:lang w:val="en-US" w:eastAsia="zh-CN"/>
                <w14:textFill>
                  <w14:solidFill>
                    <w14:schemeClr w14:val="tx1"/>
                  </w14:solidFill>
                </w14:textFill>
              </w:rPr>
              <w:t>生产设备</w:t>
            </w:r>
            <w:r>
              <w:rPr>
                <w:rFonts w:hint="eastAsia"/>
                <w:b/>
                <w:color w:val="000000" w:themeColor="text1"/>
                <w:sz w:val="24"/>
                <w:szCs w:val="24"/>
                <w:highlight w:val="none"/>
                <w14:textFill>
                  <w14:solidFill>
                    <w14:schemeClr w14:val="tx1"/>
                  </w14:solidFill>
                </w14:textFill>
              </w:rPr>
              <w:t>一览</w:t>
            </w:r>
            <w:r>
              <w:rPr>
                <w:rFonts w:hint="eastAsia"/>
                <w:b/>
                <w:color w:val="000000" w:themeColor="text1"/>
                <w:sz w:val="24"/>
                <w:szCs w:val="24"/>
                <w:highlight w:val="none"/>
                <w:lang w:val="en-US" w:eastAsia="zh-CN"/>
                <w14:textFill>
                  <w14:solidFill>
                    <w14:schemeClr w14:val="tx1"/>
                  </w14:solidFill>
                </w14:textFill>
              </w:rPr>
              <w:t>表</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7"/>
              <w:gridCol w:w="2480"/>
              <w:gridCol w:w="2077"/>
              <w:gridCol w:w="2230"/>
            </w:tblGrid>
            <w:tr w14:paraId="21481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7246D68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2452" w:type="dxa"/>
                  <w:tcBorders>
                    <w:tl2br w:val="nil"/>
                    <w:tr2bl w:val="nil"/>
                  </w:tcBorders>
                  <w:noWrap w:val="0"/>
                  <w:tcMar>
                    <w:top w:w="15" w:type="dxa"/>
                    <w:left w:w="15" w:type="dxa"/>
                    <w:right w:w="15" w:type="dxa"/>
                  </w:tcMar>
                  <w:vAlign w:val="center"/>
                </w:tcPr>
                <w:p w14:paraId="76641F3F">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设备名称</w:t>
                  </w:r>
                </w:p>
              </w:tc>
              <w:tc>
                <w:tcPr>
                  <w:tcW w:w="2054" w:type="dxa"/>
                  <w:tcBorders>
                    <w:tl2br w:val="nil"/>
                    <w:tr2bl w:val="nil"/>
                  </w:tcBorders>
                  <w:noWrap w:val="0"/>
                  <w:tcMar>
                    <w:top w:w="15" w:type="dxa"/>
                    <w:left w:w="15" w:type="dxa"/>
                    <w:right w:w="15" w:type="dxa"/>
                  </w:tcMar>
                  <w:vAlign w:val="center"/>
                </w:tcPr>
                <w:p w14:paraId="48090814">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单位</w:t>
                  </w:r>
                </w:p>
              </w:tc>
              <w:tc>
                <w:tcPr>
                  <w:tcW w:w="2204" w:type="dxa"/>
                  <w:tcBorders>
                    <w:tl2br w:val="nil"/>
                    <w:tr2bl w:val="nil"/>
                  </w:tcBorders>
                  <w:noWrap w:val="0"/>
                  <w:tcMar>
                    <w:top w:w="15" w:type="dxa"/>
                    <w:left w:w="15" w:type="dxa"/>
                    <w:right w:w="15" w:type="dxa"/>
                  </w:tcMar>
                  <w:vAlign w:val="center"/>
                </w:tcPr>
                <w:p w14:paraId="79A15856">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w:t>
                  </w:r>
                </w:p>
              </w:tc>
            </w:tr>
            <w:tr w14:paraId="4B72C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153119FB">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2452" w:type="dxa"/>
                  <w:tcBorders>
                    <w:tl2br w:val="nil"/>
                    <w:tr2bl w:val="nil"/>
                  </w:tcBorders>
                  <w:noWrap w:val="0"/>
                  <w:tcMar>
                    <w:top w:w="15" w:type="dxa"/>
                    <w:left w:w="15" w:type="dxa"/>
                    <w:right w:w="15" w:type="dxa"/>
                  </w:tcMar>
                  <w:vAlign w:val="center"/>
                </w:tcPr>
                <w:p w14:paraId="24D6A7E8">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抛光机</w:t>
                  </w:r>
                </w:p>
              </w:tc>
              <w:tc>
                <w:tcPr>
                  <w:tcW w:w="2054" w:type="dxa"/>
                  <w:tcBorders>
                    <w:tl2br w:val="nil"/>
                    <w:tr2bl w:val="nil"/>
                  </w:tcBorders>
                  <w:noWrap w:val="0"/>
                  <w:tcMar>
                    <w:top w:w="15" w:type="dxa"/>
                    <w:left w:w="15" w:type="dxa"/>
                    <w:right w:w="15" w:type="dxa"/>
                  </w:tcMar>
                  <w:vAlign w:val="center"/>
                </w:tcPr>
                <w:p w14:paraId="5DFC01B7">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556E4613">
                  <w:pPr>
                    <w:widowControl/>
                    <w:jc w:val="center"/>
                    <w:textAlignment w:val="center"/>
                    <w:rPr>
                      <w:color w:val="000000" w:themeColor="text1"/>
                      <w:szCs w:val="21"/>
                      <w:highlight w:val="none"/>
                      <w14:textFill>
                        <w14:solidFill>
                          <w14:schemeClr w14:val="tx1"/>
                        </w14:solidFill>
                      </w14:textFill>
                    </w:rPr>
                  </w:pPr>
                </w:p>
              </w:tc>
            </w:tr>
            <w:tr w14:paraId="2C70E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2C1E9430">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2452" w:type="dxa"/>
                  <w:tcBorders>
                    <w:tl2br w:val="nil"/>
                    <w:tr2bl w:val="nil"/>
                  </w:tcBorders>
                  <w:noWrap w:val="0"/>
                  <w:tcMar>
                    <w:top w:w="15" w:type="dxa"/>
                    <w:left w:w="15" w:type="dxa"/>
                    <w:right w:w="15" w:type="dxa"/>
                  </w:tcMar>
                  <w:vAlign w:val="center"/>
                </w:tcPr>
                <w:p w14:paraId="244FCAA7">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研磨机</w:t>
                  </w:r>
                </w:p>
              </w:tc>
              <w:tc>
                <w:tcPr>
                  <w:tcW w:w="2054" w:type="dxa"/>
                  <w:tcBorders>
                    <w:tl2br w:val="nil"/>
                    <w:tr2bl w:val="nil"/>
                  </w:tcBorders>
                  <w:noWrap w:val="0"/>
                  <w:tcMar>
                    <w:top w:w="15" w:type="dxa"/>
                    <w:left w:w="15" w:type="dxa"/>
                    <w:right w:w="15" w:type="dxa"/>
                  </w:tcMar>
                  <w:vAlign w:val="center"/>
                </w:tcPr>
                <w:p w14:paraId="2CD59079">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552E26BF">
                  <w:pPr>
                    <w:widowControl/>
                    <w:jc w:val="center"/>
                    <w:textAlignment w:val="center"/>
                    <w:rPr>
                      <w:color w:val="000000" w:themeColor="text1"/>
                      <w:szCs w:val="21"/>
                      <w:highlight w:val="none"/>
                      <w14:textFill>
                        <w14:solidFill>
                          <w14:schemeClr w14:val="tx1"/>
                        </w14:solidFill>
                      </w14:textFill>
                    </w:rPr>
                  </w:pPr>
                </w:p>
              </w:tc>
            </w:tr>
            <w:tr w14:paraId="7EB67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0E11DB40">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2452" w:type="dxa"/>
                  <w:tcBorders>
                    <w:tl2br w:val="nil"/>
                    <w:tr2bl w:val="nil"/>
                  </w:tcBorders>
                  <w:noWrap w:val="0"/>
                  <w:tcMar>
                    <w:top w:w="15" w:type="dxa"/>
                    <w:left w:w="15" w:type="dxa"/>
                    <w:right w:w="15" w:type="dxa"/>
                  </w:tcMar>
                  <w:vAlign w:val="center"/>
                </w:tcPr>
                <w:p w14:paraId="33D80C42">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铣磨机</w:t>
                  </w:r>
                </w:p>
              </w:tc>
              <w:tc>
                <w:tcPr>
                  <w:tcW w:w="2054" w:type="dxa"/>
                  <w:tcBorders>
                    <w:tl2br w:val="nil"/>
                    <w:tr2bl w:val="nil"/>
                  </w:tcBorders>
                  <w:noWrap w:val="0"/>
                  <w:tcMar>
                    <w:top w:w="15" w:type="dxa"/>
                    <w:left w:w="15" w:type="dxa"/>
                    <w:right w:w="15" w:type="dxa"/>
                  </w:tcMar>
                  <w:vAlign w:val="center"/>
                </w:tcPr>
                <w:p w14:paraId="2F5FE338">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54FB8E5F">
                  <w:pPr>
                    <w:widowControl/>
                    <w:jc w:val="center"/>
                    <w:textAlignment w:val="center"/>
                    <w:rPr>
                      <w:color w:val="000000" w:themeColor="text1"/>
                      <w:szCs w:val="21"/>
                      <w:highlight w:val="none"/>
                      <w14:textFill>
                        <w14:solidFill>
                          <w14:schemeClr w14:val="tx1"/>
                        </w14:solidFill>
                      </w14:textFill>
                    </w:rPr>
                  </w:pPr>
                </w:p>
              </w:tc>
            </w:tr>
            <w:tr w14:paraId="409E3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1EC8F38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2452" w:type="dxa"/>
                  <w:tcBorders>
                    <w:tl2br w:val="nil"/>
                    <w:tr2bl w:val="nil"/>
                  </w:tcBorders>
                  <w:noWrap w:val="0"/>
                  <w:tcMar>
                    <w:top w:w="15" w:type="dxa"/>
                    <w:left w:w="15" w:type="dxa"/>
                    <w:right w:w="15" w:type="dxa"/>
                  </w:tcMar>
                  <w:vAlign w:val="center"/>
                </w:tcPr>
                <w:p w14:paraId="59EE902D">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超声波清洗机</w:t>
                  </w:r>
                </w:p>
              </w:tc>
              <w:tc>
                <w:tcPr>
                  <w:tcW w:w="2054" w:type="dxa"/>
                  <w:tcBorders>
                    <w:tl2br w:val="nil"/>
                    <w:tr2bl w:val="nil"/>
                  </w:tcBorders>
                  <w:noWrap w:val="0"/>
                  <w:tcMar>
                    <w:top w:w="15" w:type="dxa"/>
                    <w:left w:w="15" w:type="dxa"/>
                    <w:right w:w="15" w:type="dxa"/>
                  </w:tcMar>
                  <w:vAlign w:val="center"/>
                </w:tcPr>
                <w:p w14:paraId="0ACE4901">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1666528D">
                  <w:pPr>
                    <w:widowControl/>
                    <w:jc w:val="center"/>
                    <w:textAlignment w:val="center"/>
                    <w:rPr>
                      <w:color w:val="000000" w:themeColor="text1"/>
                      <w:szCs w:val="21"/>
                      <w:highlight w:val="none"/>
                      <w14:textFill>
                        <w14:solidFill>
                          <w14:schemeClr w14:val="tx1"/>
                        </w14:solidFill>
                      </w14:textFill>
                    </w:rPr>
                  </w:pPr>
                </w:p>
              </w:tc>
            </w:tr>
            <w:tr w14:paraId="78968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3E0A125F">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2452" w:type="dxa"/>
                  <w:tcBorders>
                    <w:tl2br w:val="nil"/>
                    <w:tr2bl w:val="nil"/>
                  </w:tcBorders>
                  <w:noWrap w:val="0"/>
                  <w:tcMar>
                    <w:top w:w="15" w:type="dxa"/>
                    <w:left w:w="15" w:type="dxa"/>
                    <w:right w:w="15" w:type="dxa"/>
                  </w:tcMar>
                  <w:vAlign w:val="center"/>
                </w:tcPr>
                <w:p w14:paraId="47100B7F">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激光平面干涉仪</w:t>
                  </w:r>
                </w:p>
              </w:tc>
              <w:tc>
                <w:tcPr>
                  <w:tcW w:w="2054" w:type="dxa"/>
                  <w:tcBorders>
                    <w:tl2br w:val="nil"/>
                    <w:tr2bl w:val="nil"/>
                  </w:tcBorders>
                  <w:noWrap w:val="0"/>
                  <w:tcMar>
                    <w:top w:w="15" w:type="dxa"/>
                    <w:left w:w="15" w:type="dxa"/>
                    <w:right w:w="15" w:type="dxa"/>
                  </w:tcMar>
                  <w:vAlign w:val="center"/>
                </w:tcPr>
                <w:p w14:paraId="512487F0">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71875FB4">
                  <w:pPr>
                    <w:widowControl/>
                    <w:jc w:val="center"/>
                    <w:textAlignment w:val="center"/>
                    <w:rPr>
                      <w:color w:val="000000" w:themeColor="text1"/>
                      <w:szCs w:val="21"/>
                      <w:highlight w:val="none"/>
                      <w14:textFill>
                        <w14:solidFill>
                          <w14:schemeClr w14:val="tx1"/>
                        </w14:solidFill>
                      </w14:textFill>
                    </w:rPr>
                  </w:pPr>
                </w:p>
              </w:tc>
            </w:tr>
            <w:tr w14:paraId="334BD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23F48716">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2452" w:type="dxa"/>
                  <w:tcBorders>
                    <w:tl2br w:val="nil"/>
                    <w:tr2bl w:val="nil"/>
                  </w:tcBorders>
                  <w:noWrap w:val="0"/>
                  <w:tcMar>
                    <w:top w:w="15" w:type="dxa"/>
                    <w:left w:w="15" w:type="dxa"/>
                    <w:right w:w="15" w:type="dxa"/>
                  </w:tcMar>
                  <w:vAlign w:val="center"/>
                </w:tcPr>
                <w:p w14:paraId="51BB20FB">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影像测量仪</w:t>
                  </w:r>
                </w:p>
              </w:tc>
              <w:tc>
                <w:tcPr>
                  <w:tcW w:w="2054" w:type="dxa"/>
                  <w:tcBorders>
                    <w:tl2br w:val="nil"/>
                    <w:tr2bl w:val="nil"/>
                  </w:tcBorders>
                  <w:noWrap w:val="0"/>
                  <w:tcMar>
                    <w:top w:w="15" w:type="dxa"/>
                    <w:left w:w="15" w:type="dxa"/>
                    <w:right w:w="15" w:type="dxa"/>
                  </w:tcMar>
                  <w:vAlign w:val="center"/>
                </w:tcPr>
                <w:p w14:paraId="316CC40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51F19B62">
                  <w:pPr>
                    <w:widowControl/>
                    <w:jc w:val="center"/>
                    <w:textAlignment w:val="center"/>
                    <w:rPr>
                      <w:color w:val="000000" w:themeColor="text1"/>
                      <w:szCs w:val="21"/>
                      <w:highlight w:val="none"/>
                      <w14:textFill>
                        <w14:solidFill>
                          <w14:schemeClr w14:val="tx1"/>
                        </w14:solidFill>
                      </w14:textFill>
                    </w:rPr>
                  </w:pPr>
                </w:p>
              </w:tc>
            </w:tr>
            <w:tr w14:paraId="63C96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0254438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w:t>
                  </w:r>
                </w:p>
              </w:tc>
              <w:tc>
                <w:tcPr>
                  <w:tcW w:w="2452" w:type="dxa"/>
                  <w:tcBorders>
                    <w:tl2br w:val="nil"/>
                    <w:tr2bl w:val="nil"/>
                  </w:tcBorders>
                  <w:noWrap w:val="0"/>
                  <w:tcMar>
                    <w:top w:w="15" w:type="dxa"/>
                    <w:left w:w="15" w:type="dxa"/>
                    <w:right w:w="15" w:type="dxa"/>
                  </w:tcMar>
                  <w:vAlign w:val="center"/>
                </w:tcPr>
                <w:p w14:paraId="02D2E15B">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环磨机</w:t>
                  </w:r>
                </w:p>
              </w:tc>
              <w:tc>
                <w:tcPr>
                  <w:tcW w:w="2054" w:type="dxa"/>
                  <w:tcBorders>
                    <w:tl2br w:val="nil"/>
                    <w:tr2bl w:val="nil"/>
                  </w:tcBorders>
                  <w:noWrap w:val="0"/>
                  <w:tcMar>
                    <w:top w:w="15" w:type="dxa"/>
                    <w:left w:w="15" w:type="dxa"/>
                    <w:right w:w="15" w:type="dxa"/>
                  </w:tcMar>
                  <w:vAlign w:val="center"/>
                </w:tcPr>
                <w:p w14:paraId="2007F357">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7C6B40F0">
                  <w:pPr>
                    <w:widowControl/>
                    <w:jc w:val="center"/>
                    <w:textAlignment w:val="center"/>
                    <w:rPr>
                      <w:color w:val="000000" w:themeColor="text1"/>
                      <w:szCs w:val="21"/>
                      <w:highlight w:val="none"/>
                      <w14:textFill>
                        <w14:solidFill>
                          <w14:schemeClr w14:val="tx1"/>
                        </w14:solidFill>
                      </w14:textFill>
                    </w:rPr>
                  </w:pPr>
                </w:p>
              </w:tc>
            </w:tr>
            <w:tr w14:paraId="179D9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064F3E06">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p>
              </w:tc>
              <w:tc>
                <w:tcPr>
                  <w:tcW w:w="2452" w:type="dxa"/>
                  <w:tcBorders>
                    <w:tl2br w:val="nil"/>
                    <w:tr2bl w:val="nil"/>
                  </w:tcBorders>
                  <w:noWrap w:val="0"/>
                  <w:tcMar>
                    <w:top w:w="15" w:type="dxa"/>
                    <w:left w:w="15" w:type="dxa"/>
                    <w:right w:w="15" w:type="dxa"/>
                  </w:tcMar>
                  <w:vAlign w:val="center"/>
                </w:tcPr>
                <w:p w14:paraId="1C42B658">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环抛机</w:t>
                  </w:r>
                </w:p>
              </w:tc>
              <w:tc>
                <w:tcPr>
                  <w:tcW w:w="2054" w:type="dxa"/>
                  <w:tcBorders>
                    <w:tl2br w:val="nil"/>
                    <w:tr2bl w:val="nil"/>
                  </w:tcBorders>
                  <w:noWrap w:val="0"/>
                  <w:tcMar>
                    <w:top w:w="15" w:type="dxa"/>
                    <w:left w:w="15" w:type="dxa"/>
                    <w:right w:w="15" w:type="dxa"/>
                  </w:tcMar>
                  <w:vAlign w:val="center"/>
                </w:tcPr>
                <w:p w14:paraId="588EB1F3">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31C8AA44">
                  <w:pPr>
                    <w:widowControl/>
                    <w:jc w:val="center"/>
                    <w:textAlignment w:val="center"/>
                    <w:rPr>
                      <w:color w:val="000000" w:themeColor="text1"/>
                      <w:szCs w:val="21"/>
                      <w:highlight w:val="none"/>
                      <w14:textFill>
                        <w14:solidFill>
                          <w14:schemeClr w14:val="tx1"/>
                        </w14:solidFill>
                      </w14:textFill>
                    </w:rPr>
                  </w:pPr>
                </w:p>
              </w:tc>
            </w:tr>
            <w:tr w14:paraId="3940B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70398D4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w:t>
                  </w:r>
                </w:p>
              </w:tc>
              <w:tc>
                <w:tcPr>
                  <w:tcW w:w="2452" w:type="dxa"/>
                  <w:tcBorders>
                    <w:tl2br w:val="nil"/>
                    <w:tr2bl w:val="nil"/>
                  </w:tcBorders>
                  <w:noWrap w:val="0"/>
                  <w:tcMar>
                    <w:top w:w="15" w:type="dxa"/>
                    <w:left w:w="15" w:type="dxa"/>
                    <w:right w:w="15" w:type="dxa"/>
                  </w:tcMar>
                  <w:vAlign w:val="center"/>
                </w:tcPr>
                <w:p w14:paraId="73D90D87">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马弗炉</w:t>
                  </w:r>
                </w:p>
              </w:tc>
              <w:tc>
                <w:tcPr>
                  <w:tcW w:w="2054" w:type="dxa"/>
                  <w:tcBorders>
                    <w:tl2br w:val="nil"/>
                    <w:tr2bl w:val="nil"/>
                  </w:tcBorders>
                  <w:noWrap w:val="0"/>
                  <w:tcMar>
                    <w:top w:w="15" w:type="dxa"/>
                    <w:left w:w="15" w:type="dxa"/>
                    <w:right w:w="15" w:type="dxa"/>
                  </w:tcMar>
                  <w:vAlign w:val="center"/>
                </w:tcPr>
                <w:p w14:paraId="5D814A11">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69D3B972">
                  <w:pPr>
                    <w:widowControl/>
                    <w:jc w:val="center"/>
                    <w:textAlignment w:val="center"/>
                    <w:rPr>
                      <w:color w:val="000000" w:themeColor="text1"/>
                      <w:szCs w:val="21"/>
                      <w:highlight w:val="none"/>
                      <w14:textFill>
                        <w14:solidFill>
                          <w14:schemeClr w14:val="tx1"/>
                        </w14:solidFill>
                      </w14:textFill>
                    </w:rPr>
                  </w:pPr>
                </w:p>
              </w:tc>
            </w:tr>
            <w:tr w14:paraId="748BE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5F3ECE72">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c>
                <w:tcPr>
                  <w:tcW w:w="2452" w:type="dxa"/>
                  <w:tcBorders>
                    <w:tl2br w:val="nil"/>
                    <w:tr2bl w:val="nil"/>
                  </w:tcBorders>
                  <w:noWrap w:val="0"/>
                  <w:tcMar>
                    <w:top w:w="15" w:type="dxa"/>
                    <w:left w:w="15" w:type="dxa"/>
                    <w:right w:w="15" w:type="dxa"/>
                  </w:tcMar>
                  <w:vAlign w:val="center"/>
                </w:tcPr>
                <w:p w14:paraId="3B295735">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精雕机</w:t>
                  </w:r>
                </w:p>
              </w:tc>
              <w:tc>
                <w:tcPr>
                  <w:tcW w:w="2054" w:type="dxa"/>
                  <w:tcBorders>
                    <w:tl2br w:val="nil"/>
                    <w:tr2bl w:val="nil"/>
                  </w:tcBorders>
                  <w:noWrap w:val="0"/>
                  <w:tcMar>
                    <w:top w:w="15" w:type="dxa"/>
                    <w:left w:w="15" w:type="dxa"/>
                    <w:right w:w="15" w:type="dxa"/>
                  </w:tcMar>
                  <w:vAlign w:val="center"/>
                </w:tcPr>
                <w:p w14:paraId="15568AA1">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750CFE0A">
                  <w:pPr>
                    <w:widowControl/>
                    <w:jc w:val="center"/>
                    <w:textAlignment w:val="center"/>
                    <w:rPr>
                      <w:color w:val="000000" w:themeColor="text1"/>
                      <w:szCs w:val="21"/>
                      <w:highlight w:val="none"/>
                      <w14:textFill>
                        <w14:solidFill>
                          <w14:schemeClr w14:val="tx1"/>
                        </w14:solidFill>
                      </w14:textFill>
                    </w:rPr>
                  </w:pPr>
                </w:p>
              </w:tc>
            </w:tr>
            <w:tr w14:paraId="54390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0E539EA5">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p>
              </w:tc>
              <w:tc>
                <w:tcPr>
                  <w:tcW w:w="2452" w:type="dxa"/>
                  <w:tcBorders>
                    <w:tl2br w:val="nil"/>
                    <w:tr2bl w:val="nil"/>
                  </w:tcBorders>
                  <w:noWrap w:val="0"/>
                  <w:tcMar>
                    <w:top w:w="15" w:type="dxa"/>
                    <w:left w:w="15" w:type="dxa"/>
                    <w:right w:w="15" w:type="dxa"/>
                  </w:tcMar>
                  <w:vAlign w:val="center"/>
                </w:tcPr>
                <w:p w14:paraId="0627612D">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精密双磨机</w:t>
                  </w:r>
                </w:p>
              </w:tc>
              <w:tc>
                <w:tcPr>
                  <w:tcW w:w="2054" w:type="dxa"/>
                  <w:tcBorders>
                    <w:tl2br w:val="nil"/>
                    <w:tr2bl w:val="nil"/>
                  </w:tcBorders>
                  <w:noWrap w:val="0"/>
                  <w:tcMar>
                    <w:top w:w="15" w:type="dxa"/>
                    <w:left w:w="15" w:type="dxa"/>
                    <w:right w:w="15" w:type="dxa"/>
                  </w:tcMar>
                  <w:vAlign w:val="center"/>
                </w:tcPr>
                <w:p w14:paraId="71DBFA98">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17530448">
                  <w:pPr>
                    <w:widowControl/>
                    <w:jc w:val="center"/>
                    <w:textAlignment w:val="center"/>
                    <w:rPr>
                      <w:color w:val="000000" w:themeColor="text1"/>
                      <w:szCs w:val="21"/>
                      <w:highlight w:val="none"/>
                      <w14:textFill>
                        <w14:solidFill>
                          <w14:schemeClr w14:val="tx1"/>
                        </w14:solidFill>
                      </w14:textFill>
                    </w:rPr>
                  </w:pPr>
                </w:p>
              </w:tc>
            </w:tr>
            <w:tr w14:paraId="03964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5E78827B">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w:t>
                  </w:r>
                </w:p>
              </w:tc>
              <w:tc>
                <w:tcPr>
                  <w:tcW w:w="2452" w:type="dxa"/>
                  <w:tcBorders>
                    <w:tl2br w:val="nil"/>
                    <w:tr2bl w:val="nil"/>
                  </w:tcBorders>
                  <w:noWrap w:val="0"/>
                  <w:tcMar>
                    <w:top w:w="15" w:type="dxa"/>
                    <w:left w:w="15" w:type="dxa"/>
                    <w:right w:w="15" w:type="dxa"/>
                  </w:tcMar>
                  <w:vAlign w:val="center"/>
                </w:tcPr>
                <w:p w14:paraId="47DC5862">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精密双抛机</w:t>
                  </w:r>
                </w:p>
              </w:tc>
              <w:tc>
                <w:tcPr>
                  <w:tcW w:w="2054" w:type="dxa"/>
                  <w:tcBorders>
                    <w:tl2br w:val="nil"/>
                    <w:tr2bl w:val="nil"/>
                  </w:tcBorders>
                  <w:noWrap w:val="0"/>
                  <w:tcMar>
                    <w:top w:w="15" w:type="dxa"/>
                    <w:left w:w="15" w:type="dxa"/>
                    <w:right w:w="15" w:type="dxa"/>
                  </w:tcMar>
                  <w:vAlign w:val="center"/>
                </w:tcPr>
                <w:p w14:paraId="69D9883A">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5CB89520">
                  <w:pPr>
                    <w:widowControl/>
                    <w:jc w:val="center"/>
                    <w:textAlignment w:val="center"/>
                    <w:rPr>
                      <w:color w:val="000000" w:themeColor="text1"/>
                      <w:szCs w:val="21"/>
                      <w:highlight w:val="none"/>
                      <w14:textFill>
                        <w14:solidFill>
                          <w14:schemeClr w14:val="tx1"/>
                        </w14:solidFill>
                      </w14:textFill>
                    </w:rPr>
                  </w:pPr>
                </w:p>
              </w:tc>
            </w:tr>
            <w:tr w14:paraId="609EE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228B1DE0">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p>
              </w:tc>
              <w:tc>
                <w:tcPr>
                  <w:tcW w:w="2452" w:type="dxa"/>
                  <w:tcBorders>
                    <w:tl2br w:val="nil"/>
                    <w:tr2bl w:val="nil"/>
                  </w:tcBorders>
                  <w:noWrap w:val="0"/>
                  <w:tcMar>
                    <w:top w:w="15" w:type="dxa"/>
                    <w:left w:w="15" w:type="dxa"/>
                    <w:right w:w="15" w:type="dxa"/>
                  </w:tcMar>
                  <w:vAlign w:val="center"/>
                </w:tcPr>
                <w:p w14:paraId="44494FE0">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三坐标测量仪</w:t>
                  </w:r>
                </w:p>
              </w:tc>
              <w:tc>
                <w:tcPr>
                  <w:tcW w:w="2054" w:type="dxa"/>
                  <w:tcBorders>
                    <w:tl2br w:val="nil"/>
                    <w:tr2bl w:val="nil"/>
                  </w:tcBorders>
                  <w:noWrap w:val="0"/>
                  <w:tcMar>
                    <w:top w:w="15" w:type="dxa"/>
                    <w:left w:w="15" w:type="dxa"/>
                    <w:right w:w="15" w:type="dxa"/>
                  </w:tcMar>
                  <w:vAlign w:val="center"/>
                </w:tcPr>
                <w:p w14:paraId="432DF1B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54AE8EA8">
                  <w:pPr>
                    <w:widowControl/>
                    <w:jc w:val="center"/>
                    <w:textAlignment w:val="center"/>
                    <w:rPr>
                      <w:color w:val="000000" w:themeColor="text1"/>
                      <w:szCs w:val="21"/>
                      <w:highlight w:val="none"/>
                      <w14:textFill>
                        <w14:solidFill>
                          <w14:schemeClr w14:val="tx1"/>
                        </w14:solidFill>
                      </w14:textFill>
                    </w:rPr>
                  </w:pPr>
                </w:p>
              </w:tc>
            </w:tr>
            <w:tr w14:paraId="1708C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43BAE417">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w:t>
                  </w:r>
                </w:p>
              </w:tc>
              <w:tc>
                <w:tcPr>
                  <w:tcW w:w="2452" w:type="dxa"/>
                  <w:tcBorders>
                    <w:tl2br w:val="nil"/>
                    <w:tr2bl w:val="nil"/>
                  </w:tcBorders>
                  <w:noWrap w:val="0"/>
                  <w:tcMar>
                    <w:top w:w="15" w:type="dxa"/>
                    <w:left w:w="15" w:type="dxa"/>
                    <w:right w:w="15" w:type="dxa"/>
                  </w:tcMar>
                  <w:vAlign w:val="center"/>
                </w:tcPr>
                <w:p w14:paraId="7B50E712">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显微镜</w:t>
                  </w:r>
                </w:p>
              </w:tc>
              <w:tc>
                <w:tcPr>
                  <w:tcW w:w="2054" w:type="dxa"/>
                  <w:tcBorders>
                    <w:tl2br w:val="nil"/>
                    <w:tr2bl w:val="nil"/>
                  </w:tcBorders>
                  <w:noWrap w:val="0"/>
                  <w:tcMar>
                    <w:top w:w="15" w:type="dxa"/>
                    <w:left w:w="15" w:type="dxa"/>
                    <w:right w:w="15" w:type="dxa"/>
                  </w:tcMar>
                  <w:vAlign w:val="center"/>
                </w:tcPr>
                <w:p w14:paraId="319151F5">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685732CA">
                  <w:pPr>
                    <w:widowControl/>
                    <w:jc w:val="center"/>
                    <w:textAlignment w:val="center"/>
                    <w:rPr>
                      <w:color w:val="000000" w:themeColor="text1"/>
                      <w:szCs w:val="21"/>
                      <w:highlight w:val="none"/>
                      <w14:textFill>
                        <w14:solidFill>
                          <w14:schemeClr w14:val="tx1"/>
                        </w14:solidFill>
                      </w14:textFill>
                    </w:rPr>
                  </w:pPr>
                </w:p>
              </w:tc>
            </w:tr>
            <w:tr w14:paraId="67DC4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5CDCBA22">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c>
                <w:tcPr>
                  <w:tcW w:w="2452" w:type="dxa"/>
                  <w:tcBorders>
                    <w:tl2br w:val="nil"/>
                    <w:tr2bl w:val="nil"/>
                  </w:tcBorders>
                  <w:noWrap w:val="0"/>
                  <w:tcMar>
                    <w:top w:w="15" w:type="dxa"/>
                    <w:left w:w="15" w:type="dxa"/>
                    <w:right w:w="15" w:type="dxa"/>
                  </w:tcMar>
                  <w:vAlign w:val="center"/>
                </w:tcPr>
                <w:p w14:paraId="1720E465">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镜面定位仪</w:t>
                  </w:r>
                </w:p>
              </w:tc>
              <w:tc>
                <w:tcPr>
                  <w:tcW w:w="2054" w:type="dxa"/>
                  <w:tcBorders>
                    <w:tl2br w:val="nil"/>
                    <w:tr2bl w:val="nil"/>
                  </w:tcBorders>
                  <w:noWrap w:val="0"/>
                  <w:tcMar>
                    <w:top w:w="15" w:type="dxa"/>
                    <w:left w:w="15" w:type="dxa"/>
                    <w:right w:w="15" w:type="dxa"/>
                  </w:tcMar>
                  <w:vAlign w:val="center"/>
                </w:tcPr>
                <w:p w14:paraId="6C94C3BC">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2DD1CEB2">
                  <w:pPr>
                    <w:widowControl/>
                    <w:jc w:val="center"/>
                    <w:textAlignment w:val="center"/>
                    <w:rPr>
                      <w:color w:val="000000" w:themeColor="text1"/>
                      <w:szCs w:val="21"/>
                      <w:highlight w:val="none"/>
                      <w14:textFill>
                        <w14:solidFill>
                          <w14:schemeClr w14:val="tx1"/>
                        </w14:solidFill>
                      </w14:textFill>
                    </w:rPr>
                  </w:pPr>
                </w:p>
              </w:tc>
            </w:tr>
            <w:tr w14:paraId="1B32E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1D4B2768">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16</w:t>
                  </w:r>
                </w:p>
              </w:tc>
              <w:tc>
                <w:tcPr>
                  <w:tcW w:w="2452" w:type="dxa"/>
                  <w:tcBorders>
                    <w:tl2br w:val="nil"/>
                    <w:tr2bl w:val="nil"/>
                  </w:tcBorders>
                  <w:noWrap w:val="0"/>
                  <w:tcMar>
                    <w:top w:w="15" w:type="dxa"/>
                    <w:left w:w="15" w:type="dxa"/>
                    <w:right w:w="15" w:type="dxa"/>
                  </w:tcMar>
                  <w:vAlign w:val="center"/>
                </w:tcPr>
                <w:p w14:paraId="48468161">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真空镀膜机</w:t>
                  </w:r>
                </w:p>
              </w:tc>
              <w:tc>
                <w:tcPr>
                  <w:tcW w:w="2054" w:type="dxa"/>
                  <w:tcBorders>
                    <w:tl2br w:val="nil"/>
                    <w:tr2bl w:val="nil"/>
                  </w:tcBorders>
                  <w:noWrap w:val="0"/>
                  <w:tcMar>
                    <w:top w:w="15" w:type="dxa"/>
                    <w:left w:w="15" w:type="dxa"/>
                    <w:right w:w="15" w:type="dxa"/>
                  </w:tcMar>
                  <w:vAlign w:val="center"/>
                </w:tcPr>
                <w:p w14:paraId="4CFE7BB7">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155F29DF">
                  <w:pPr>
                    <w:widowControl/>
                    <w:jc w:val="center"/>
                    <w:textAlignment w:val="center"/>
                    <w:rPr>
                      <w:color w:val="000000" w:themeColor="text1"/>
                      <w:szCs w:val="21"/>
                      <w:highlight w:val="none"/>
                      <w14:textFill>
                        <w14:solidFill>
                          <w14:schemeClr w14:val="tx1"/>
                        </w14:solidFill>
                      </w14:textFill>
                    </w:rPr>
                  </w:pPr>
                </w:p>
              </w:tc>
            </w:tr>
            <w:tr w14:paraId="4E594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168195A9">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17</w:t>
                  </w:r>
                </w:p>
              </w:tc>
              <w:tc>
                <w:tcPr>
                  <w:tcW w:w="2452" w:type="dxa"/>
                  <w:tcBorders>
                    <w:tl2br w:val="nil"/>
                    <w:tr2bl w:val="nil"/>
                  </w:tcBorders>
                  <w:noWrap w:val="0"/>
                  <w:tcMar>
                    <w:top w:w="15" w:type="dxa"/>
                    <w:left w:w="15" w:type="dxa"/>
                    <w:right w:w="15" w:type="dxa"/>
                  </w:tcMar>
                  <w:vAlign w:val="center"/>
                </w:tcPr>
                <w:p w14:paraId="08D1A48A">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键合机</w:t>
                  </w:r>
                </w:p>
              </w:tc>
              <w:tc>
                <w:tcPr>
                  <w:tcW w:w="2054" w:type="dxa"/>
                  <w:tcBorders>
                    <w:tl2br w:val="nil"/>
                    <w:tr2bl w:val="nil"/>
                  </w:tcBorders>
                  <w:noWrap w:val="0"/>
                  <w:tcMar>
                    <w:top w:w="15" w:type="dxa"/>
                    <w:left w:w="15" w:type="dxa"/>
                    <w:right w:w="15" w:type="dxa"/>
                  </w:tcMar>
                  <w:vAlign w:val="center"/>
                </w:tcPr>
                <w:p w14:paraId="3D60082C">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7FE59C8C">
                  <w:pPr>
                    <w:widowControl/>
                    <w:jc w:val="center"/>
                    <w:textAlignment w:val="center"/>
                    <w:rPr>
                      <w:color w:val="000000" w:themeColor="text1"/>
                      <w:szCs w:val="21"/>
                      <w:highlight w:val="none"/>
                      <w14:textFill>
                        <w14:solidFill>
                          <w14:schemeClr w14:val="tx1"/>
                        </w14:solidFill>
                      </w14:textFill>
                    </w:rPr>
                  </w:pPr>
                </w:p>
              </w:tc>
            </w:tr>
            <w:tr w14:paraId="76726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5C99A26A">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18</w:t>
                  </w:r>
                </w:p>
              </w:tc>
              <w:tc>
                <w:tcPr>
                  <w:tcW w:w="2452" w:type="dxa"/>
                  <w:tcBorders>
                    <w:tl2br w:val="nil"/>
                    <w:tr2bl w:val="nil"/>
                  </w:tcBorders>
                  <w:noWrap w:val="0"/>
                  <w:tcMar>
                    <w:top w:w="15" w:type="dxa"/>
                    <w:left w:w="15" w:type="dxa"/>
                    <w:right w:w="15" w:type="dxa"/>
                  </w:tcMar>
                  <w:vAlign w:val="center"/>
                </w:tcPr>
                <w:p w14:paraId="64FE342E">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离子束抛光</w:t>
                  </w:r>
                  <w:r>
                    <w:rPr>
                      <w:rFonts w:hint="eastAsia"/>
                      <w:color w:val="000000" w:themeColor="text1"/>
                      <w:szCs w:val="21"/>
                      <w:highlight w:val="none"/>
                      <w14:textFill>
                        <w14:solidFill>
                          <w14:schemeClr w14:val="tx1"/>
                        </w14:solidFill>
                      </w14:textFill>
                    </w:rPr>
                    <w:t>机</w:t>
                  </w:r>
                </w:p>
              </w:tc>
              <w:tc>
                <w:tcPr>
                  <w:tcW w:w="2054" w:type="dxa"/>
                  <w:tcBorders>
                    <w:tl2br w:val="nil"/>
                    <w:tr2bl w:val="nil"/>
                  </w:tcBorders>
                  <w:noWrap w:val="0"/>
                  <w:tcMar>
                    <w:top w:w="15" w:type="dxa"/>
                    <w:left w:w="15" w:type="dxa"/>
                    <w:right w:w="15" w:type="dxa"/>
                  </w:tcMar>
                  <w:vAlign w:val="center"/>
                </w:tcPr>
                <w:p w14:paraId="0CF225B9">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244F4A37">
                  <w:pPr>
                    <w:widowControl/>
                    <w:jc w:val="center"/>
                    <w:textAlignment w:val="center"/>
                    <w:rPr>
                      <w:color w:val="000000" w:themeColor="text1"/>
                      <w:szCs w:val="21"/>
                      <w:highlight w:val="none"/>
                      <w14:textFill>
                        <w14:solidFill>
                          <w14:schemeClr w14:val="tx1"/>
                        </w14:solidFill>
                      </w14:textFill>
                    </w:rPr>
                  </w:pPr>
                </w:p>
              </w:tc>
            </w:tr>
            <w:tr w14:paraId="03F3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5BEC19C5">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w:t>
                  </w:r>
                </w:p>
              </w:tc>
              <w:tc>
                <w:tcPr>
                  <w:tcW w:w="2452" w:type="dxa"/>
                  <w:tcBorders>
                    <w:tl2br w:val="nil"/>
                    <w:tr2bl w:val="nil"/>
                  </w:tcBorders>
                  <w:noWrap w:val="0"/>
                  <w:tcMar>
                    <w:top w:w="15" w:type="dxa"/>
                    <w:left w:w="15" w:type="dxa"/>
                    <w:right w:w="15" w:type="dxa"/>
                  </w:tcMar>
                  <w:vAlign w:val="center"/>
                </w:tcPr>
                <w:p w14:paraId="01326CAA">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喷</w:t>
                  </w:r>
                  <w:r>
                    <w:rPr>
                      <w:rFonts w:hint="eastAsia"/>
                      <w:color w:val="000000" w:themeColor="text1"/>
                      <w:szCs w:val="21"/>
                      <w:highlight w:val="none"/>
                      <w14:textFill>
                        <w14:solidFill>
                          <w14:schemeClr w14:val="tx1"/>
                        </w14:solidFill>
                      </w14:textFill>
                    </w:rPr>
                    <w:t>砂机</w:t>
                  </w:r>
                </w:p>
              </w:tc>
              <w:tc>
                <w:tcPr>
                  <w:tcW w:w="2054" w:type="dxa"/>
                  <w:tcBorders>
                    <w:tl2br w:val="nil"/>
                    <w:tr2bl w:val="nil"/>
                  </w:tcBorders>
                  <w:noWrap w:val="0"/>
                  <w:tcMar>
                    <w:top w:w="15" w:type="dxa"/>
                    <w:left w:w="15" w:type="dxa"/>
                    <w:right w:w="15" w:type="dxa"/>
                  </w:tcMar>
                  <w:vAlign w:val="center"/>
                </w:tcPr>
                <w:p w14:paraId="30EB1CBC">
                  <w:pPr>
                    <w:pStyle w:val="10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3FE5AA7A">
                  <w:pPr>
                    <w:widowControl/>
                    <w:jc w:val="center"/>
                    <w:textAlignment w:val="center"/>
                    <w:rPr>
                      <w:color w:val="000000" w:themeColor="text1"/>
                      <w:szCs w:val="21"/>
                      <w:highlight w:val="none"/>
                      <w14:textFill>
                        <w14:solidFill>
                          <w14:schemeClr w14:val="tx1"/>
                        </w14:solidFill>
                      </w14:textFill>
                    </w:rPr>
                  </w:pPr>
                </w:p>
              </w:tc>
            </w:tr>
            <w:tr w14:paraId="1E2B6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68B5CAB7">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w:t>
                  </w:r>
                </w:p>
              </w:tc>
              <w:tc>
                <w:tcPr>
                  <w:tcW w:w="2452" w:type="dxa"/>
                  <w:tcBorders>
                    <w:tl2br w:val="nil"/>
                    <w:tr2bl w:val="nil"/>
                  </w:tcBorders>
                  <w:noWrap w:val="0"/>
                  <w:tcMar>
                    <w:top w:w="15" w:type="dxa"/>
                    <w:left w:w="15" w:type="dxa"/>
                    <w:right w:w="15" w:type="dxa"/>
                  </w:tcMar>
                  <w:vAlign w:val="center"/>
                </w:tcPr>
                <w:p w14:paraId="74E64CAF">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线切割机</w:t>
                  </w:r>
                </w:p>
              </w:tc>
              <w:tc>
                <w:tcPr>
                  <w:tcW w:w="2054" w:type="dxa"/>
                  <w:tcBorders>
                    <w:tl2br w:val="nil"/>
                    <w:tr2bl w:val="nil"/>
                  </w:tcBorders>
                  <w:noWrap w:val="0"/>
                  <w:tcMar>
                    <w:top w:w="15" w:type="dxa"/>
                    <w:left w:w="15" w:type="dxa"/>
                    <w:right w:w="15" w:type="dxa"/>
                  </w:tcMar>
                  <w:vAlign w:val="center"/>
                </w:tcPr>
                <w:p w14:paraId="51DE40DF">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472F4489">
                  <w:pPr>
                    <w:widowControl/>
                    <w:jc w:val="center"/>
                    <w:textAlignment w:val="center"/>
                    <w:rPr>
                      <w:color w:val="000000" w:themeColor="text1"/>
                      <w:szCs w:val="21"/>
                      <w:highlight w:val="none"/>
                      <w14:textFill>
                        <w14:solidFill>
                          <w14:schemeClr w14:val="tx1"/>
                        </w14:solidFill>
                      </w14:textFill>
                    </w:rPr>
                  </w:pPr>
                </w:p>
              </w:tc>
            </w:tr>
            <w:tr w14:paraId="49D65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13F5C3F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w:t>
                  </w:r>
                </w:p>
              </w:tc>
              <w:tc>
                <w:tcPr>
                  <w:tcW w:w="2452" w:type="dxa"/>
                  <w:tcBorders>
                    <w:tl2br w:val="nil"/>
                    <w:tr2bl w:val="nil"/>
                  </w:tcBorders>
                  <w:noWrap w:val="0"/>
                  <w:tcMar>
                    <w:top w:w="15" w:type="dxa"/>
                    <w:left w:w="15" w:type="dxa"/>
                    <w:right w:w="15" w:type="dxa"/>
                  </w:tcMar>
                  <w:vAlign w:val="center"/>
                </w:tcPr>
                <w:p w14:paraId="02080CA4">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全钢通风柜</w:t>
                  </w:r>
                </w:p>
              </w:tc>
              <w:tc>
                <w:tcPr>
                  <w:tcW w:w="2054" w:type="dxa"/>
                  <w:tcBorders>
                    <w:tl2br w:val="nil"/>
                    <w:tr2bl w:val="nil"/>
                  </w:tcBorders>
                  <w:noWrap w:val="0"/>
                  <w:tcMar>
                    <w:top w:w="15" w:type="dxa"/>
                    <w:left w:w="15" w:type="dxa"/>
                    <w:right w:w="15" w:type="dxa"/>
                  </w:tcMar>
                  <w:vAlign w:val="center"/>
                </w:tcPr>
                <w:p w14:paraId="283DBEA4">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6E76FA51">
                  <w:pPr>
                    <w:widowControl/>
                    <w:jc w:val="center"/>
                    <w:textAlignment w:val="center"/>
                    <w:rPr>
                      <w:color w:val="000000" w:themeColor="text1"/>
                      <w:szCs w:val="21"/>
                      <w:highlight w:val="none"/>
                      <w14:textFill>
                        <w14:solidFill>
                          <w14:schemeClr w14:val="tx1"/>
                        </w14:solidFill>
                      </w14:textFill>
                    </w:rPr>
                  </w:pPr>
                </w:p>
              </w:tc>
            </w:tr>
            <w:tr w14:paraId="15489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236C95C6">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w:t>
                  </w:r>
                </w:p>
              </w:tc>
              <w:tc>
                <w:tcPr>
                  <w:tcW w:w="2452" w:type="dxa"/>
                  <w:tcBorders>
                    <w:tl2br w:val="nil"/>
                    <w:tr2bl w:val="nil"/>
                  </w:tcBorders>
                  <w:noWrap w:val="0"/>
                  <w:tcMar>
                    <w:top w:w="15" w:type="dxa"/>
                    <w:left w:w="15" w:type="dxa"/>
                    <w:right w:w="15" w:type="dxa"/>
                  </w:tcMar>
                  <w:vAlign w:val="center"/>
                </w:tcPr>
                <w:p w14:paraId="1125B5AC">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净化台</w:t>
                  </w:r>
                </w:p>
              </w:tc>
              <w:tc>
                <w:tcPr>
                  <w:tcW w:w="2054" w:type="dxa"/>
                  <w:tcBorders>
                    <w:tl2br w:val="nil"/>
                    <w:tr2bl w:val="nil"/>
                  </w:tcBorders>
                  <w:noWrap w:val="0"/>
                  <w:tcMar>
                    <w:top w:w="15" w:type="dxa"/>
                    <w:left w:w="15" w:type="dxa"/>
                    <w:right w:w="15" w:type="dxa"/>
                  </w:tcMar>
                  <w:vAlign w:val="center"/>
                </w:tcPr>
                <w:p w14:paraId="16FA0B93">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4C4FF08F">
                  <w:pPr>
                    <w:widowControl/>
                    <w:jc w:val="center"/>
                    <w:textAlignment w:val="center"/>
                    <w:rPr>
                      <w:color w:val="000000" w:themeColor="text1"/>
                      <w:szCs w:val="21"/>
                      <w:highlight w:val="none"/>
                      <w14:textFill>
                        <w14:solidFill>
                          <w14:schemeClr w14:val="tx1"/>
                        </w14:solidFill>
                      </w14:textFill>
                    </w:rPr>
                  </w:pPr>
                </w:p>
              </w:tc>
            </w:tr>
            <w:tr w14:paraId="19433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713FF3B6">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w:t>
                  </w:r>
                </w:p>
              </w:tc>
              <w:tc>
                <w:tcPr>
                  <w:tcW w:w="2452" w:type="dxa"/>
                  <w:tcBorders>
                    <w:tl2br w:val="nil"/>
                    <w:tr2bl w:val="nil"/>
                  </w:tcBorders>
                  <w:noWrap w:val="0"/>
                  <w:tcMar>
                    <w:top w:w="15" w:type="dxa"/>
                    <w:left w:w="15" w:type="dxa"/>
                    <w:right w:w="15" w:type="dxa"/>
                  </w:tcMar>
                  <w:vAlign w:val="center"/>
                </w:tcPr>
                <w:p w14:paraId="68A80421">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等离子清洗机</w:t>
                  </w:r>
                </w:p>
              </w:tc>
              <w:tc>
                <w:tcPr>
                  <w:tcW w:w="2054" w:type="dxa"/>
                  <w:tcBorders>
                    <w:tl2br w:val="nil"/>
                    <w:tr2bl w:val="nil"/>
                  </w:tcBorders>
                  <w:noWrap w:val="0"/>
                  <w:tcMar>
                    <w:top w:w="15" w:type="dxa"/>
                    <w:left w:w="15" w:type="dxa"/>
                    <w:right w:w="15" w:type="dxa"/>
                  </w:tcMar>
                  <w:vAlign w:val="center"/>
                </w:tcPr>
                <w:p w14:paraId="0B87D9C6">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703A5796">
                  <w:pPr>
                    <w:widowControl/>
                    <w:jc w:val="center"/>
                    <w:textAlignment w:val="center"/>
                    <w:rPr>
                      <w:color w:val="000000" w:themeColor="text1"/>
                      <w:szCs w:val="21"/>
                      <w:highlight w:val="none"/>
                      <w14:textFill>
                        <w14:solidFill>
                          <w14:schemeClr w14:val="tx1"/>
                        </w14:solidFill>
                      </w14:textFill>
                    </w:rPr>
                  </w:pPr>
                </w:p>
              </w:tc>
            </w:tr>
            <w:tr w14:paraId="19DDE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309255F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w:t>
                  </w:r>
                </w:p>
              </w:tc>
              <w:tc>
                <w:tcPr>
                  <w:tcW w:w="2452" w:type="dxa"/>
                  <w:tcBorders>
                    <w:tl2br w:val="nil"/>
                    <w:tr2bl w:val="nil"/>
                  </w:tcBorders>
                  <w:noWrap w:val="0"/>
                  <w:tcMar>
                    <w:top w:w="15" w:type="dxa"/>
                    <w:left w:w="15" w:type="dxa"/>
                    <w:right w:w="15" w:type="dxa"/>
                  </w:tcMar>
                  <w:vAlign w:val="center"/>
                </w:tcPr>
                <w:p w14:paraId="1137292D">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喷胶机</w:t>
                  </w:r>
                </w:p>
              </w:tc>
              <w:tc>
                <w:tcPr>
                  <w:tcW w:w="2054" w:type="dxa"/>
                  <w:tcBorders>
                    <w:tl2br w:val="nil"/>
                    <w:tr2bl w:val="nil"/>
                  </w:tcBorders>
                  <w:noWrap w:val="0"/>
                  <w:tcMar>
                    <w:top w:w="15" w:type="dxa"/>
                    <w:left w:w="15" w:type="dxa"/>
                    <w:right w:w="15" w:type="dxa"/>
                  </w:tcMar>
                  <w:vAlign w:val="center"/>
                </w:tcPr>
                <w:p w14:paraId="28CF7FE7">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285671FD">
                  <w:pPr>
                    <w:widowControl/>
                    <w:jc w:val="center"/>
                    <w:textAlignment w:val="center"/>
                    <w:rPr>
                      <w:color w:val="000000" w:themeColor="text1"/>
                      <w:szCs w:val="21"/>
                      <w:highlight w:val="none"/>
                      <w14:textFill>
                        <w14:solidFill>
                          <w14:schemeClr w14:val="tx1"/>
                        </w14:solidFill>
                      </w14:textFill>
                    </w:rPr>
                  </w:pPr>
                </w:p>
              </w:tc>
            </w:tr>
            <w:tr w14:paraId="578AD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446BB1B3">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w:t>
                  </w:r>
                </w:p>
              </w:tc>
              <w:tc>
                <w:tcPr>
                  <w:tcW w:w="2452" w:type="dxa"/>
                  <w:tcBorders>
                    <w:tl2br w:val="nil"/>
                    <w:tr2bl w:val="nil"/>
                  </w:tcBorders>
                  <w:noWrap w:val="0"/>
                  <w:tcMar>
                    <w:top w:w="15" w:type="dxa"/>
                    <w:left w:w="15" w:type="dxa"/>
                    <w:right w:w="15" w:type="dxa"/>
                  </w:tcMar>
                  <w:vAlign w:val="center"/>
                </w:tcPr>
                <w:p w14:paraId="23A7321A">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涂胶机</w:t>
                  </w:r>
                </w:p>
              </w:tc>
              <w:tc>
                <w:tcPr>
                  <w:tcW w:w="2054" w:type="dxa"/>
                  <w:tcBorders>
                    <w:tl2br w:val="nil"/>
                    <w:tr2bl w:val="nil"/>
                  </w:tcBorders>
                  <w:noWrap w:val="0"/>
                  <w:tcMar>
                    <w:top w:w="15" w:type="dxa"/>
                    <w:left w:w="15" w:type="dxa"/>
                    <w:right w:w="15" w:type="dxa"/>
                  </w:tcMar>
                  <w:vAlign w:val="center"/>
                </w:tcPr>
                <w:p w14:paraId="3A6E0738">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7C199735">
                  <w:pPr>
                    <w:widowControl/>
                    <w:jc w:val="center"/>
                    <w:textAlignment w:val="center"/>
                    <w:rPr>
                      <w:color w:val="000000" w:themeColor="text1"/>
                      <w:szCs w:val="21"/>
                      <w:highlight w:val="none"/>
                      <w14:textFill>
                        <w14:solidFill>
                          <w14:schemeClr w14:val="tx1"/>
                        </w14:solidFill>
                      </w14:textFill>
                    </w:rPr>
                  </w:pPr>
                </w:p>
              </w:tc>
            </w:tr>
            <w:tr w14:paraId="67A90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5129E20E">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w:t>
                  </w:r>
                </w:p>
              </w:tc>
              <w:tc>
                <w:tcPr>
                  <w:tcW w:w="2452" w:type="dxa"/>
                  <w:tcBorders>
                    <w:tl2br w:val="nil"/>
                    <w:tr2bl w:val="nil"/>
                  </w:tcBorders>
                  <w:noWrap w:val="0"/>
                  <w:tcMar>
                    <w:top w:w="15" w:type="dxa"/>
                    <w:left w:w="15" w:type="dxa"/>
                    <w:right w:w="15" w:type="dxa"/>
                  </w:tcMar>
                  <w:vAlign w:val="center"/>
                </w:tcPr>
                <w:p w14:paraId="73526E93">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光刻机</w:t>
                  </w:r>
                </w:p>
              </w:tc>
              <w:tc>
                <w:tcPr>
                  <w:tcW w:w="2054" w:type="dxa"/>
                  <w:tcBorders>
                    <w:tl2br w:val="nil"/>
                    <w:tr2bl w:val="nil"/>
                  </w:tcBorders>
                  <w:noWrap w:val="0"/>
                  <w:tcMar>
                    <w:top w:w="15" w:type="dxa"/>
                    <w:left w:w="15" w:type="dxa"/>
                    <w:right w:w="15" w:type="dxa"/>
                  </w:tcMar>
                  <w:vAlign w:val="center"/>
                </w:tcPr>
                <w:p w14:paraId="683E8F0D">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31A67156">
                  <w:pPr>
                    <w:widowControl/>
                    <w:jc w:val="center"/>
                    <w:textAlignment w:val="center"/>
                    <w:rPr>
                      <w:color w:val="000000" w:themeColor="text1"/>
                      <w:szCs w:val="21"/>
                      <w:highlight w:val="none"/>
                      <w14:textFill>
                        <w14:solidFill>
                          <w14:schemeClr w14:val="tx1"/>
                        </w14:solidFill>
                      </w14:textFill>
                    </w:rPr>
                  </w:pPr>
                </w:p>
              </w:tc>
            </w:tr>
            <w:tr w14:paraId="3CC74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7DB29907">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27</w:t>
                  </w:r>
                </w:p>
              </w:tc>
              <w:tc>
                <w:tcPr>
                  <w:tcW w:w="2452" w:type="dxa"/>
                  <w:tcBorders>
                    <w:tl2br w:val="nil"/>
                    <w:tr2bl w:val="nil"/>
                  </w:tcBorders>
                  <w:noWrap w:val="0"/>
                  <w:tcMar>
                    <w:top w:w="15" w:type="dxa"/>
                    <w:left w:w="15" w:type="dxa"/>
                    <w:right w:w="15" w:type="dxa"/>
                  </w:tcMar>
                  <w:vAlign w:val="center"/>
                </w:tcPr>
                <w:p w14:paraId="188293A4">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显影机</w:t>
                  </w:r>
                </w:p>
              </w:tc>
              <w:tc>
                <w:tcPr>
                  <w:tcW w:w="2054" w:type="dxa"/>
                  <w:tcBorders>
                    <w:tl2br w:val="nil"/>
                    <w:tr2bl w:val="nil"/>
                  </w:tcBorders>
                  <w:noWrap w:val="0"/>
                  <w:tcMar>
                    <w:top w:w="15" w:type="dxa"/>
                    <w:left w:w="15" w:type="dxa"/>
                    <w:right w:w="15" w:type="dxa"/>
                  </w:tcMar>
                  <w:vAlign w:val="center"/>
                </w:tcPr>
                <w:p w14:paraId="0B7B679A">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7096161E">
                  <w:pPr>
                    <w:widowControl/>
                    <w:jc w:val="center"/>
                    <w:textAlignment w:val="center"/>
                    <w:rPr>
                      <w:color w:val="000000" w:themeColor="text1"/>
                      <w:szCs w:val="21"/>
                      <w:highlight w:val="none"/>
                      <w14:textFill>
                        <w14:solidFill>
                          <w14:schemeClr w14:val="tx1"/>
                        </w14:solidFill>
                      </w14:textFill>
                    </w:rPr>
                  </w:pPr>
                </w:p>
              </w:tc>
            </w:tr>
            <w:tr w14:paraId="6BA61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52" w:type="dxa"/>
                  <w:tcBorders>
                    <w:tl2br w:val="nil"/>
                    <w:tr2bl w:val="nil"/>
                  </w:tcBorders>
                  <w:noWrap w:val="0"/>
                  <w:tcMar>
                    <w:top w:w="15" w:type="dxa"/>
                    <w:left w:w="15" w:type="dxa"/>
                    <w:right w:w="15" w:type="dxa"/>
                  </w:tcMar>
                  <w:vAlign w:val="center"/>
                </w:tcPr>
                <w:p w14:paraId="644E37F2">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28</w:t>
                  </w:r>
                </w:p>
              </w:tc>
              <w:tc>
                <w:tcPr>
                  <w:tcW w:w="2452" w:type="dxa"/>
                  <w:tcBorders>
                    <w:tl2br w:val="nil"/>
                    <w:tr2bl w:val="nil"/>
                  </w:tcBorders>
                  <w:noWrap w:val="0"/>
                  <w:tcMar>
                    <w:top w:w="15" w:type="dxa"/>
                    <w:left w:w="15" w:type="dxa"/>
                    <w:right w:w="15" w:type="dxa"/>
                  </w:tcMar>
                  <w:vAlign w:val="center"/>
                </w:tcPr>
                <w:p w14:paraId="7DF79015">
                  <w:pPr>
                    <w:widowControl/>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湿法腐蚀机</w:t>
                  </w:r>
                </w:p>
              </w:tc>
              <w:tc>
                <w:tcPr>
                  <w:tcW w:w="2054" w:type="dxa"/>
                  <w:tcBorders>
                    <w:tl2br w:val="nil"/>
                    <w:tr2bl w:val="nil"/>
                  </w:tcBorders>
                  <w:noWrap w:val="0"/>
                  <w:tcMar>
                    <w:top w:w="15" w:type="dxa"/>
                    <w:left w:w="15" w:type="dxa"/>
                    <w:right w:w="15" w:type="dxa"/>
                  </w:tcMar>
                  <w:vAlign w:val="center"/>
                </w:tcPr>
                <w:p w14:paraId="0CE78395">
                  <w:pPr>
                    <w:pStyle w:val="10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台</w:t>
                  </w:r>
                </w:p>
              </w:tc>
              <w:tc>
                <w:tcPr>
                  <w:tcW w:w="2204" w:type="dxa"/>
                  <w:tcBorders>
                    <w:tl2br w:val="nil"/>
                    <w:tr2bl w:val="nil"/>
                  </w:tcBorders>
                  <w:noWrap w:val="0"/>
                  <w:tcMar>
                    <w:top w:w="15" w:type="dxa"/>
                    <w:left w:w="15" w:type="dxa"/>
                    <w:right w:w="15" w:type="dxa"/>
                  </w:tcMar>
                  <w:vAlign w:val="center"/>
                </w:tcPr>
                <w:p w14:paraId="2E5835CB">
                  <w:pPr>
                    <w:widowControl/>
                    <w:jc w:val="center"/>
                    <w:textAlignment w:val="center"/>
                    <w:rPr>
                      <w:color w:val="000000" w:themeColor="text1"/>
                      <w:szCs w:val="21"/>
                      <w:highlight w:val="none"/>
                      <w14:textFill>
                        <w14:solidFill>
                          <w14:schemeClr w14:val="tx1"/>
                        </w14:solidFill>
                      </w14:textFill>
                    </w:rPr>
                  </w:pPr>
                </w:p>
              </w:tc>
            </w:tr>
          </w:tbl>
          <w:p w14:paraId="749AC887">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本项目建成后全厂主要生产设备详见下表。</w:t>
            </w:r>
          </w:p>
          <w:p w14:paraId="7671468E">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color w:val="000000" w:themeColor="text1"/>
                <w:sz w:val="24"/>
                <w:szCs w:val="32"/>
                <w:highlight w:val="none"/>
                <w:lang w:val="en-US" w:eastAsia="zh-CN"/>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2.5-2</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本</w:t>
            </w:r>
            <w:r>
              <w:rPr>
                <w:rFonts w:hint="eastAsia"/>
                <w:b/>
                <w:color w:val="000000" w:themeColor="text1"/>
                <w:sz w:val="24"/>
                <w:szCs w:val="24"/>
                <w:highlight w:val="none"/>
                <w14:textFill>
                  <w14:solidFill>
                    <w14:schemeClr w14:val="tx1"/>
                  </w14:solidFill>
                </w14:textFill>
              </w:rPr>
              <w:t>项目</w:t>
            </w:r>
            <w:r>
              <w:rPr>
                <w:rFonts w:hint="eastAsia"/>
                <w:b/>
                <w:color w:val="000000" w:themeColor="text1"/>
                <w:sz w:val="24"/>
                <w:szCs w:val="24"/>
                <w:highlight w:val="none"/>
                <w:lang w:val="en-US" w:eastAsia="zh-CN"/>
                <w14:textFill>
                  <w14:solidFill>
                    <w14:schemeClr w14:val="tx1"/>
                  </w14:solidFill>
                </w14:textFill>
              </w:rPr>
              <w:t>建成后全厂</w:t>
            </w:r>
            <w:r>
              <w:rPr>
                <w:rFonts w:hint="eastAsia"/>
                <w:b/>
                <w:color w:val="000000" w:themeColor="text1"/>
                <w:sz w:val="24"/>
                <w:szCs w:val="24"/>
                <w:highlight w:val="none"/>
                <w14:textFill>
                  <w14:solidFill>
                    <w14:schemeClr w14:val="tx1"/>
                  </w14:solidFill>
                </w14:textFill>
              </w:rPr>
              <w:t>主要</w:t>
            </w:r>
            <w:r>
              <w:rPr>
                <w:rFonts w:hint="eastAsia"/>
                <w:b/>
                <w:color w:val="000000" w:themeColor="text1"/>
                <w:sz w:val="24"/>
                <w:szCs w:val="24"/>
                <w:highlight w:val="none"/>
                <w:lang w:val="en-US" w:eastAsia="zh-CN"/>
                <w14:textFill>
                  <w14:solidFill>
                    <w14:schemeClr w14:val="tx1"/>
                  </w14:solidFill>
                </w14:textFill>
              </w:rPr>
              <w:t>生产设备</w:t>
            </w:r>
            <w:r>
              <w:rPr>
                <w:rFonts w:hint="eastAsia"/>
                <w:b/>
                <w:color w:val="000000" w:themeColor="text1"/>
                <w:sz w:val="24"/>
                <w:szCs w:val="24"/>
                <w:highlight w:val="none"/>
                <w14:textFill>
                  <w14:solidFill>
                    <w14:schemeClr w14:val="tx1"/>
                  </w14:solidFill>
                </w14:textFill>
              </w:rPr>
              <w:t>一览</w:t>
            </w:r>
            <w:r>
              <w:rPr>
                <w:rFonts w:hint="eastAsia"/>
                <w:b/>
                <w:color w:val="000000" w:themeColor="text1"/>
                <w:sz w:val="24"/>
                <w:szCs w:val="24"/>
                <w:highlight w:val="none"/>
                <w:lang w:val="en-US" w:eastAsia="zh-CN"/>
                <w14:textFill>
                  <w14:solidFill>
                    <w14:schemeClr w14:val="tx1"/>
                  </w14:solidFill>
                </w14:textFill>
              </w:rPr>
              <w:t>表</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6"/>
              <w:gridCol w:w="1989"/>
              <w:gridCol w:w="824"/>
              <w:gridCol w:w="1179"/>
              <w:gridCol w:w="1037"/>
              <w:gridCol w:w="1283"/>
              <w:gridCol w:w="1076"/>
            </w:tblGrid>
            <w:tr w14:paraId="734C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FB46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序号</w:t>
                  </w:r>
                </w:p>
              </w:tc>
              <w:tc>
                <w:tcPr>
                  <w:tcW w:w="1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5A60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设备名称</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9DA042">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单位</w:t>
                  </w:r>
                </w:p>
              </w:tc>
              <w:tc>
                <w:tcPr>
                  <w:tcW w:w="34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0968B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数量</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5A2E0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变化情况</w:t>
                  </w:r>
                </w:p>
              </w:tc>
            </w:tr>
            <w:tr w14:paraId="19C15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CDE7A">
                  <w:pPr>
                    <w:jc w:val="center"/>
                    <w:rPr>
                      <w:rFonts w:hint="eastAsia" w:ascii="宋体" w:hAnsi="宋体" w:eastAsia="宋体" w:cs="宋体"/>
                      <w:i w:val="0"/>
                      <w:iCs w:val="0"/>
                      <w:color w:val="000000" w:themeColor="text1"/>
                      <w:sz w:val="2"/>
                      <w:szCs w:val="2"/>
                      <w:highlight w:val="none"/>
                      <w:u w:val="none"/>
                      <w14:textFill>
                        <w14:solidFill>
                          <w14:schemeClr w14:val="tx1"/>
                        </w14:solidFill>
                      </w14:textFill>
                    </w:rPr>
                  </w:pPr>
                </w:p>
              </w:tc>
              <w:tc>
                <w:tcPr>
                  <w:tcW w:w="1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00929">
                  <w:pPr>
                    <w:jc w:val="center"/>
                    <w:rPr>
                      <w:rFonts w:hint="eastAsia" w:ascii="宋体" w:hAnsi="宋体" w:eastAsia="宋体" w:cs="宋体"/>
                      <w:i w:val="0"/>
                      <w:iCs w:val="0"/>
                      <w:color w:val="000000" w:themeColor="text1"/>
                      <w:sz w:val="2"/>
                      <w:szCs w:val="2"/>
                      <w:highlight w:val="none"/>
                      <w:u w:val="none"/>
                      <w14:textFill>
                        <w14:solidFill>
                          <w14:schemeClr w14:val="tx1"/>
                        </w14:solidFill>
                      </w14:textFill>
                    </w:rPr>
                  </w:pP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EDFE1">
                  <w:pPr>
                    <w:jc w:val="center"/>
                    <w:rPr>
                      <w:rFonts w:hint="eastAsia" w:ascii="宋体" w:hAnsi="宋体" w:eastAsia="宋体" w:cs="宋体"/>
                      <w:i w:val="0"/>
                      <w:iCs w:val="0"/>
                      <w:color w:val="000000" w:themeColor="text1"/>
                      <w:sz w:val="2"/>
                      <w:szCs w:val="2"/>
                      <w:highlight w:val="none"/>
                      <w:u w:val="none"/>
                      <w14:textFill>
                        <w14:solidFill>
                          <w14:schemeClr w14:val="tx1"/>
                        </w14:solidFill>
                      </w14:textFill>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CF0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现有工程</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51F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本项目</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33F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扩建后全厂</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A95D0">
                  <w:pPr>
                    <w:jc w:val="center"/>
                    <w:rPr>
                      <w:rFonts w:hint="eastAsia" w:ascii="宋体" w:hAnsi="宋体" w:eastAsia="宋体" w:cs="宋体"/>
                      <w:i w:val="0"/>
                      <w:iCs w:val="0"/>
                      <w:color w:val="000000" w:themeColor="text1"/>
                      <w:sz w:val="2"/>
                      <w:szCs w:val="2"/>
                      <w:highlight w:val="none"/>
                      <w:u w:val="none"/>
                      <w14:textFill>
                        <w14:solidFill>
                          <w14:schemeClr w14:val="tx1"/>
                        </w14:solidFill>
                      </w14:textFill>
                    </w:rPr>
                  </w:pPr>
                </w:p>
              </w:tc>
            </w:tr>
            <w:tr w14:paraId="06082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C54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3FC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CNC</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成形机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856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02B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6AC6">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665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6CD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993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31D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0AF9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抛光机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AA0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38F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900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A06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9A4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00938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1E9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7F0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研磨机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9F6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3E7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038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384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3E9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881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C3F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CA9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铣磨机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57E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EBA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00F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827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621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EB0C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EFE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6B4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超精密单点金刚石车床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A17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D89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A4B9">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776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758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AEAF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D6B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5162">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超声波清洗机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6D6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4CD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B6D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6C4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D75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D15B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0D5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D87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无心磨床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B0B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807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1EE4">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F5E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EFB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A3A9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7F1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00A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液相外延炉</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D3B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16C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439A">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51E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11D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8C29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0AA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F91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激光平面干涉仪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D84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738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653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415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421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6FF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7DF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F6F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椭偏仪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A30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EE5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96F8">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EA6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768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CB5C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300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F06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精密测角仪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823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47E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20C4">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906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F2D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779B9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E45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B26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中心仪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E54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16E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C09E">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C0F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3EF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AC04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10F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BEF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影像测量仪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3F2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DF6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DC5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6AB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8DA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4C20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3DE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EFA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高速混料机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456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FC7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9012">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8DD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DB9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3DF1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8EF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1CF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划片机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95C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4BB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4B07">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907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30D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C4C9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E1A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23B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环磨机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5852">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F1D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458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979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E35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3606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757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9E2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环抛机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9B1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7F2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7A2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5CE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EFE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73A1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B9F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DC5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磨边机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746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B0A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9E8A">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5D0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F23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620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009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6C8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精雕机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A7A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BAD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E35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D7E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9D0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D09C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ADB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E66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精密双磨机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AE9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0D7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7F7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DC2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F4F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48F3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5B2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235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精密双抛机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21C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8A1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C1A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3D4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3B5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4122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9F1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C4B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冷等静压机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C0F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EAB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1AE9">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426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D69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1AA8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675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127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立式超精密数控光学定心车床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6F6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73A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4153">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91A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783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06BC2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436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31D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马弗炉</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BE6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FF7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AF8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443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4C4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9C85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11F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995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焦距仪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5FD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816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4AF2">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901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528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0235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05B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3D5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超级球径仪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79B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517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D7DC">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A81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075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F0D1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315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3DE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显微镜</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4D3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B77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AA9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464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1F2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CC9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381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370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镜面定位仪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01D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FAF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9CE6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305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945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73AC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DDF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53F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数控水切机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5E9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DC7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9261">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CC3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B2F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F7BC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EBD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D6B8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切割机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9C8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4EF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B6E0">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C9C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D34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CD5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F00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5432">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全钢通风柜</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123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11D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6BF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607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6ED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9CB0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4F8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A60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生长炉</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B0C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DCA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4F92">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E35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6A3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49AA4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4F7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584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净化台</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DB5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B11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0CE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EE6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E24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45C5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6E3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922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单轴机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3C8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1C2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7FBB">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9E3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E3C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0EA85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993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AC1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衍射仪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446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CC2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364E">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5C4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B64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7A51F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B50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790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X</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射线衍射仪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C57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EC1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DF29">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DD5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16D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F52A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8EF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DC9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X</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射线荧光光谱仪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16C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89A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8E31">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D93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1DF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096E0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DB4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97B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制水机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246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256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4A5F">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EB5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22E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5599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88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39</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548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Style w:val="106"/>
                      <w:color w:val="000000" w:themeColor="text1"/>
                      <w:highlight w:val="none"/>
                      <w:lang w:val="en-US" w:eastAsia="zh-CN" w:bidi="ar"/>
                      <w14:textFill>
                        <w14:solidFill>
                          <w14:schemeClr w14:val="tx1"/>
                        </w14:solidFill>
                      </w14:textFill>
                    </w:rPr>
                    <w:t>三坐标测量仪</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47C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D0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D77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69C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FEC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5432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011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8FA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真空镀膜机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033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8A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A22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6BB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1B3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4A1E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A4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41</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AF3C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键合机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1DE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26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9DE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8F4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EEA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C122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72B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AD1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离子束抛光机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DF2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A9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8CE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459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EE9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B298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F9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43</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241C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喷砂机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328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1D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476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CB4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B73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51D3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1F0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08B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线切割机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E7B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5B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AA5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F5F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9A1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F9BD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8F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45</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01A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等离子清洗机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901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E6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B74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637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E48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0F2A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B35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2A2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喷胶机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208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EF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C17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044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2F5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75CBD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4B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47</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F59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涂胶机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74F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BA8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EED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5A8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6A9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47127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84C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F74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光刻机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848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21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8E5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BCB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D16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0B6A0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8E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49</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E46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显影机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51D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B3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518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0FB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F45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73F74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1B3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84B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湿法腐蚀机</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D7F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E2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7AE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0CA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3A0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bl>
          <w:p w14:paraId="2EBDC9CA">
            <w:pPr>
              <w:spacing w:line="360" w:lineRule="auto"/>
              <w:ind w:firstLine="420" w:firstLineChars="20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注：根据《射线装置分类》，X射线衍射仪和X射线荧光光谱仪均属于Ⅲ类射线装置，已另行办理核与辐射项目环评登记手续。</w:t>
            </w:r>
          </w:p>
          <w:p w14:paraId="1AC793AE">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（2）主要生产设备设计生产能力分析</w:t>
            </w:r>
          </w:p>
          <w:p w14:paraId="2CD44A93">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本项目主要生产设备生产能力分析见下表。</w:t>
            </w:r>
          </w:p>
          <w:p w14:paraId="012019C1">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color w:val="000000" w:themeColor="text1"/>
                <w:sz w:val="24"/>
                <w:szCs w:val="32"/>
                <w:highlight w:val="none"/>
                <w:lang w:val="en-US" w:eastAsia="zh-CN"/>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2.5-3</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本</w:t>
            </w:r>
            <w:r>
              <w:rPr>
                <w:rFonts w:hint="eastAsia"/>
                <w:b/>
                <w:color w:val="000000" w:themeColor="text1"/>
                <w:sz w:val="24"/>
                <w:szCs w:val="24"/>
                <w:highlight w:val="none"/>
                <w14:textFill>
                  <w14:solidFill>
                    <w14:schemeClr w14:val="tx1"/>
                  </w14:solidFill>
                </w14:textFill>
              </w:rPr>
              <w:t>项目主要生产设备设计生产能力与产能匹配分析表</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fixed"/>
              <w:tblCellMar>
                <w:top w:w="0" w:type="dxa"/>
                <w:left w:w="57" w:type="dxa"/>
                <w:bottom w:w="0" w:type="dxa"/>
                <w:right w:w="57" w:type="dxa"/>
              </w:tblCellMar>
            </w:tblPr>
            <w:tblGrid>
              <w:gridCol w:w="1136"/>
              <w:gridCol w:w="968"/>
              <w:gridCol w:w="694"/>
              <w:gridCol w:w="1125"/>
              <w:gridCol w:w="1183"/>
              <w:gridCol w:w="1206"/>
              <w:gridCol w:w="863"/>
              <w:gridCol w:w="979"/>
            </w:tblGrid>
            <w:tr w14:paraId="2648782A">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57" w:type="dxa"/>
                  <w:bottom w:w="0" w:type="dxa"/>
                  <w:right w:w="57" w:type="dxa"/>
                </w:tblCellMar>
              </w:tblPrEx>
              <w:trPr>
                <w:trHeight w:val="23" w:hRule="atLeast"/>
                <w:jc w:val="center"/>
              </w:trPr>
              <w:tc>
                <w:tcPr>
                  <w:tcW w:w="1107" w:type="dxa"/>
                  <w:tcBorders>
                    <w:tl2br w:val="nil"/>
                    <w:tr2bl w:val="nil"/>
                  </w:tcBorders>
                  <w:vAlign w:val="center"/>
                </w:tcPr>
                <w:p w14:paraId="167C342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设备名称</w:t>
                  </w:r>
                </w:p>
              </w:tc>
              <w:tc>
                <w:tcPr>
                  <w:tcW w:w="943" w:type="dxa"/>
                  <w:tcBorders>
                    <w:tl2br w:val="nil"/>
                    <w:tr2bl w:val="nil"/>
                  </w:tcBorders>
                  <w:vAlign w:val="center"/>
                </w:tcPr>
                <w:p w14:paraId="1CE40B2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单台能力（片/h）</w:t>
                  </w:r>
                </w:p>
              </w:tc>
              <w:tc>
                <w:tcPr>
                  <w:tcW w:w="675" w:type="dxa"/>
                  <w:tcBorders>
                    <w:tl2br w:val="nil"/>
                    <w:tr2bl w:val="nil"/>
                  </w:tcBorders>
                  <w:vAlign w:val="center"/>
                </w:tcPr>
                <w:p w14:paraId="39001F6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数量/台</w:t>
                  </w:r>
                </w:p>
              </w:tc>
              <w:tc>
                <w:tcPr>
                  <w:tcW w:w="1095" w:type="dxa"/>
                  <w:tcBorders>
                    <w:tl2br w:val="nil"/>
                    <w:tr2bl w:val="nil"/>
                  </w:tcBorders>
                  <w:vAlign w:val="center"/>
                </w:tcPr>
                <w:p w14:paraId="50B0737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年工作时间（h）</w:t>
                  </w:r>
                </w:p>
              </w:tc>
              <w:tc>
                <w:tcPr>
                  <w:tcW w:w="1151" w:type="dxa"/>
                  <w:tcBorders>
                    <w:tl2br w:val="nil"/>
                    <w:tr2bl w:val="nil"/>
                  </w:tcBorders>
                  <w:vAlign w:val="center"/>
                </w:tcPr>
                <w:p w14:paraId="4EA363C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额定生产能力（片/a）</w:t>
                  </w:r>
                </w:p>
              </w:tc>
              <w:tc>
                <w:tcPr>
                  <w:tcW w:w="1174" w:type="dxa"/>
                  <w:tcBorders>
                    <w:tl2br w:val="nil"/>
                    <w:tr2bl w:val="nil"/>
                  </w:tcBorders>
                  <w:vAlign w:val="center"/>
                </w:tcPr>
                <w:p w14:paraId="419CF62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设计生产规模（片/a）</w:t>
                  </w:r>
                </w:p>
              </w:tc>
              <w:tc>
                <w:tcPr>
                  <w:tcW w:w="840" w:type="dxa"/>
                  <w:tcBorders>
                    <w:tl2br w:val="nil"/>
                    <w:tr2bl w:val="nil"/>
                  </w:tcBorders>
                  <w:vAlign w:val="center"/>
                </w:tcPr>
                <w:p w14:paraId="237C75A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匹配性分析</w:t>
                  </w:r>
                </w:p>
              </w:tc>
              <w:tc>
                <w:tcPr>
                  <w:tcW w:w="953" w:type="dxa"/>
                  <w:tcBorders>
                    <w:tl2br w:val="nil"/>
                    <w:tr2bl w:val="nil"/>
                  </w:tcBorders>
                  <w:vAlign w:val="center"/>
                </w:tcPr>
                <w:p w14:paraId="2AB8B2B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备注</w:t>
                  </w:r>
                </w:p>
              </w:tc>
            </w:tr>
            <w:tr w14:paraId="76FD475F">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57" w:type="dxa"/>
                  <w:bottom w:w="0" w:type="dxa"/>
                  <w:right w:w="57" w:type="dxa"/>
                </w:tblCellMar>
              </w:tblPrEx>
              <w:trPr>
                <w:trHeight w:val="23" w:hRule="atLeast"/>
                <w:jc w:val="center"/>
              </w:trPr>
              <w:tc>
                <w:tcPr>
                  <w:tcW w:w="1107" w:type="dxa"/>
                  <w:tcBorders>
                    <w:tl2br w:val="nil"/>
                    <w:tr2bl w:val="nil"/>
                  </w:tcBorders>
                  <w:vAlign w:val="center"/>
                </w:tcPr>
                <w:p w14:paraId="0F423B1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w w:val="100"/>
                      <w:sz w:val="21"/>
                      <w:szCs w:val="21"/>
                      <w:highlight w:val="none"/>
                      <w:lang w:eastAsia="zh-CN"/>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镀膜机</w:t>
                  </w:r>
                </w:p>
              </w:tc>
              <w:tc>
                <w:tcPr>
                  <w:tcW w:w="943" w:type="dxa"/>
                  <w:tcBorders>
                    <w:tl2br w:val="nil"/>
                    <w:tr2bl w:val="nil"/>
                  </w:tcBorders>
                  <w:vAlign w:val="center"/>
                </w:tcPr>
                <w:p w14:paraId="7CD6ABF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w w:val="100"/>
                      <w:sz w:val="21"/>
                      <w:szCs w:val="21"/>
                      <w:highlight w:val="none"/>
                      <w:lang w:eastAsia="zh-CN"/>
                      <w14:textFill>
                        <w14:solidFill>
                          <w14:schemeClr w14:val="tx1"/>
                        </w14:solidFill>
                      </w14:textFill>
                    </w:rPr>
                  </w:pPr>
                </w:p>
              </w:tc>
              <w:tc>
                <w:tcPr>
                  <w:tcW w:w="675" w:type="dxa"/>
                  <w:tcBorders>
                    <w:tl2br w:val="nil"/>
                    <w:tr2bl w:val="nil"/>
                  </w:tcBorders>
                  <w:vAlign w:val="center"/>
                </w:tcPr>
                <w:p w14:paraId="14A34F3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w w:val="100"/>
                      <w:sz w:val="21"/>
                      <w:szCs w:val="21"/>
                      <w:highlight w:val="none"/>
                      <w:lang w:eastAsia="zh-CN"/>
                      <w14:textFill>
                        <w14:solidFill>
                          <w14:schemeClr w14:val="tx1"/>
                        </w14:solidFill>
                      </w14:textFill>
                    </w:rPr>
                  </w:pPr>
                </w:p>
              </w:tc>
              <w:tc>
                <w:tcPr>
                  <w:tcW w:w="1095" w:type="dxa"/>
                  <w:tcBorders>
                    <w:tl2br w:val="nil"/>
                    <w:tr2bl w:val="nil"/>
                  </w:tcBorders>
                  <w:vAlign w:val="center"/>
                </w:tcPr>
                <w:p w14:paraId="3418778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2000</w:t>
                  </w:r>
                </w:p>
              </w:tc>
              <w:tc>
                <w:tcPr>
                  <w:tcW w:w="1151" w:type="dxa"/>
                  <w:tcBorders>
                    <w:tl2br w:val="nil"/>
                    <w:tr2bl w:val="nil"/>
                  </w:tcBorders>
                  <w:vAlign w:val="center"/>
                </w:tcPr>
                <w:p w14:paraId="258146C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10000</w:t>
                  </w:r>
                </w:p>
              </w:tc>
              <w:tc>
                <w:tcPr>
                  <w:tcW w:w="1174" w:type="dxa"/>
                  <w:tcBorders>
                    <w:tl2br w:val="nil"/>
                    <w:tr2bl w:val="nil"/>
                  </w:tcBorders>
                  <w:vAlign w:val="center"/>
                </w:tcPr>
                <w:p w14:paraId="5E7FB45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10000</w:t>
                  </w:r>
                </w:p>
              </w:tc>
              <w:tc>
                <w:tcPr>
                  <w:tcW w:w="840" w:type="dxa"/>
                  <w:tcBorders>
                    <w:tl2br w:val="nil"/>
                    <w:tr2bl w:val="nil"/>
                  </w:tcBorders>
                  <w:vAlign w:val="center"/>
                </w:tcPr>
                <w:p w14:paraId="394ECB5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匹配</w:t>
                  </w:r>
                </w:p>
              </w:tc>
              <w:tc>
                <w:tcPr>
                  <w:tcW w:w="953" w:type="dxa"/>
                  <w:tcBorders>
                    <w:tl2br w:val="nil"/>
                    <w:tr2bl w:val="nil"/>
                  </w:tcBorders>
                  <w:vAlign w:val="center"/>
                </w:tcPr>
                <w:p w14:paraId="7701A22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产品1</w:t>
                  </w:r>
                </w:p>
              </w:tc>
            </w:tr>
            <w:tr w14:paraId="26D93880">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57" w:type="dxa"/>
                  <w:bottom w:w="0" w:type="dxa"/>
                  <w:right w:w="57" w:type="dxa"/>
                </w:tblCellMar>
              </w:tblPrEx>
              <w:trPr>
                <w:trHeight w:val="23" w:hRule="atLeast"/>
                <w:jc w:val="center"/>
              </w:trPr>
              <w:tc>
                <w:tcPr>
                  <w:tcW w:w="1107" w:type="dxa"/>
                  <w:tcBorders>
                    <w:tl2br w:val="nil"/>
                    <w:tr2bl w:val="nil"/>
                  </w:tcBorders>
                  <w:vAlign w:val="center"/>
                </w:tcPr>
                <w:p w14:paraId="1671ABF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显影机</w:t>
                  </w:r>
                </w:p>
              </w:tc>
              <w:tc>
                <w:tcPr>
                  <w:tcW w:w="943" w:type="dxa"/>
                  <w:tcBorders>
                    <w:tl2br w:val="nil"/>
                    <w:tr2bl w:val="nil"/>
                  </w:tcBorders>
                  <w:vAlign w:val="center"/>
                </w:tcPr>
                <w:p w14:paraId="75F1B9C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pPr>
                </w:p>
              </w:tc>
              <w:tc>
                <w:tcPr>
                  <w:tcW w:w="675" w:type="dxa"/>
                  <w:tcBorders>
                    <w:tl2br w:val="nil"/>
                    <w:tr2bl w:val="nil"/>
                  </w:tcBorders>
                  <w:vAlign w:val="center"/>
                </w:tcPr>
                <w:p w14:paraId="1CAF40E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pPr>
                </w:p>
              </w:tc>
              <w:tc>
                <w:tcPr>
                  <w:tcW w:w="1095" w:type="dxa"/>
                  <w:tcBorders>
                    <w:tl2br w:val="nil"/>
                    <w:tr2bl w:val="nil"/>
                  </w:tcBorders>
                  <w:vAlign w:val="center"/>
                </w:tcPr>
                <w:p w14:paraId="7F487A8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2000</w:t>
                  </w:r>
                </w:p>
              </w:tc>
              <w:tc>
                <w:tcPr>
                  <w:tcW w:w="1151" w:type="dxa"/>
                  <w:tcBorders>
                    <w:tl2br w:val="nil"/>
                    <w:tr2bl w:val="nil"/>
                  </w:tcBorders>
                  <w:vAlign w:val="center"/>
                </w:tcPr>
                <w:p w14:paraId="74E18DE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20000</w:t>
                  </w:r>
                </w:p>
              </w:tc>
              <w:tc>
                <w:tcPr>
                  <w:tcW w:w="1174" w:type="dxa"/>
                  <w:tcBorders>
                    <w:tl2br w:val="nil"/>
                    <w:tr2bl w:val="nil"/>
                  </w:tcBorders>
                  <w:vAlign w:val="center"/>
                </w:tcPr>
                <w:p w14:paraId="178EA3E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20000</w:t>
                  </w:r>
                </w:p>
              </w:tc>
              <w:tc>
                <w:tcPr>
                  <w:tcW w:w="840" w:type="dxa"/>
                  <w:tcBorders>
                    <w:tl2br w:val="nil"/>
                    <w:tr2bl w:val="nil"/>
                  </w:tcBorders>
                  <w:vAlign w:val="center"/>
                </w:tcPr>
                <w:p w14:paraId="51AC73F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rPr>
                    <w:t>匹配</w:t>
                  </w:r>
                </w:p>
              </w:tc>
              <w:tc>
                <w:tcPr>
                  <w:tcW w:w="953" w:type="dxa"/>
                  <w:tcBorders>
                    <w:tl2br w:val="nil"/>
                    <w:tr2bl w:val="nil"/>
                  </w:tcBorders>
                  <w:vAlign w:val="center"/>
                </w:tcPr>
                <w:p w14:paraId="096671E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highlight w:val="none"/>
                      <w:lang w:val="en-US"/>
                      <w14:textFill>
                        <w14:solidFill>
                          <w14:schemeClr w14:val="tx1"/>
                        </w14:solidFill>
                      </w14:textFill>
                    </w:rPr>
                  </w:pPr>
                  <w:r>
                    <w:rPr>
                      <w:rFonts w:hint="eastAsia" w:ascii="Times New Roman" w:hAnsi="Times New Roman" w:cs="Times New Roman"/>
                      <w:color w:val="000000" w:themeColor="text1"/>
                      <w:w w:val="100"/>
                      <w:sz w:val="21"/>
                      <w:szCs w:val="21"/>
                      <w:highlight w:val="none"/>
                      <w:lang w:val="en-US" w:eastAsia="zh-CN"/>
                      <w14:textFill>
                        <w14:solidFill>
                          <w14:schemeClr w14:val="tx1"/>
                        </w14:solidFill>
                      </w14:textFill>
                    </w:rPr>
                    <w:t>产品2</w:t>
                  </w:r>
                </w:p>
              </w:tc>
            </w:tr>
          </w:tbl>
          <w:p w14:paraId="6C913939">
            <w:pPr>
              <w:pStyle w:val="37"/>
              <w:rPr>
                <w:rFonts w:hint="default"/>
                <w:b w:val="0"/>
                <w:color w:val="000000" w:themeColor="text1"/>
                <w:sz w:val="24"/>
                <w:szCs w:val="21"/>
                <w:highlight w:val="none"/>
                <w:lang w:val="en-US" w:eastAsia="zh-CN"/>
                <w14:textFill>
                  <w14:solidFill>
                    <w14:schemeClr w14:val="tx1"/>
                  </w14:solidFill>
                </w14:textFill>
              </w:rPr>
            </w:pPr>
            <w:r>
              <w:rPr>
                <w:rFonts w:hint="eastAsia"/>
                <w:b w:val="0"/>
                <w:color w:val="000000" w:themeColor="text1"/>
                <w:sz w:val="24"/>
                <w:szCs w:val="21"/>
                <w:highlight w:val="none"/>
                <w:lang w:val="en-US" w:eastAsia="zh-CN"/>
                <w14:textFill>
                  <w14:solidFill>
                    <w14:schemeClr w14:val="tx1"/>
                  </w14:solidFill>
                </w14:textFill>
              </w:rPr>
              <w:t>2.6 物料平衡</w:t>
            </w:r>
          </w:p>
          <w:p w14:paraId="2272E39D">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根据建设单位提供资料，项目VOCs平衡统计详见下表。</w:t>
            </w:r>
          </w:p>
          <w:p w14:paraId="5EA76783">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b/>
                <w:color w:val="000000" w:themeColor="text1"/>
                <w:sz w:val="24"/>
                <w:szCs w:val="24"/>
                <w:highlight w:val="none"/>
                <w:lang w:val="en-US" w:eastAsia="zh-CN"/>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2.6-1</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本</w:t>
            </w:r>
            <w:r>
              <w:rPr>
                <w:rFonts w:hint="eastAsia"/>
                <w:b/>
                <w:color w:val="000000" w:themeColor="text1"/>
                <w:sz w:val="24"/>
                <w:szCs w:val="24"/>
                <w:highlight w:val="none"/>
                <w14:textFill>
                  <w14:solidFill>
                    <w14:schemeClr w14:val="tx1"/>
                  </w14:solidFill>
                </w14:textFill>
              </w:rPr>
              <w:t>项目VOCs平衡表</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40"/>
              <w:gridCol w:w="2040"/>
              <w:gridCol w:w="2042"/>
              <w:gridCol w:w="2042"/>
            </w:tblGrid>
            <w:tr w14:paraId="0D487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030" w:type="dxa"/>
                  <w:gridSpan w:val="2"/>
                  <w:tcBorders>
                    <w:top w:val="single" w:color="000000" w:sz="4" w:space="0"/>
                    <w:left w:val="single" w:color="auto" w:sz="0" w:space="0"/>
                    <w:bottom w:val="single" w:color="000000" w:sz="4" w:space="0"/>
                    <w:right w:val="single" w:color="000000" w:sz="4" w:space="0"/>
                  </w:tcBorders>
                  <w:shd w:val="clear" w:color="auto" w:fill="auto"/>
                  <w:vAlign w:val="center"/>
                </w:tcPr>
                <w:p w14:paraId="7D88D20E">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输入</w:t>
                  </w:r>
                </w:p>
              </w:tc>
              <w:tc>
                <w:tcPr>
                  <w:tcW w:w="4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64F4CB">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输出</w:t>
                  </w:r>
                </w:p>
              </w:tc>
            </w:tr>
            <w:tr w14:paraId="21BC7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45E6">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1F52">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产品消耗量（t/a）</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F936">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EF42">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产品产生量（t/a）</w:t>
                  </w:r>
                </w:p>
              </w:tc>
            </w:tr>
            <w:tr w14:paraId="4018B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424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DSL-3.6清洗剂</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A02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B16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有机废气</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D1B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1.6273</w:t>
                  </w:r>
                </w:p>
              </w:tc>
            </w:tr>
            <w:tr w14:paraId="2D4DC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E49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无水乙醇</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1EC5">
                  <w:pPr>
                    <w:keepNext w:val="0"/>
                    <w:keepLines w:val="0"/>
                    <w:widowControl/>
                    <w:suppressLineNumbers w:val="0"/>
                    <w:jc w:val="center"/>
                    <w:textAlignment w:val="top"/>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4BE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废活性炭吸附量</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A350">
                  <w:pPr>
                    <w:keepNext w:val="0"/>
                    <w:keepLines w:val="0"/>
                    <w:widowControl/>
                    <w:suppressLineNumbers w:val="0"/>
                    <w:jc w:val="center"/>
                    <w:textAlignment w:val="top"/>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5.0421</w:t>
                  </w:r>
                </w:p>
              </w:tc>
            </w:tr>
            <w:tr w14:paraId="1CEA1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902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无水乙醚</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194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top"/>
                </w:tcPr>
                <w:p w14:paraId="5CC3A7F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清洗废液（废有机溶剂残量）</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top"/>
                </w:tcPr>
                <w:p w14:paraId="7DA0EFD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8.5545</w:t>
                  </w:r>
                </w:p>
              </w:tc>
            </w:tr>
            <w:tr w14:paraId="442DB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7B1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丙酮</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FFB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top"/>
                </w:tcPr>
                <w:p w14:paraId="1ADF8AE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过程损耗</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top"/>
                </w:tcPr>
                <w:p w14:paraId="4C23378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0.9522 </w:t>
                  </w:r>
                </w:p>
              </w:tc>
            </w:tr>
            <w:tr w14:paraId="37626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CFF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增粘剂六甲基二硅杂氮烷</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7E3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0.005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126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E4C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20BD4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714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稀释剂1-2-丙二醇甲醚醋酸酯</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890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0.02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70F6">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BA0D">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r>
            <w:tr w14:paraId="55577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A6E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NOA61胶水</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A70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0.002835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A5F1">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87E6">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r>
            <w:tr w14:paraId="361DA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CFB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AZ光刻胶</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B2F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0.0483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5415">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7843">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r>
            <w:tr w14:paraId="274D3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top"/>
                </w:tcPr>
                <w:p w14:paraId="392FCC0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合计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top"/>
                </w:tcPr>
                <w:p w14:paraId="57B3130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16.1761 </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top"/>
                </w:tcPr>
                <w:p w14:paraId="57F8403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合计</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top"/>
                </w:tcPr>
                <w:p w14:paraId="21068B9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16.1761 </w:t>
                  </w:r>
                </w:p>
              </w:tc>
            </w:tr>
          </w:tbl>
          <w:p w14:paraId="1288ACC7">
            <w:pPr>
              <w:pStyle w:val="37"/>
              <w:rPr>
                <w:rFonts w:hint="default"/>
                <w:b w:val="0"/>
                <w:color w:val="000000" w:themeColor="text1"/>
                <w:sz w:val="24"/>
                <w:szCs w:val="21"/>
                <w:highlight w:val="none"/>
                <w:lang w:val="en-US" w:eastAsia="zh-CN"/>
                <w14:textFill>
                  <w14:solidFill>
                    <w14:schemeClr w14:val="tx1"/>
                  </w14:solidFill>
                </w14:textFill>
              </w:rPr>
            </w:pPr>
            <w:r>
              <w:rPr>
                <w:rFonts w:hint="eastAsia"/>
                <w:b w:val="0"/>
                <w:color w:val="000000" w:themeColor="text1"/>
                <w:sz w:val="24"/>
                <w:szCs w:val="21"/>
                <w:highlight w:val="none"/>
                <w:lang w:val="en-US" w:eastAsia="zh-CN"/>
                <w14:textFill>
                  <w14:solidFill>
                    <w14:schemeClr w14:val="tx1"/>
                  </w14:solidFill>
                </w14:textFill>
              </w:rPr>
              <w:t>2.7 水平衡</w:t>
            </w:r>
          </w:p>
          <w:p w14:paraId="598DAF46">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本项目用水来源为园区供水管网，用水主要包括生活用水和生产用水，其中生产用水为纯化水制备用水和清洗用水等；生活用水为职工生活用水。</w:t>
            </w:r>
          </w:p>
          <w:p w14:paraId="6A7223CD">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1、生产用水</w:t>
            </w:r>
          </w:p>
          <w:p w14:paraId="3AB34434">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（1）纯化水制备用水</w:t>
            </w:r>
          </w:p>
          <w:p w14:paraId="099CD418">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建设单位提供资料，项目设置纯化水制备机，产生的纯化水用于生产过程产品的清洗检验、抛光、显影、刻蚀等环节，纯化水制备率约70%，纯化水制备机年工作250天，新鲜水用量为48t/d（12000t/a），则纯化水制备量为33.6t/d（8400t/a），纯化水制备浓水产生量为14.4t/d（3600t/a）。纯化水制备浓水仅是硬度、电导率略高于市政原水，可用于项目空调机房、水泵房补水，多余的排入市政污水管网。</w:t>
            </w:r>
          </w:p>
          <w:p w14:paraId="421E4A85">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其中玻璃刻蚀用水量约8t/d，废水排放系数按90%计算，则含氟废水排放量为7.2t/d（1800t/a）。</w:t>
            </w:r>
          </w:p>
          <w:p w14:paraId="78C1A9BD">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金属刻蚀环节用水量约8t/d，废水排放系数按90%计算，则含硝酸铈铵废水排放量为7.2t/d（1800t/a）。因该股废水含铈，铈为稀土重金属，大学城污水处理厂不接纳涉重金属废水，因此该股废水作为废液，即危险废物处理。</w:t>
            </w:r>
          </w:p>
          <w:p w14:paraId="5D3C8C49">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其他含酸碱清洗用水量17.6t/d，废水排放系数按90%计算，则酸碱清洗废水排放量为15.84t/d（3960t/a）</w:t>
            </w:r>
          </w:p>
          <w:p w14:paraId="14C245D4">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（2）一般清洗用水</w:t>
            </w:r>
          </w:p>
          <w:p w14:paraId="368DB263">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成形后的玻璃表面清洗、细磨工序清洗等环节使用市政原水，用水量约8t/d。废水排放系数按90%计算，则废水排放量为7.2t/d（1800t/a）。</w:t>
            </w:r>
          </w:p>
          <w:p w14:paraId="4BA5665F">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（3）酸性及碱性废气处理设施补水</w:t>
            </w:r>
          </w:p>
          <w:p w14:paraId="04075E5C">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酸性废气处理设施喷淋塔补水量约为2t/d。废水排放系数按90%计算，则废水排放量为1.8t/d（450t/a）；碱性废气处理设施喷淋塔补水量约为2t/d。废水排放系数按90%计算，则废水排放量为1.8t/d（450t/a）。</w:t>
            </w:r>
          </w:p>
          <w:p w14:paraId="15B34DB8">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2、生活用水</w:t>
            </w:r>
          </w:p>
          <w:p w14:paraId="62A56F36">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本项目新增职工人数150人，均不住厂。不住厂人员用水定额按50L/（人·d），则生活用水量为7.5t/d（1875t/a），产污系数为90%，则项目生活污水产生量为6.75t/d（1687.5t/a）。</w:t>
            </w:r>
          </w:p>
          <w:p w14:paraId="6F22FFAC">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综上所述，项目总用水量为67.5t/d（16875t/a）。</w:t>
            </w:r>
          </w:p>
          <w:p w14:paraId="6C0B1EB1">
            <w:pPr>
              <w:pStyle w:val="37"/>
              <w:rPr>
                <w:rFonts w:hint="default"/>
                <w:b w:val="0"/>
                <w:color w:val="000000" w:themeColor="text1"/>
                <w:sz w:val="24"/>
                <w:szCs w:val="21"/>
                <w:highlight w:val="none"/>
                <w:lang w:val="en-US" w:eastAsia="zh-CN"/>
                <w14:textFill>
                  <w14:solidFill>
                    <w14:schemeClr w14:val="tx1"/>
                  </w14:solidFill>
                </w14:textFill>
              </w:rPr>
            </w:pPr>
            <w:r>
              <w:rPr>
                <w:rFonts w:hint="eastAsia"/>
                <w:b w:val="0"/>
                <w:color w:val="000000" w:themeColor="text1"/>
                <w:sz w:val="24"/>
                <w:szCs w:val="21"/>
                <w:highlight w:val="none"/>
                <w:lang w:val="en-US" w:eastAsia="zh-CN"/>
                <w14:textFill>
                  <w14:solidFill>
                    <w14:schemeClr w14:val="tx1"/>
                  </w14:solidFill>
                </w14:textFill>
              </w:rPr>
              <w:t>2.8 项目平面布置合理性分析</w:t>
            </w:r>
          </w:p>
          <w:p w14:paraId="77F9AFC5">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（1）厂房布置情况</w:t>
            </w:r>
          </w:p>
          <w:p w14:paraId="39E37979">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至期光子现有工程租赁</w:t>
            </w:r>
            <w:r>
              <w:rPr>
                <w:rFonts w:hint="eastAsia"/>
                <w:color w:val="000000" w:themeColor="text1"/>
                <w:sz w:val="24"/>
                <w:szCs w:val="32"/>
                <w:highlight w:val="none"/>
                <w:lang w:eastAsia="zh-CN"/>
                <w14:textFill>
                  <w14:solidFill>
                    <w14:schemeClr w14:val="tx1"/>
                  </w14:solidFill>
                </w14:textFill>
              </w:rPr>
              <w:t>福建省菲格园区开发管理有限公司2#厂房，</w:t>
            </w:r>
            <w:r>
              <w:rPr>
                <w:rFonts w:hint="eastAsia"/>
                <w:color w:val="000000" w:themeColor="text1"/>
                <w:sz w:val="24"/>
                <w:szCs w:val="32"/>
                <w:highlight w:val="none"/>
                <w:lang w:val="en-US" w:eastAsia="zh-CN"/>
                <w14:textFill>
                  <w14:solidFill>
                    <w14:schemeClr w14:val="tx1"/>
                  </w14:solidFill>
                </w14:textFill>
              </w:rPr>
              <w:t>2#厂房内仅有至期光子，无其他企业入驻。现有工程平面布置见附图6~8。</w:t>
            </w:r>
          </w:p>
          <w:p w14:paraId="1CF3440C">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本项目租赁福建省菲格园区开发管理有限公司1#厂房1层，1</w:t>
            </w:r>
            <w:r>
              <w:rPr>
                <w:rFonts w:hint="eastAsia"/>
                <w:color w:val="000000" w:themeColor="text1"/>
                <w:sz w:val="24"/>
                <w:szCs w:val="32"/>
                <w:highlight w:val="none"/>
                <w:lang w:eastAsia="zh-CN"/>
                <w14:textFill>
                  <w14:solidFill>
                    <w14:schemeClr w14:val="tx1"/>
                  </w14:solidFill>
                </w14:textFill>
              </w:rPr>
              <w:t>#厂房主体均已建成，</w:t>
            </w:r>
            <w:r>
              <w:rPr>
                <w:rFonts w:hint="eastAsia"/>
                <w:color w:val="000000" w:themeColor="text1"/>
                <w:sz w:val="24"/>
                <w:szCs w:val="32"/>
                <w:highlight w:val="none"/>
                <w:lang w:val="en-US" w:eastAsia="zh-CN"/>
                <w14:textFill>
                  <w14:solidFill>
                    <w14:schemeClr w14:val="tx1"/>
                  </w14:solidFill>
                </w14:textFill>
              </w:rPr>
              <w:t>整栋现状为空置状态，无企业入驻。1#厂房位于2#厂房北侧，本项目与现有工程的位置关系见附图4。</w:t>
            </w:r>
          </w:p>
          <w:p w14:paraId="4E9FFDB7">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（2）本项目平面布置情况</w:t>
            </w:r>
          </w:p>
          <w:p w14:paraId="065E9F05">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本项目平面布置图详见附图9。</w:t>
            </w:r>
          </w:p>
          <w:p w14:paraId="068F57A7">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厂房设置了洁净人员入口、非洁净入口、公共入口三类人员入口，严格区分洁净生产人员、普通办公/辅助人员与访客，避免不同洁净等级人流交叉污染。厂房西侧设原材料进货口，东侧设物流出口与二期物流出口，实现“原材料西进、成品/废弃物东出”的单向物流流向，避免物料往返交叉；包材库、物料库紧邻进货口，缩短入库搬运距离，提升物流效率。包材库、物料库集中于西侧进货口附近，实现“进货-仓储-生产”的短路径衔接，避免物料长距离搬运。</w:t>
            </w:r>
          </w:p>
          <w:p w14:paraId="19FBA8D6">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核心洁净生产区集中于中部，外围环绕非洁净辅助区（仓库、机房、门厅等），形成“核心洁净+外围辅助”的圈层布局，既减少洁净区面积以降低能耗，又能有效阻隔外界污染。打样区紧邻洁净区与物料库，方便样品试制与物料流转；洁净餐厅嵌入洁净区中部，避免洁净人员频繁更衣进出洁净区，降低污染风险。纯水机房、空压机房、空调机房均靠近洁净区布置，大幅缩短水、气、风管线长度，减少压力/能量损耗，降低运维成本。公用工程机房（空压、纯水）与生产区物理分隔，减少火灾/爆炸风险传导。</w:t>
            </w:r>
          </w:p>
          <w:p w14:paraId="1472AF7E">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项目噪声级较高的设备大部分安装在厂房内部位置。项目不在厂内设生活区。废气治理设施紧邻车间布置，减少了有机废气的输送距离；危废间独立布置于西南角，远离洁净区与人员密集区，危险废物暂存间布置远离敏感点，降低风险事故对人群的影响。</w:t>
            </w:r>
          </w:p>
          <w:p w14:paraId="75815571">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（3）本项目平面布置合理性分析</w:t>
            </w:r>
          </w:p>
          <w:p w14:paraId="5FA69BAD">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项目各车间内整体布局紧凑，便于工艺流程的进行和成品的堆放，使物流通畅；功能分区明确；在厂房与周围建筑物间留出必要的间距和通道，符合防火、卫生、安全要求。厂房平面布局基本上做到按照生产工艺流程布置，功能区布局明确，物流顺畅。从环境影响的角度看，项目环保设施平面布置基本合理。</w:t>
            </w:r>
          </w:p>
          <w:p w14:paraId="2443CCD9">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属于超精密光学元器件制造，为光电子精密加工行业，以物理加工、精密研磨、清洗、镀膜为主，污染物以少量工艺废气、清洗废水、设备噪声等为主。1#厂房目前整栋空置，无其他企业，不存在相互干扰冲突等问题，相容性较好；南侧2#厂房为本公司已建同类型光学项目，工艺相近，且为两栋相互独立的建筑，不会相互影响，相容性较好。</w:t>
            </w:r>
          </w:p>
          <w:p w14:paraId="7C702F59">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项目当地常年主导风向为东南风，说明其下风向（西北侧）受污染的概率最高，项目生产车间拟将有机废气处理设施及排气筒设置在西南侧，均不在年主导风向上风向，且下风向500m范围内无环保目标，侧风向有南湖公寓这一处环保目标，可降低废气对周边居住区的影响。</w:t>
            </w:r>
          </w:p>
          <w:p w14:paraId="11DF98B2">
            <w:pPr>
              <w:spacing w:line="360" w:lineRule="auto"/>
              <w:ind w:firstLine="480" w:firstLineChars="200"/>
              <w:rPr>
                <w:rFonts w:hint="eastAsia"/>
                <w:b/>
                <w:color w:val="000000" w:themeColor="text1"/>
                <w:sz w:val="24"/>
                <w:szCs w:val="24"/>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综上所述，本项目的总平布置基本合理。</w:t>
            </w:r>
          </w:p>
          <w:p w14:paraId="251697B2">
            <w:pPr>
              <w:pStyle w:val="37"/>
              <w:rPr>
                <w:rFonts w:hint="default" w:eastAsia="黑体"/>
                <w:color w:val="000000" w:themeColor="text1"/>
                <w:sz w:val="24"/>
                <w:szCs w:val="21"/>
                <w:highlight w:val="none"/>
                <w:lang w:val="en-US" w:eastAsia="zh-CN"/>
                <w14:textFill>
                  <w14:solidFill>
                    <w14:schemeClr w14:val="tx1"/>
                  </w14:solidFill>
                </w14:textFill>
              </w:rPr>
            </w:pPr>
            <w:r>
              <w:rPr>
                <w:color w:val="000000" w:themeColor="text1"/>
                <w:sz w:val="24"/>
                <w:szCs w:val="21"/>
                <w:highlight w:val="none"/>
                <w14:textFill>
                  <w14:solidFill>
                    <w14:schemeClr w14:val="tx1"/>
                  </w14:solidFill>
                </w14:textFill>
              </w:rPr>
              <w:t>2.</w:t>
            </w:r>
            <w:r>
              <w:rPr>
                <w:rFonts w:hint="eastAsia"/>
                <w:color w:val="000000" w:themeColor="text1"/>
                <w:sz w:val="24"/>
                <w:szCs w:val="21"/>
                <w:highlight w:val="none"/>
                <w:lang w:val="en-US" w:eastAsia="zh-CN"/>
                <w14:textFill>
                  <w14:solidFill>
                    <w14:schemeClr w14:val="tx1"/>
                  </w14:solidFill>
                </w14:textFill>
              </w:rPr>
              <w:t>9</w:t>
            </w:r>
            <w:r>
              <w:rPr>
                <w:color w:val="000000" w:themeColor="text1"/>
                <w:sz w:val="24"/>
                <w:szCs w:val="21"/>
                <w:highlight w:val="non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工艺流程</w:t>
            </w:r>
            <w:r>
              <w:rPr>
                <w:rFonts w:hint="eastAsia"/>
                <w:color w:val="000000" w:themeColor="text1"/>
                <w:sz w:val="24"/>
                <w:szCs w:val="21"/>
                <w:highlight w:val="none"/>
                <w:lang w:val="en-US" w:eastAsia="zh-CN"/>
                <w14:textFill>
                  <w14:solidFill>
                    <w14:schemeClr w14:val="tx1"/>
                  </w14:solidFill>
                </w14:textFill>
              </w:rPr>
              <w:t>及产污环节</w:t>
            </w:r>
          </w:p>
          <w:p w14:paraId="75CD6BC8">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bookmarkStart w:id="8" w:name="_Hlk150355235"/>
            <w:r>
              <w:rPr>
                <w:rFonts w:hint="eastAsia"/>
                <w:bCs/>
                <w:color w:val="000000" w:themeColor="text1"/>
                <w:sz w:val="24"/>
                <w:szCs w:val="24"/>
                <w:highlight w:val="none"/>
                <w:lang w:val="en-US" w:eastAsia="zh-CN"/>
                <w14:textFill>
                  <w14:solidFill>
                    <w14:schemeClr w14:val="tx1"/>
                  </w14:solidFill>
                </w14:textFill>
              </w:rPr>
              <w:t>（一）超精密光学元器件1（吸盘产品）</w:t>
            </w:r>
          </w:p>
          <w:p w14:paraId="3A21FDFC">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超精密光学元器件1吸盘产品生产工艺流程及产污环节见下图。</w:t>
            </w:r>
          </w:p>
          <w:p w14:paraId="17672BA6">
            <w:pPr>
              <w:spacing w:line="360" w:lineRule="auto"/>
              <w:jc w:val="center"/>
              <w:rPr>
                <w:rFonts w:hint="default"/>
                <w:bCs/>
                <w:color w:val="000000" w:themeColor="text1"/>
                <w:sz w:val="24"/>
                <w:szCs w:val="24"/>
                <w:highlight w:val="none"/>
                <w:lang w:val="en-US" w:eastAsia="zh-CN"/>
                <w14:textFill>
                  <w14:solidFill>
                    <w14:schemeClr w14:val="tx1"/>
                  </w14:solidFill>
                </w14:textFill>
              </w:rPr>
            </w:pPr>
          </w:p>
          <w:p w14:paraId="66BD562C">
            <w:pPr>
              <w:spacing w:line="360" w:lineRule="auto"/>
              <w:jc w:val="center"/>
              <w:rPr>
                <w:rFonts w:hint="eastAsia"/>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 xml:space="preserve">图 </w:t>
            </w:r>
            <w:r>
              <w:rPr>
                <w:b/>
                <w:bCs/>
                <w:color w:val="000000" w:themeColor="text1"/>
                <w:sz w:val="24"/>
                <w:szCs w:val="24"/>
                <w:highlight w:val="none"/>
                <w14:textFill>
                  <w14:solidFill>
                    <w14:schemeClr w14:val="tx1"/>
                  </w14:solidFill>
                </w14:textFill>
              </w:rPr>
              <w:t>2</w:t>
            </w:r>
            <w:r>
              <w:rPr>
                <w:rFonts w:hint="eastAsia"/>
                <w:b/>
                <w:bCs/>
                <w:color w:val="000000" w:themeColor="text1"/>
                <w:sz w:val="24"/>
                <w:szCs w:val="24"/>
                <w:highlight w:val="none"/>
                <w:lang w:val="en-US" w:eastAsia="zh-CN"/>
                <w14:textFill>
                  <w14:solidFill>
                    <w14:schemeClr w14:val="tx1"/>
                  </w14:solidFill>
                </w14:textFill>
              </w:rPr>
              <w:t>.9-1</w:t>
            </w:r>
            <w:r>
              <w:rPr>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超精密光学元器件1生产</w:t>
            </w:r>
            <w:r>
              <w:rPr>
                <w:rFonts w:hint="eastAsia"/>
                <w:b/>
                <w:bCs/>
                <w:color w:val="000000" w:themeColor="text1"/>
                <w:sz w:val="24"/>
                <w:szCs w:val="24"/>
                <w:highlight w:val="none"/>
                <w14:textFill>
                  <w14:solidFill>
                    <w14:schemeClr w14:val="tx1"/>
                  </w14:solidFill>
                </w14:textFill>
              </w:rPr>
              <w:t>工艺流程</w:t>
            </w:r>
            <w:r>
              <w:rPr>
                <w:rFonts w:hint="eastAsia"/>
                <w:b/>
                <w:bCs/>
                <w:color w:val="000000" w:themeColor="text1"/>
                <w:sz w:val="24"/>
                <w:szCs w:val="24"/>
                <w:highlight w:val="none"/>
                <w:lang w:val="en-US" w:eastAsia="zh-CN"/>
                <w14:textFill>
                  <w14:solidFill>
                    <w14:schemeClr w14:val="tx1"/>
                  </w14:solidFill>
                </w14:textFill>
              </w:rPr>
              <w:t>及产污环节</w:t>
            </w:r>
          </w:p>
          <w:p w14:paraId="2F07D7BA">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超精密光学元器件1生产工艺流程主要为：</w:t>
            </w:r>
          </w:p>
          <w:p w14:paraId="02CD6768">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1）成形：利用切割机、铣磨机、研磨机对整块光学玻璃进行切割、整平、铣磨加工成需要的尺寸和形状。加工成形的光学玻璃先用抹布擦拭掉表面的油污后再利用清洗剂清洗表面，加工过程中产生玻璃边角料、含油抹布、清洗废液。</w:t>
            </w:r>
          </w:p>
          <w:p w14:paraId="2962B985">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（2）清洗、型料检验：成形后的光学玻璃用水进行清洗，型料验收也需使用水进行清洗，清洗过程产生清洗废水。</w:t>
            </w:r>
          </w:p>
          <w:p w14:paraId="5322DFA2">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（3）细磨：将玻璃型料毛坯用研磨机用砂水混合物加工成具有一定几何形状、尺寸精度和表面粗糙度等。加工过程中需用清水进行冲洗，形成废水，研磨过程中采用金刚砂，金刚砂沉淀，产生固废；</w:t>
            </w:r>
          </w:p>
          <w:p w14:paraId="1CB1B799">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（4）抛光：利用抛光机将细磨好的产品在抛光模上用抛光粉加清水混合液进行抛光，加工达到产品的工艺要求。加工过程中需用清水进行冲洗，产生废水；</w:t>
            </w:r>
          </w:p>
          <w:p w14:paraId="21ECF94C">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5）镀膜：采用镀膜机真空镀膜。真空镀膜是利用膜材加热装置的热能将膜材加热蒸发，并在真空条件下，使膜材原子靠热运动而逸出膜材表面，并沉积到产品表面上的一种技术。镀膜过程每种膜材使用1个坩埚，不混合使用，剩余的膜材待下次镀膜时继续使用，无丢弃膜材。镀膜机加工，镀膜机运行，形成噪声。</w:t>
            </w:r>
          </w:p>
          <w:p w14:paraId="184F1A14">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6）清洗检验：将抛光后的产品利用超声波清洗采用有机溶剂清洗，再用硫酸浸泡。有机溶剂挥发产生废气；清洗剂加入清洗后，清洗槽内的所有的清洗剂和废水全部为危废，工件晾干后，才能进入下一道工序。</w:t>
            </w:r>
          </w:p>
          <w:p w14:paraId="276AFC0D">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（7）装配：需要装配的产品将光学玻璃根据装配图要求装在机械件上，使用胶水将产生有机废气。</w:t>
            </w:r>
          </w:p>
          <w:p w14:paraId="260CA63E">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（7）检测：各道工序结束后，需要采用无水乙醇、无水乙醚和丙酮进行检测，检测过程中会产生不合格品。</w:t>
            </w:r>
          </w:p>
          <w:p w14:paraId="2A7D946C">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（8）包装：产品发货前用包装物包装处理。</w:t>
            </w:r>
          </w:p>
          <w:p w14:paraId="5A73A9B9">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（二）超精密光学元器件2（微纳产品）</w:t>
            </w:r>
          </w:p>
          <w:p w14:paraId="1E3400B0">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超精密光学元器件2微纳产品生产工艺流程及产污环节见下图。</w:t>
            </w:r>
          </w:p>
          <w:p w14:paraId="6E34F09B">
            <w:pPr>
              <w:spacing w:line="360" w:lineRule="auto"/>
              <w:jc w:val="center"/>
              <w:rPr>
                <w:rFonts w:hint="default"/>
                <w:bCs/>
                <w:color w:val="000000" w:themeColor="text1"/>
                <w:sz w:val="24"/>
                <w:szCs w:val="24"/>
                <w:highlight w:val="none"/>
                <w:lang w:val="en-US" w:eastAsia="zh-CN"/>
                <w14:textFill>
                  <w14:solidFill>
                    <w14:schemeClr w14:val="tx1"/>
                  </w14:solidFill>
                </w14:textFill>
              </w:rPr>
            </w:pPr>
          </w:p>
          <w:p w14:paraId="6D6794C2">
            <w:pPr>
              <w:spacing w:line="360" w:lineRule="auto"/>
              <w:jc w:val="center"/>
              <w:rPr>
                <w:rFonts w:hint="default" w:eastAsia="宋体"/>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 xml:space="preserve">图 </w:t>
            </w:r>
            <w:r>
              <w:rPr>
                <w:b/>
                <w:bCs/>
                <w:color w:val="000000" w:themeColor="text1"/>
                <w:sz w:val="24"/>
                <w:szCs w:val="24"/>
                <w:highlight w:val="none"/>
                <w14:textFill>
                  <w14:solidFill>
                    <w14:schemeClr w14:val="tx1"/>
                  </w14:solidFill>
                </w14:textFill>
              </w:rPr>
              <w:t>2</w:t>
            </w:r>
            <w:r>
              <w:rPr>
                <w:rFonts w:hint="eastAsia"/>
                <w:b/>
                <w:bCs/>
                <w:color w:val="000000" w:themeColor="text1"/>
                <w:sz w:val="24"/>
                <w:szCs w:val="24"/>
                <w:highlight w:val="none"/>
                <w:lang w:val="en-US" w:eastAsia="zh-CN"/>
                <w14:textFill>
                  <w14:solidFill>
                    <w14:schemeClr w14:val="tx1"/>
                  </w14:solidFill>
                </w14:textFill>
              </w:rPr>
              <w:t>.9-2</w:t>
            </w:r>
            <w:r>
              <w:rPr>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超精密光学元器件2生产</w:t>
            </w:r>
            <w:r>
              <w:rPr>
                <w:rFonts w:hint="eastAsia"/>
                <w:b/>
                <w:bCs/>
                <w:color w:val="000000" w:themeColor="text1"/>
                <w:sz w:val="24"/>
                <w:szCs w:val="24"/>
                <w:highlight w:val="none"/>
                <w14:textFill>
                  <w14:solidFill>
                    <w14:schemeClr w14:val="tx1"/>
                  </w14:solidFill>
                </w14:textFill>
              </w:rPr>
              <w:t>工艺流程</w:t>
            </w:r>
            <w:r>
              <w:rPr>
                <w:rFonts w:hint="eastAsia"/>
                <w:b/>
                <w:bCs/>
                <w:color w:val="000000" w:themeColor="text1"/>
                <w:sz w:val="24"/>
                <w:szCs w:val="24"/>
                <w:highlight w:val="none"/>
                <w:lang w:val="en-US" w:eastAsia="zh-CN"/>
                <w14:textFill>
                  <w14:solidFill>
                    <w14:schemeClr w14:val="tx1"/>
                  </w14:solidFill>
                </w14:textFill>
              </w:rPr>
              <w:t>及产污环节</w:t>
            </w:r>
          </w:p>
          <w:p w14:paraId="061DA7A7">
            <w:pPr>
              <w:spacing w:line="360" w:lineRule="auto"/>
              <w:ind w:firstLine="480" w:firstLineChars="200"/>
              <w:rPr>
                <w:rFonts w:hint="default"/>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超精密光学元器件2生产工艺流程主要有：基片擦拭/清洗→基片涂胶→烘烤→曝光显影→湿法刻蚀→去残胶→清洁→包装→仓库。具体如下：</w:t>
            </w:r>
          </w:p>
          <w:p w14:paraId="6F300D84">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（1）基片擦拭/清洗环节：</w:t>
            </w:r>
            <w:bookmarkStart w:id="9" w:name="OLE_LINK1"/>
            <w:r>
              <w:rPr>
                <w:rFonts w:hint="eastAsia"/>
                <w:bCs/>
                <w:color w:val="000000" w:themeColor="text1"/>
                <w:sz w:val="24"/>
                <w:szCs w:val="24"/>
                <w:highlight w:val="none"/>
                <w:lang w:val="en-US" w:eastAsia="zh-CN"/>
                <w14:textFill>
                  <w14:solidFill>
                    <w14:schemeClr w14:val="tx1"/>
                  </w14:solidFill>
                </w14:textFill>
              </w:rPr>
              <w:t>使用擦拭纸沾擦拭液（乙醇、乙醚、丙酮）擦拭基片，产生沾有酒精、乙醚、丙酮的擦拭纸废弃物，但乙醇、乙醚、丙酮一般会挥发。</w:t>
            </w:r>
            <w:bookmarkEnd w:id="9"/>
          </w:p>
          <w:p w14:paraId="6A158E00">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（2）涂胶环节：使用光刻胶，六甲基二硅杂氮烷、1,2-2-丙二醇甲醚醋酸酯混合液，涂覆到基片上，产生用剩的瓶子粘有的混合液。</w:t>
            </w:r>
          </w:p>
          <w:p w14:paraId="5484B055">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（3）烘烤：使用烤盘或烘箱将上道涂覆有光刻胶等混合液的基片烘烤至干，形成光刻胶干膜。</w:t>
            </w:r>
          </w:p>
          <w:p w14:paraId="06BBBDD1">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（4）曝光显影：使用光刻系统对涂有光刻胶干膜的基片进行光化学反应，使用2.38% 四甲基氢氧化铵溶解液对基片上已发生光化学反应的光刻胶进行溶解，产生2.38% 四甲基氢氧化铵溶解液废液和废水。</w:t>
            </w:r>
          </w:p>
          <w:p w14:paraId="2CB60D96">
            <w:pPr>
              <w:spacing w:line="360" w:lineRule="auto"/>
              <w:ind w:firstLine="480" w:firstLineChars="200"/>
              <w:rPr>
                <w:rFonts w:hint="default"/>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（5）金属刻蚀：使用磷酸、硝酸铈铵、硝酸、冰乙酸配置液刻蚀基片金属膜层，产生磷酸废液、硝酸铈铵废液、废水。该步出来的基片用纯水反复清洗，直到基片表面检测不出硝酸铈铵。</w:t>
            </w:r>
          </w:p>
          <w:p w14:paraId="61EF635E">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（6）玻璃刻蚀：使用氢氟酸、盐酸、氟化铵配置液刻蚀基片玻璃，产生氢氟酸废液、废水。</w:t>
            </w:r>
          </w:p>
          <w:p w14:paraId="6C6BCDEA">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（7）去残胶：通过酒精、乙醚、丙酮擦拭或者N-甲基吡咯烷酮浸泡等工艺，将腐蚀后的产品表面的光刻胶去除。</w:t>
            </w:r>
          </w:p>
          <w:p w14:paraId="23E0D9C0">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（8）清洁检测：使用擦拭纸沾擦拭液（乙醇、乙醚、丙酮）擦拭基片，产生沾有酒精、乙醚、丙酮的擦拭纸废弃物，但乙醇、乙醚、丙酮一般会挥发。</w:t>
            </w:r>
          </w:p>
          <w:p w14:paraId="1062F77B">
            <w:pPr>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（9）包装：产品发货前用包装物包装处理。</w:t>
            </w:r>
          </w:p>
          <w:p w14:paraId="299C737B">
            <w:pPr>
              <w:spacing w:line="360" w:lineRule="auto"/>
              <w:ind w:firstLine="480" w:firstLineChars="200"/>
              <w:rPr>
                <w:rFonts w:hint="default"/>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综上，本项目运营期产污环节见下表。</w:t>
            </w:r>
          </w:p>
          <w:p w14:paraId="560772E9">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eastAsia="宋体"/>
                <w:b/>
                <w:color w:val="000000" w:themeColor="text1"/>
                <w:sz w:val="24"/>
                <w:szCs w:val="24"/>
                <w:highlight w:val="none"/>
                <w:lang w:val="en-US" w:eastAsia="zh-CN"/>
                <w14:textFill>
                  <w14:solidFill>
                    <w14:schemeClr w14:val="tx1"/>
                  </w14:solidFill>
                </w14:textFill>
              </w:rPr>
            </w:pPr>
            <w:r>
              <w:rPr>
                <w:rFonts w:hint="eastAsia"/>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2.9-1</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val="en-US" w:eastAsia="zh-CN"/>
                <w14:textFill>
                  <w14:solidFill>
                    <w14:schemeClr w14:val="tx1"/>
                  </w14:solidFill>
                </w14:textFill>
              </w:rPr>
              <w:t>项目运营期产污环节</w:t>
            </w:r>
            <w:r>
              <w:rPr>
                <w:rFonts w:hint="eastAsia"/>
                <w:b/>
                <w:color w:val="000000" w:themeColor="text1"/>
                <w:sz w:val="24"/>
                <w:szCs w:val="24"/>
                <w:highlight w:val="none"/>
                <w14:textFill>
                  <w14:solidFill>
                    <w14:schemeClr w14:val="tx1"/>
                  </w14:solidFill>
                </w14:textFill>
              </w:rPr>
              <w:t>一览</w:t>
            </w:r>
            <w:r>
              <w:rPr>
                <w:rFonts w:hint="eastAsia"/>
                <w:b/>
                <w:color w:val="000000" w:themeColor="text1"/>
                <w:sz w:val="24"/>
                <w:szCs w:val="24"/>
                <w:highlight w:val="none"/>
                <w:lang w:val="en-US" w:eastAsia="zh-CN"/>
                <w14:textFill>
                  <w14:solidFill>
                    <w14:schemeClr w14:val="tx1"/>
                  </w14:solidFill>
                </w14:textFill>
              </w:rPr>
              <w:t>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3"/>
              <w:gridCol w:w="1215"/>
              <w:gridCol w:w="1005"/>
              <w:gridCol w:w="1485"/>
              <w:gridCol w:w="1380"/>
              <w:gridCol w:w="2456"/>
            </w:tblGrid>
            <w:tr w14:paraId="782B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shd w:val="clear" w:color="auto" w:fill="auto"/>
                  <w:vAlign w:val="center"/>
                </w:tcPr>
                <w:p w14:paraId="72B13558">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污染类型</w:t>
                  </w:r>
                </w:p>
              </w:tc>
              <w:tc>
                <w:tcPr>
                  <w:tcW w:w="2220" w:type="dxa"/>
                  <w:gridSpan w:val="2"/>
                  <w:shd w:val="clear" w:color="auto" w:fill="auto"/>
                  <w:vAlign w:val="center"/>
                </w:tcPr>
                <w:p w14:paraId="7D74095C">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污染源名称</w:t>
                  </w:r>
                </w:p>
              </w:tc>
              <w:tc>
                <w:tcPr>
                  <w:tcW w:w="1485" w:type="dxa"/>
                  <w:shd w:val="clear" w:color="auto" w:fill="auto"/>
                  <w:vAlign w:val="center"/>
                </w:tcPr>
                <w:p w14:paraId="5215D9B9">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产污环节</w:t>
                  </w:r>
                </w:p>
              </w:tc>
              <w:tc>
                <w:tcPr>
                  <w:tcW w:w="1380" w:type="dxa"/>
                  <w:shd w:val="clear" w:color="auto" w:fill="auto"/>
                  <w:vAlign w:val="center"/>
                </w:tcPr>
                <w:p w14:paraId="331FE91E">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主要污染物</w:t>
                  </w:r>
                </w:p>
              </w:tc>
              <w:tc>
                <w:tcPr>
                  <w:tcW w:w="2456" w:type="dxa"/>
                  <w:shd w:val="clear" w:color="auto" w:fill="auto"/>
                  <w:vAlign w:val="center"/>
                </w:tcPr>
                <w:p w14:paraId="49E223F0">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环保措施</w:t>
                  </w:r>
                </w:p>
              </w:tc>
            </w:tr>
            <w:tr w14:paraId="50AF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restart"/>
                  <w:shd w:val="clear" w:color="auto" w:fill="auto"/>
                  <w:vAlign w:val="center"/>
                </w:tcPr>
                <w:p w14:paraId="5660BC04">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废气</w:t>
                  </w:r>
                </w:p>
              </w:tc>
              <w:tc>
                <w:tcPr>
                  <w:tcW w:w="1215" w:type="dxa"/>
                  <w:vMerge w:val="restart"/>
                  <w:shd w:val="clear" w:color="auto" w:fill="auto"/>
                  <w:vAlign w:val="center"/>
                </w:tcPr>
                <w:p w14:paraId="0653673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粉尘废气</w:t>
                  </w:r>
                </w:p>
              </w:tc>
              <w:tc>
                <w:tcPr>
                  <w:tcW w:w="1005" w:type="dxa"/>
                  <w:shd w:val="clear" w:color="auto" w:fill="auto"/>
                  <w:vAlign w:val="center"/>
                </w:tcPr>
                <w:p w14:paraId="4DB127E4">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G2</w:t>
                  </w:r>
                </w:p>
              </w:tc>
              <w:tc>
                <w:tcPr>
                  <w:tcW w:w="1485" w:type="dxa"/>
                  <w:shd w:val="clear" w:color="auto" w:fill="auto"/>
                  <w:vAlign w:val="center"/>
                </w:tcPr>
                <w:p w14:paraId="783B44F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细磨</w:t>
                  </w:r>
                </w:p>
              </w:tc>
              <w:tc>
                <w:tcPr>
                  <w:tcW w:w="1380" w:type="dxa"/>
                  <w:vMerge w:val="restart"/>
                  <w:shd w:val="clear" w:color="auto" w:fill="auto"/>
                  <w:vAlign w:val="center"/>
                </w:tcPr>
                <w:p w14:paraId="70B308B3">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颗粒物</w:t>
                  </w:r>
                </w:p>
              </w:tc>
              <w:tc>
                <w:tcPr>
                  <w:tcW w:w="2456" w:type="dxa"/>
                  <w:vMerge w:val="restart"/>
                  <w:shd w:val="clear" w:color="auto" w:fill="auto"/>
                  <w:vAlign w:val="center"/>
                </w:tcPr>
                <w:p w14:paraId="3ABF4CEC">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集气罩+布袋除尘器+30m高排气筒排放</w:t>
                  </w:r>
                </w:p>
              </w:tc>
            </w:tr>
            <w:tr w14:paraId="088C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2E7B32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7B0A1A5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7C4498E3">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G3</w:t>
                  </w:r>
                </w:p>
              </w:tc>
              <w:tc>
                <w:tcPr>
                  <w:tcW w:w="1485" w:type="dxa"/>
                  <w:shd w:val="clear" w:color="auto" w:fill="auto"/>
                  <w:vAlign w:val="center"/>
                </w:tcPr>
                <w:p w14:paraId="37455A0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抛光</w:t>
                  </w:r>
                </w:p>
              </w:tc>
              <w:tc>
                <w:tcPr>
                  <w:tcW w:w="1380" w:type="dxa"/>
                  <w:vMerge w:val="continue"/>
                  <w:shd w:val="clear" w:color="auto" w:fill="auto"/>
                  <w:vAlign w:val="center"/>
                </w:tcPr>
                <w:p w14:paraId="077A4E8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569664A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486C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6A7831D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0B2343C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7F15088D">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G5</w:t>
                  </w:r>
                </w:p>
              </w:tc>
              <w:tc>
                <w:tcPr>
                  <w:tcW w:w="1485" w:type="dxa"/>
                  <w:shd w:val="clear" w:color="auto" w:fill="auto"/>
                  <w:vAlign w:val="center"/>
                </w:tcPr>
                <w:p w14:paraId="064E520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切割</w:t>
                  </w:r>
                </w:p>
              </w:tc>
              <w:tc>
                <w:tcPr>
                  <w:tcW w:w="1380" w:type="dxa"/>
                  <w:vMerge w:val="continue"/>
                  <w:shd w:val="clear" w:color="auto" w:fill="auto"/>
                  <w:vAlign w:val="center"/>
                </w:tcPr>
                <w:p w14:paraId="10E9FA5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60E434F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3755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250DEDC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restart"/>
                  <w:shd w:val="clear" w:color="auto" w:fill="auto"/>
                  <w:vAlign w:val="center"/>
                </w:tcPr>
                <w:p w14:paraId="392B7DF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有机废气</w:t>
                  </w:r>
                </w:p>
              </w:tc>
              <w:tc>
                <w:tcPr>
                  <w:tcW w:w="1005" w:type="dxa"/>
                  <w:shd w:val="clear" w:color="auto" w:fill="auto"/>
                  <w:vAlign w:val="center"/>
                </w:tcPr>
                <w:p w14:paraId="542337DE">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G1</w:t>
                  </w:r>
                </w:p>
              </w:tc>
              <w:tc>
                <w:tcPr>
                  <w:tcW w:w="1485" w:type="dxa"/>
                  <w:shd w:val="clear" w:color="auto" w:fill="auto"/>
                  <w:vAlign w:val="center"/>
                </w:tcPr>
                <w:p w14:paraId="4CB32180">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成形</w:t>
                  </w:r>
                </w:p>
              </w:tc>
              <w:tc>
                <w:tcPr>
                  <w:tcW w:w="1380" w:type="dxa"/>
                  <w:vMerge w:val="restart"/>
                  <w:shd w:val="clear" w:color="auto" w:fill="auto"/>
                  <w:vAlign w:val="center"/>
                </w:tcPr>
                <w:p w14:paraId="40E17CD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非甲烷总烃</w:t>
                  </w:r>
                </w:p>
              </w:tc>
              <w:tc>
                <w:tcPr>
                  <w:tcW w:w="2456" w:type="dxa"/>
                  <w:vMerge w:val="restart"/>
                  <w:shd w:val="clear" w:color="auto" w:fill="auto"/>
                  <w:vAlign w:val="center"/>
                </w:tcPr>
                <w:p w14:paraId="0FB4362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集气罩+2级活性炭吸附装置+30m高排气筒排放</w:t>
                  </w:r>
                </w:p>
              </w:tc>
            </w:tr>
            <w:tr w14:paraId="29CC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5E64C6BB">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5D782AD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6052E5BF">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G4</w:t>
                  </w:r>
                </w:p>
              </w:tc>
              <w:tc>
                <w:tcPr>
                  <w:tcW w:w="1485" w:type="dxa"/>
                  <w:shd w:val="clear" w:color="auto" w:fill="auto"/>
                  <w:vAlign w:val="center"/>
                </w:tcPr>
                <w:p w14:paraId="7EC6205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清洗检验</w:t>
                  </w:r>
                </w:p>
              </w:tc>
              <w:tc>
                <w:tcPr>
                  <w:tcW w:w="1380" w:type="dxa"/>
                  <w:vMerge w:val="continue"/>
                  <w:shd w:val="clear" w:color="auto" w:fill="auto"/>
                  <w:vAlign w:val="center"/>
                </w:tcPr>
                <w:p w14:paraId="0A480E8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1B44FC03">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135D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3E8F211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4DEB81B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10A511F2">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G7</w:t>
                  </w:r>
                </w:p>
              </w:tc>
              <w:tc>
                <w:tcPr>
                  <w:tcW w:w="1485" w:type="dxa"/>
                  <w:shd w:val="clear" w:color="auto" w:fill="auto"/>
                  <w:vAlign w:val="center"/>
                </w:tcPr>
                <w:p w14:paraId="5EB414C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装配</w:t>
                  </w:r>
                </w:p>
              </w:tc>
              <w:tc>
                <w:tcPr>
                  <w:tcW w:w="1380" w:type="dxa"/>
                  <w:vMerge w:val="continue"/>
                  <w:shd w:val="clear" w:color="auto" w:fill="auto"/>
                  <w:vAlign w:val="center"/>
                </w:tcPr>
                <w:p w14:paraId="30086EE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60A83E4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4D40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3F75E89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35BD275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79A80E31">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G8</w:t>
                  </w:r>
                </w:p>
              </w:tc>
              <w:tc>
                <w:tcPr>
                  <w:tcW w:w="1485" w:type="dxa"/>
                  <w:shd w:val="clear" w:color="auto" w:fill="auto"/>
                  <w:vAlign w:val="center"/>
                </w:tcPr>
                <w:p w14:paraId="17E169ED">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最终检测</w:t>
                  </w:r>
                </w:p>
              </w:tc>
              <w:tc>
                <w:tcPr>
                  <w:tcW w:w="1380" w:type="dxa"/>
                  <w:vMerge w:val="continue"/>
                  <w:shd w:val="clear" w:color="auto" w:fill="auto"/>
                  <w:vAlign w:val="center"/>
                </w:tcPr>
                <w:p w14:paraId="6DB683B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7BA419E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7682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F3013B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28CBF83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0998E890">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G9</w:t>
                  </w:r>
                </w:p>
              </w:tc>
              <w:tc>
                <w:tcPr>
                  <w:tcW w:w="1485" w:type="dxa"/>
                  <w:shd w:val="clear" w:color="auto" w:fill="auto"/>
                  <w:vAlign w:val="center"/>
                </w:tcPr>
                <w:p w14:paraId="5A00CFD5">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基片擦拭/清洗</w:t>
                  </w:r>
                </w:p>
              </w:tc>
              <w:tc>
                <w:tcPr>
                  <w:tcW w:w="1380" w:type="dxa"/>
                  <w:vMerge w:val="continue"/>
                  <w:shd w:val="clear" w:color="auto" w:fill="auto"/>
                  <w:vAlign w:val="center"/>
                </w:tcPr>
                <w:p w14:paraId="7E65E113">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677253D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47AA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2514AE3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27E04C6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669B4BCC">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G10</w:t>
                  </w:r>
                </w:p>
              </w:tc>
              <w:tc>
                <w:tcPr>
                  <w:tcW w:w="1485" w:type="dxa"/>
                  <w:shd w:val="clear" w:color="auto" w:fill="auto"/>
                  <w:vAlign w:val="center"/>
                </w:tcPr>
                <w:p w14:paraId="213A024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涂胶</w:t>
                  </w:r>
                </w:p>
              </w:tc>
              <w:tc>
                <w:tcPr>
                  <w:tcW w:w="1380" w:type="dxa"/>
                  <w:vMerge w:val="continue"/>
                  <w:shd w:val="clear" w:color="auto" w:fill="auto"/>
                  <w:vAlign w:val="center"/>
                </w:tcPr>
                <w:p w14:paraId="5AC03EB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47F1DA0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1F7D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1FF58BA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7C45AB7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1ED220C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G11</w:t>
                  </w:r>
                </w:p>
              </w:tc>
              <w:tc>
                <w:tcPr>
                  <w:tcW w:w="1485" w:type="dxa"/>
                  <w:shd w:val="clear" w:color="auto" w:fill="auto"/>
                  <w:vAlign w:val="center"/>
                </w:tcPr>
                <w:p w14:paraId="52A73D7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烘烤</w:t>
                  </w:r>
                </w:p>
              </w:tc>
              <w:tc>
                <w:tcPr>
                  <w:tcW w:w="1380" w:type="dxa"/>
                  <w:vMerge w:val="continue"/>
                  <w:shd w:val="clear" w:color="auto" w:fill="auto"/>
                  <w:vAlign w:val="center"/>
                </w:tcPr>
                <w:p w14:paraId="4A4E70F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7E84B14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6AAB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3" w:type="dxa"/>
                  <w:vMerge w:val="continue"/>
                  <w:shd w:val="clear" w:color="auto" w:fill="auto"/>
                  <w:vAlign w:val="center"/>
                </w:tcPr>
                <w:p w14:paraId="1EDD4E8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61D356F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30FF0909">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G15</w:t>
                  </w:r>
                </w:p>
              </w:tc>
              <w:tc>
                <w:tcPr>
                  <w:tcW w:w="1485" w:type="dxa"/>
                  <w:shd w:val="clear" w:color="auto" w:fill="auto"/>
                  <w:vAlign w:val="center"/>
                </w:tcPr>
                <w:p w14:paraId="701C767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去残胶</w:t>
                  </w:r>
                </w:p>
              </w:tc>
              <w:tc>
                <w:tcPr>
                  <w:tcW w:w="1380" w:type="dxa"/>
                  <w:vMerge w:val="continue"/>
                  <w:shd w:val="clear" w:color="auto" w:fill="auto"/>
                  <w:vAlign w:val="center"/>
                </w:tcPr>
                <w:p w14:paraId="0ACEE1E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57E3188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517E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D67A5E8">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66DAC868">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1D369BC8">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G16</w:t>
                  </w:r>
                </w:p>
              </w:tc>
              <w:tc>
                <w:tcPr>
                  <w:tcW w:w="1485" w:type="dxa"/>
                  <w:shd w:val="clear" w:color="auto" w:fill="auto"/>
                  <w:vAlign w:val="center"/>
                </w:tcPr>
                <w:p w14:paraId="33BD1DF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清洁检测</w:t>
                  </w:r>
                </w:p>
              </w:tc>
              <w:tc>
                <w:tcPr>
                  <w:tcW w:w="1380" w:type="dxa"/>
                  <w:vMerge w:val="continue"/>
                  <w:shd w:val="clear" w:color="auto" w:fill="auto"/>
                  <w:vAlign w:val="center"/>
                </w:tcPr>
                <w:p w14:paraId="42A147E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456" w:type="dxa"/>
                  <w:vMerge w:val="continue"/>
                  <w:shd w:val="clear" w:color="auto" w:fill="auto"/>
                  <w:vAlign w:val="center"/>
                </w:tcPr>
                <w:p w14:paraId="0719A74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4F50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760A23AB">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restart"/>
                  <w:shd w:val="clear" w:color="auto" w:fill="auto"/>
                  <w:vAlign w:val="center"/>
                </w:tcPr>
                <w:p w14:paraId="4A4F1CFF">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酸性废气</w:t>
                  </w:r>
                </w:p>
              </w:tc>
              <w:tc>
                <w:tcPr>
                  <w:tcW w:w="1005" w:type="dxa"/>
                  <w:shd w:val="clear" w:color="auto" w:fill="auto"/>
                  <w:vAlign w:val="center"/>
                </w:tcPr>
                <w:p w14:paraId="6E4FA57F">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G6</w:t>
                  </w:r>
                </w:p>
              </w:tc>
              <w:tc>
                <w:tcPr>
                  <w:tcW w:w="1485" w:type="dxa"/>
                  <w:shd w:val="clear" w:color="auto" w:fill="auto"/>
                  <w:vAlign w:val="center"/>
                </w:tcPr>
                <w:p w14:paraId="0765B917">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清洗检验</w:t>
                  </w:r>
                </w:p>
              </w:tc>
              <w:tc>
                <w:tcPr>
                  <w:tcW w:w="1380" w:type="dxa"/>
                  <w:shd w:val="clear" w:color="auto" w:fill="auto"/>
                  <w:vAlign w:val="center"/>
                </w:tcPr>
                <w:p w14:paraId="19F31C4C">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硫酸雾</w:t>
                  </w:r>
                </w:p>
              </w:tc>
              <w:tc>
                <w:tcPr>
                  <w:tcW w:w="2456" w:type="dxa"/>
                  <w:vMerge w:val="restart"/>
                  <w:shd w:val="clear" w:color="auto" w:fill="auto"/>
                  <w:vAlign w:val="center"/>
                </w:tcPr>
                <w:p w14:paraId="6E6DCAD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集气罩+碱液喷淋塔+30m高排气筒排放</w:t>
                  </w:r>
                </w:p>
              </w:tc>
            </w:tr>
            <w:tr w14:paraId="79E1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8BF31C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5FCAE71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37AA4473">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G13</w:t>
                  </w:r>
                </w:p>
              </w:tc>
              <w:tc>
                <w:tcPr>
                  <w:tcW w:w="1485" w:type="dxa"/>
                  <w:shd w:val="clear" w:color="auto" w:fill="auto"/>
                  <w:vAlign w:val="center"/>
                </w:tcPr>
                <w:p w14:paraId="57320E3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金属刻蚀</w:t>
                  </w:r>
                </w:p>
              </w:tc>
              <w:tc>
                <w:tcPr>
                  <w:tcW w:w="1380" w:type="dxa"/>
                  <w:shd w:val="clear" w:color="auto" w:fill="auto"/>
                  <w:vAlign w:val="center"/>
                </w:tcPr>
                <w:p w14:paraId="7CCF8D8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硝酸雾（以NOx计）</w:t>
                  </w:r>
                </w:p>
              </w:tc>
              <w:tc>
                <w:tcPr>
                  <w:tcW w:w="2456" w:type="dxa"/>
                  <w:vMerge w:val="continue"/>
                  <w:shd w:val="clear" w:color="auto" w:fill="auto"/>
                  <w:vAlign w:val="center"/>
                </w:tcPr>
                <w:p w14:paraId="3773E79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2E3A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00CD55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vMerge w:val="continue"/>
                  <w:shd w:val="clear" w:color="auto" w:fill="auto"/>
                  <w:vAlign w:val="center"/>
                </w:tcPr>
                <w:p w14:paraId="2091B663">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005" w:type="dxa"/>
                  <w:shd w:val="clear" w:color="auto" w:fill="auto"/>
                  <w:vAlign w:val="center"/>
                </w:tcPr>
                <w:p w14:paraId="0B5A78EC">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G14</w:t>
                  </w:r>
                </w:p>
              </w:tc>
              <w:tc>
                <w:tcPr>
                  <w:tcW w:w="1485" w:type="dxa"/>
                  <w:shd w:val="clear" w:color="auto" w:fill="auto"/>
                  <w:vAlign w:val="center"/>
                </w:tcPr>
                <w:p w14:paraId="302D13E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玻璃刻蚀</w:t>
                  </w:r>
                </w:p>
              </w:tc>
              <w:tc>
                <w:tcPr>
                  <w:tcW w:w="1380" w:type="dxa"/>
                  <w:shd w:val="clear" w:color="auto" w:fill="auto"/>
                  <w:vAlign w:val="center"/>
                </w:tcPr>
                <w:p w14:paraId="1D54562B">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HF、HCl、</w:t>
                  </w:r>
                </w:p>
              </w:tc>
              <w:tc>
                <w:tcPr>
                  <w:tcW w:w="2456" w:type="dxa"/>
                  <w:vMerge w:val="continue"/>
                  <w:shd w:val="clear" w:color="auto" w:fill="auto"/>
                  <w:vAlign w:val="center"/>
                </w:tcPr>
                <w:p w14:paraId="09C863EB">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5FC0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6030860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22B79FAF">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碱性废气</w:t>
                  </w:r>
                </w:p>
              </w:tc>
              <w:tc>
                <w:tcPr>
                  <w:tcW w:w="1005" w:type="dxa"/>
                  <w:shd w:val="clear" w:color="auto" w:fill="auto"/>
                  <w:vAlign w:val="center"/>
                </w:tcPr>
                <w:p w14:paraId="50F3ECE4">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G12</w:t>
                  </w:r>
                </w:p>
              </w:tc>
              <w:tc>
                <w:tcPr>
                  <w:tcW w:w="1485" w:type="dxa"/>
                  <w:shd w:val="clear" w:color="auto" w:fill="auto"/>
                  <w:vAlign w:val="center"/>
                </w:tcPr>
                <w:p w14:paraId="5DE3542F">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显影</w:t>
                  </w:r>
                </w:p>
              </w:tc>
              <w:tc>
                <w:tcPr>
                  <w:tcW w:w="1380" w:type="dxa"/>
                  <w:shd w:val="clear" w:color="auto" w:fill="auto"/>
                  <w:vAlign w:val="center"/>
                </w:tcPr>
                <w:p w14:paraId="5B0ADB5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TMAH</w:t>
                  </w:r>
                </w:p>
              </w:tc>
              <w:tc>
                <w:tcPr>
                  <w:tcW w:w="2456" w:type="dxa"/>
                  <w:shd w:val="clear" w:color="auto" w:fill="auto"/>
                  <w:vAlign w:val="center"/>
                </w:tcPr>
                <w:p w14:paraId="3F405267">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集气罩+</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稀硫酸喷淋塔</w:t>
                  </w:r>
                  <w:r>
                    <w:rPr>
                      <w:rFonts w:hint="eastAsia"/>
                      <w:color w:val="000000" w:themeColor="text1"/>
                      <w:sz w:val="21"/>
                      <w:szCs w:val="18"/>
                      <w:highlight w:val="none"/>
                      <w:lang w:val="en-US" w:eastAsia="zh-CN"/>
                      <w14:textFill>
                        <w14:solidFill>
                          <w14:schemeClr w14:val="tx1"/>
                        </w14:solidFill>
                      </w14:textFill>
                    </w:rPr>
                    <w:t>+30m高排气筒排放</w:t>
                  </w:r>
                </w:p>
              </w:tc>
            </w:tr>
            <w:tr w14:paraId="556C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52CCB8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220" w:type="dxa"/>
                  <w:gridSpan w:val="2"/>
                  <w:shd w:val="clear" w:color="auto" w:fill="auto"/>
                  <w:vAlign w:val="center"/>
                </w:tcPr>
                <w:p w14:paraId="3E4FC7FB">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污水站恶臭</w:t>
                  </w:r>
                </w:p>
              </w:tc>
              <w:tc>
                <w:tcPr>
                  <w:tcW w:w="1485" w:type="dxa"/>
                  <w:shd w:val="clear" w:color="auto" w:fill="auto"/>
                  <w:vAlign w:val="center"/>
                </w:tcPr>
                <w:p w14:paraId="6BAE0963">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污水处理站</w:t>
                  </w:r>
                </w:p>
              </w:tc>
              <w:tc>
                <w:tcPr>
                  <w:tcW w:w="1380" w:type="dxa"/>
                  <w:shd w:val="clear" w:color="auto" w:fill="auto"/>
                  <w:vAlign w:val="center"/>
                </w:tcPr>
                <w:p w14:paraId="4055489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氨、硫化氢、臭气浓度</w:t>
                  </w:r>
                </w:p>
              </w:tc>
              <w:tc>
                <w:tcPr>
                  <w:tcW w:w="2456" w:type="dxa"/>
                  <w:shd w:val="clear" w:color="auto" w:fill="auto"/>
                  <w:vAlign w:val="center"/>
                </w:tcPr>
                <w:p w14:paraId="102A038B">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对恶臭产生的主要构筑物进行加盖</w:t>
                  </w:r>
                </w:p>
              </w:tc>
            </w:tr>
            <w:tr w14:paraId="2D89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restart"/>
                  <w:shd w:val="clear" w:color="auto" w:fill="auto"/>
                  <w:vAlign w:val="center"/>
                </w:tcPr>
                <w:p w14:paraId="318804F9">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废水</w:t>
                  </w:r>
                </w:p>
              </w:tc>
              <w:tc>
                <w:tcPr>
                  <w:tcW w:w="2220" w:type="dxa"/>
                  <w:gridSpan w:val="2"/>
                  <w:shd w:val="clear" w:color="auto" w:fill="auto"/>
                  <w:vAlign w:val="center"/>
                </w:tcPr>
                <w:p w14:paraId="2982854B">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生活污水</w:t>
                  </w:r>
                </w:p>
              </w:tc>
              <w:tc>
                <w:tcPr>
                  <w:tcW w:w="1485" w:type="dxa"/>
                  <w:shd w:val="clear" w:color="auto" w:fill="auto"/>
                  <w:vAlign w:val="center"/>
                </w:tcPr>
                <w:p w14:paraId="6C285722">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日常生活</w:t>
                  </w:r>
                </w:p>
              </w:tc>
              <w:tc>
                <w:tcPr>
                  <w:tcW w:w="1380" w:type="dxa"/>
                  <w:shd w:val="clear" w:color="auto" w:fill="auto"/>
                  <w:vAlign w:val="center"/>
                </w:tcPr>
                <w:p w14:paraId="7DBB1BDB">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pH、COD、BOD</w:t>
                  </w:r>
                  <w:r>
                    <w:rPr>
                      <w:rFonts w:hint="eastAsia"/>
                      <w:color w:val="000000" w:themeColor="text1"/>
                      <w:sz w:val="21"/>
                      <w:szCs w:val="18"/>
                      <w:highlight w:val="none"/>
                      <w:vertAlign w:val="subscript"/>
                      <w:lang w:val="en-US" w:eastAsia="zh-CN"/>
                      <w14:textFill>
                        <w14:solidFill>
                          <w14:schemeClr w14:val="tx1"/>
                        </w14:solidFill>
                      </w14:textFill>
                    </w:rPr>
                    <w:t>5</w:t>
                  </w:r>
                  <w:r>
                    <w:rPr>
                      <w:rFonts w:hint="eastAsia"/>
                      <w:color w:val="000000" w:themeColor="text1"/>
                      <w:sz w:val="21"/>
                      <w:szCs w:val="18"/>
                      <w:highlight w:val="none"/>
                      <w:lang w:val="en-US" w:eastAsia="zh-CN"/>
                      <w14:textFill>
                        <w14:solidFill>
                          <w14:schemeClr w14:val="tx1"/>
                        </w14:solidFill>
                      </w14:textFill>
                    </w:rPr>
                    <w:t>、SS、氨氮</w:t>
                  </w:r>
                </w:p>
              </w:tc>
              <w:tc>
                <w:tcPr>
                  <w:tcW w:w="2456" w:type="dxa"/>
                  <w:shd w:val="clear" w:color="auto" w:fill="auto"/>
                  <w:vAlign w:val="center"/>
                </w:tcPr>
                <w:p w14:paraId="29F078B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经隔油+化粪池处理后排入市政污水管网，纳入福州大学城污水处理厂处理</w:t>
                  </w:r>
                </w:p>
              </w:tc>
            </w:tr>
            <w:tr w14:paraId="53B5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70DA203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220" w:type="dxa"/>
                  <w:gridSpan w:val="2"/>
                  <w:shd w:val="clear" w:color="auto" w:fill="auto"/>
                  <w:vAlign w:val="center"/>
                </w:tcPr>
                <w:p w14:paraId="1E1FB1B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生产废水</w:t>
                  </w:r>
                </w:p>
              </w:tc>
              <w:tc>
                <w:tcPr>
                  <w:tcW w:w="1485" w:type="dxa"/>
                  <w:shd w:val="clear" w:color="auto" w:fill="auto"/>
                  <w:vAlign w:val="center"/>
                </w:tcPr>
                <w:p w14:paraId="6A25695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成形、清洗、细磨、抛光等</w:t>
                  </w:r>
                </w:p>
              </w:tc>
              <w:tc>
                <w:tcPr>
                  <w:tcW w:w="1380" w:type="dxa"/>
                  <w:shd w:val="clear" w:color="auto" w:fill="auto"/>
                  <w:vAlign w:val="center"/>
                </w:tcPr>
                <w:p w14:paraId="0F37244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pH、COD、BOD</w:t>
                  </w:r>
                  <w:r>
                    <w:rPr>
                      <w:rFonts w:hint="eastAsia"/>
                      <w:color w:val="000000" w:themeColor="text1"/>
                      <w:sz w:val="21"/>
                      <w:szCs w:val="18"/>
                      <w:highlight w:val="none"/>
                      <w:vertAlign w:val="subscript"/>
                      <w:lang w:val="en-US" w:eastAsia="zh-CN"/>
                      <w14:textFill>
                        <w14:solidFill>
                          <w14:schemeClr w14:val="tx1"/>
                        </w14:solidFill>
                      </w14:textFill>
                    </w:rPr>
                    <w:t>5</w:t>
                  </w:r>
                  <w:r>
                    <w:rPr>
                      <w:rFonts w:hint="eastAsia"/>
                      <w:color w:val="000000" w:themeColor="text1"/>
                      <w:sz w:val="21"/>
                      <w:szCs w:val="18"/>
                      <w:highlight w:val="none"/>
                      <w:lang w:val="en-US" w:eastAsia="zh-CN"/>
                      <w14:textFill>
                        <w14:solidFill>
                          <w14:schemeClr w14:val="tx1"/>
                        </w14:solidFill>
                      </w14:textFill>
                    </w:rPr>
                    <w:t>、SS、氨氮、石油类</w:t>
                  </w:r>
                </w:p>
              </w:tc>
              <w:tc>
                <w:tcPr>
                  <w:tcW w:w="2456" w:type="dxa"/>
                  <w:shd w:val="clear" w:color="auto" w:fill="auto"/>
                  <w:vAlign w:val="center"/>
                </w:tcPr>
                <w:p w14:paraId="75A3D60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经本次新建的污水站处理后纳入福州大学城污水处理厂统一处理</w:t>
                  </w:r>
                </w:p>
              </w:tc>
            </w:tr>
            <w:tr w14:paraId="17BD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shd w:val="clear" w:color="auto" w:fill="auto"/>
                  <w:vAlign w:val="center"/>
                </w:tcPr>
                <w:p w14:paraId="2925616D">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噪声</w:t>
                  </w:r>
                </w:p>
              </w:tc>
              <w:tc>
                <w:tcPr>
                  <w:tcW w:w="2220" w:type="dxa"/>
                  <w:gridSpan w:val="2"/>
                  <w:shd w:val="clear" w:color="auto" w:fill="auto"/>
                  <w:vAlign w:val="center"/>
                </w:tcPr>
                <w:p w14:paraId="539891F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设备噪声</w:t>
                  </w:r>
                </w:p>
              </w:tc>
              <w:tc>
                <w:tcPr>
                  <w:tcW w:w="1485" w:type="dxa"/>
                  <w:shd w:val="clear" w:color="auto" w:fill="auto"/>
                  <w:vAlign w:val="center"/>
                </w:tcPr>
                <w:p w14:paraId="7D244798">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设备运转</w:t>
                  </w:r>
                </w:p>
              </w:tc>
              <w:tc>
                <w:tcPr>
                  <w:tcW w:w="1380" w:type="dxa"/>
                  <w:shd w:val="clear" w:color="auto" w:fill="auto"/>
                  <w:vAlign w:val="center"/>
                </w:tcPr>
                <w:p w14:paraId="6EE1CCF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LAeq</w:t>
                  </w:r>
                </w:p>
              </w:tc>
              <w:tc>
                <w:tcPr>
                  <w:tcW w:w="2456" w:type="dxa"/>
                  <w:shd w:val="clear" w:color="auto" w:fill="auto"/>
                  <w:vAlign w:val="center"/>
                </w:tcPr>
                <w:p w14:paraId="4CC4F48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采用隔声、减震、消声等降噪措施</w:t>
                  </w:r>
                </w:p>
              </w:tc>
            </w:tr>
            <w:tr w14:paraId="53EF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restart"/>
                  <w:shd w:val="clear" w:color="auto" w:fill="auto"/>
                  <w:vAlign w:val="center"/>
                </w:tcPr>
                <w:p w14:paraId="1A4CA325">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固废</w:t>
                  </w:r>
                </w:p>
              </w:tc>
              <w:tc>
                <w:tcPr>
                  <w:tcW w:w="1215" w:type="dxa"/>
                  <w:shd w:val="clear" w:color="auto" w:fill="auto"/>
                  <w:vAlign w:val="center"/>
                </w:tcPr>
                <w:p w14:paraId="3383C77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不合格品</w:t>
                  </w:r>
                </w:p>
              </w:tc>
              <w:tc>
                <w:tcPr>
                  <w:tcW w:w="1005" w:type="dxa"/>
                  <w:shd w:val="clear" w:color="auto" w:fill="auto"/>
                  <w:vAlign w:val="center"/>
                </w:tcPr>
                <w:p w14:paraId="28AC5615">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S7、S8、S9、S10</w:t>
                  </w:r>
                </w:p>
              </w:tc>
              <w:tc>
                <w:tcPr>
                  <w:tcW w:w="1485" w:type="dxa"/>
                  <w:shd w:val="clear" w:color="auto" w:fill="auto"/>
                  <w:vAlign w:val="center"/>
                </w:tcPr>
                <w:p w14:paraId="1BB94FD7">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检验、检测</w:t>
                  </w:r>
                </w:p>
              </w:tc>
              <w:tc>
                <w:tcPr>
                  <w:tcW w:w="1380" w:type="dxa"/>
                  <w:shd w:val="clear" w:color="auto" w:fill="auto"/>
                  <w:vAlign w:val="center"/>
                </w:tcPr>
                <w:p w14:paraId="5221DA7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不合格品</w:t>
                  </w:r>
                </w:p>
              </w:tc>
              <w:tc>
                <w:tcPr>
                  <w:tcW w:w="2456" w:type="dxa"/>
                  <w:vMerge w:val="restart"/>
                  <w:shd w:val="clear" w:color="auto" w:fill="auto"/>
                  <w:vAlign w:val="center"/>
                </w:tcPr>
                <w:p w14:paraId="54542278">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一般工业固体废物，收集后由物资回收单位回收利用</w:t>
                  </w:r>
                </w:p>
              </w:tc>
            </w:tr>
            <w:tr w14:paraId="0647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2D6218A3">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3FA40C1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沉淀废渣</w:t>
                  </w:r>
                </w:p>
              </w:tc>
              <w:tc>
                <w:tcPr>
                  <w:tcW w:w="1005" w:type="dxa"/>
                  <w:shd w:val="clear" w:color="auto" w:fill="auto"/>
                  <w:vAlign w:val="center"/>
                </w:tcPr>
                <w:p w14:paraId="64466EE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S2、S3</w:t>
                  </w:r>
                </w:p>
              </w:tc>
              <w:tc>
                <w:tcPr>
                  <w:tcW w:w="1485" w:type="dxa"/>
                  <w:shd w:val="clear" w:color="auto" w:fill="auto"/>
                  <w:vAlign w:val="center"/>
                </w:tcPr>
                <w:p w14:paraId="214D437B">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细磨抛光</w:t>
                  </w:r>
                </w:p>
              </w:tc>
              <w:tc>
                <w:tcPr>
                  <w:tcW w:w="1380" w:type="dxa"/>
                  <w:shd w:val="clear" w:color="auto" w:fill="auto"/>
                  <w:vAlign w:val="center"/>
                </w:tcPr>
                <w:p w14:paraId="5604C52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沉淀废渣</w:t>
                  </w:r>
                </w:p>
              </w:tc>
              <w:tc>
                <w:tcPr>
                  <w:tcW w:w="2456" w:type="dxa"/>
                  <w:vMerge w:val="continue"/>
                  <w:shd w:val="clear" w:color="auto" w:fill="auto"/>
                  <w:vAlign w:val="center"/>
                </w:tcPr>
                <w:p w14:paraId="661356C7">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4E03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A6B454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60E23E6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废包装材料</w:t>
                  </w:r>
                </w:p>
              </w:tc>
              <w:tc>
                <w:tcPr>
                  <w:tcW w:w="1005" w:type="dxa"/>
                  <w:shd w:val="clear" w:color="auto" w:fill="auto"/>
                  <w:vAlign w:val="center"/>
                </w:tcPr>
                <w:p w14:paraId="3A9811A6">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S11、S12</w:t>
                  </w:r>
                </w:p>
              </w:tc>
              <w:tc>
                <w:tcPr>
                  <w:tcW w:w="1485" w:type="dxa"/>
                  <w:shd w:val="clear" w:color="auto" w:fill="auto"/>
                  <w:vAlign w:val="center"/>
                </w:tcPr>
                <w:p w14:paraId="3E3E7AB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原料拆包</w:t>
                  </w:r>
                </w:p>
              </w:tc>
              <w:tc>
                <w:tcPr>
                  <w:tcW w:w="1380" w:type="dxa"/>
                  <w:shd w:val="clear" w:color="auto" w:fill="auto"/>
                  <w:vAlign w:val="center"/>
                </w:tcPr>
                <w:p w14:paraId="062ECF9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废包装材料</w:t>
                  </w:r>
                </w:p>
              </w:tc>
              <w:tc>
                <w:tcPr>
                  <w:tcW w:w="2456" w:type="dxa"/>
                  <w:vMerge w:val="continue"/>
                  <w:shd w:val="clear" w:color="auto" w:fill="auto"/>
                  <w:vAlign w:val="center"/>
                </w:tcPr>
                <w:p w14:paraId="26ACC14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4EAA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60CC83D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330C1C7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废金刚砂</w:t>
                  </w:r>
                </w:p>
              </w:tc>
              <w:tc>
                <w:tcPr>
                  <w:tcW w:w="1005" w:type="dxa"/>
                  <w:shd w:val="clear" w:color="auto" w:fill="auto"/>
                  <w:vAlign w:val="center"/>
                </w:tcPr>
                <w:p w14:paraId="4ED45F18">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S2</w:t>
                  </w:r>
                </w:p>
              </w:tc>
              <w:tc>
                <w:tcPr>
                  <w:tcW w:w="1485" w:type="dxa"/>
                  <w:shd w:val="clear" w:color="auto" w:fill="auto"/>
                  <w:vAlign w:val="center"/>
                </w:tcPr>
                <w:p w14:paraId="670A7C7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细磨</w:t>
                  </w:r>
                </w:p>
              </w:tc>
              <w:tc>
                <w:tcPr>
                  <w:tcW w:w="1380" w:type="dxa"/>
                  <w:shd w:val="clear" w:color="auto" w:fill="auto"/>
                  <w:vAlign w:val="center"/>
                </w:tcPr>
                <w:p w14:paraId="2F65DDB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废金刚砂</w:t>
                  </w:r>
                </w:p>
              </w:tc>
              <w:tc>
                <w:tcPr>
                  <w:tcW w:w="2456" w:type="dxa"/>
                  <w:shd w:val="clear" w:color="auto" w:fill="auto"/>
                  <w:vAlign w:val="center"/>
                </w:tcPr>
                <w:p w14:paraId="39B8193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一般工业固体废物，收集后由厂家收利用</w:t>
                  </w:r>
                </w:p>
              </w:tc>
            </w:tr>
            <w:tr w14:paraId="2B87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1F97BDD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0BBC1103">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废光学玻璃边角料</w:t>
                  </w:r>
                </w:p>
              </w:tc>
              <w:tc>
                <w:tcPr>
                  <w:tcW w:w="1005" w:type="dxa"/>
                  <w:shd w:val="clear" w:color="auto" w:fill="auto"/>
                  <w:vAlign w:val="center"/>
                </w:tcPr>
                <w:p w14:paraId="49DC90B6">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S5</w:t>
                  </w:r>
                </w:p>
              </w:tc>
              <w:tc>
                <w:tcPr>
                  <w:tcW w:w="1485" w:type="dxa"/>
                  <w:shd w:val="clear" w:color="auto" w:fill="auto"/>
                  <w:vAlign w:val="center"/>
                </w:tcPr>
                <w:p w14:paraId="7D0CB71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切割</w:t>
                  </w:r>
                </w:p>
              </w:tc>
              <w:tc>
                <w:tcPr>
                  <w:tcW w:w="1380" w:type="dxa"/>
                  <w:shd w:val="clear" w:color="auto" w:fill="auto"/>
                  <w:vAlign w:val="center"/>
                </w:tcPr>
                <w:p w14:paraId="42D35ED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废光学玻璃边角料</w:t>
                  </w:r>
                </w:p>
              </w:tc>
              <w:tc>
                <w:tcPr>
                  <w:tcW w:w="2456" w:type="dxa"/>
                  <w:vMerge w:val="restart"/>
                  <w:shd w:val="clear" w:color="auto" w:fill="auto"/>
                  <w:vAlign w:val="center"/>
                </w:tcPr>
                <w:p w14:paraId="33EABBC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一般工业固体废物，收集后由物资回收单位回收利用</w:t>
                  </w:r>
                </w:p>
              </w:tc>
            </w:tr>
            <w:tr w14:paraId="16E5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0CA85FB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220" w:type="dxa"/>
                  <w:gridSpan w:val="2"/>
                  <w:shd w:val="clear" w:color="auto" w:fill="auto"/>
                  <w:vAlign w:val="center"/>
                </w:tcPr>
                <w:p w14:paraId="566F123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废树脂</w:t>
                  </w:r>
                </w:p>
              </w:tc>
              <w:tc>
                <w:tcPr>
                  <w:tcW w:w="1485" w:type="dxa"/>
                  <w:shd w:val="clear" w:color="auto" w:fill="auto"/>
                  <w:vAlign w:val="center"/>
                </w:tcPr>
                <w:p w14:paraId="70FCFA45">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制备纯水</w:t>
                  </w:r>
                </w:p>
              </w:tc>
              <w:tc>
                <w:tcPr>
                  <w:tcW w:w="1380" w:type="dxa"/>
                  <w:shd w:val="clear" w:color="auto" w:fill="auto"/>
                  <w:vAlign w:val="center"/>
                </w:tcPr>
                <w:p w14:paraId="68162BB2">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废树脂</w:t>
                  </w:r>
                </w:p>
              </w:tc>
              <w:tc>
                <w:tcPr>
                  <w:tcW w:w="2456" w:type="dxa"/>
                  <w:vMerge w:val="continue"/>
                  <w:shd w:val="clear" w:color="auto" w:fill="auto"/>
                  <w:vAlign w:val="center"/>
                </w:tcPr>
                <w:p w14:paraId="421BEC6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5EFB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11DD36A3">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3F7A766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废切削液、磨削液、冷却液</w:t>
                  </w:r>
                </w:p>
              </w:tc>
              <w:tc>
                <w:tcPr>
                  <w:tcW w:w="1005" w:type="dxa"/>
                  <w:shd w:val="clear" w:color="auto" w:fill="auto"/>
                  <w:vAlign w:val="center"/>
                </w:tcPr>
                <w:p w14:paraId="74C2E3EB">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S1</w:t>
                  </w:r>
                </w:p>
              </w:tc>
              <w:tc>
                <w:tcPr>
                  <w:tcW w:w="1485" w:type="dxa"/>
                  <w:shd w:val="clear" w:color="auto" w:fill="auto"/>
                  <w:vAlign w:val="center"/>
                </w:tcPr>
                <w:p w14:paraId="32BE0BB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抛光</w:t>
                  </w:r>
                </w:p>
              </w:tc>
              <w:tc>
                <w:tcPr>
                  <w:tcW w:w="1380" w:type="dxa"/>
                  <w:shd w:val="clear" w:color="auto" w:fill="auto"/>
                  <w:vAlign w:val="center"/>
                </w:tcPr>
                <w:p w14:paraId="665E0E9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废切削液、磨削液、冷却液</w:t>
                  </w:r>
                </w:p>
              </w:tc>
              <w:tc>
                <w:tcPr>
                  <w:tcW w:w="2456" w:type="dxa"/>
                  <w:vMerge w:val="restart"/>
                  <w:shd w:val="clear" w:color="auto" w:fill="auto"/>
                  <w:vAlign w:val="center"/>
                </w:tcPr>
                <w:p w14:paraId="2424CFE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危险废物，暂存在危废间，定期委托有资质单位处置</w:t>
                  </w:r>
                </w:p>
              </w:tc>
            </w:tr>
            <w:tr w14:paraId="47F6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06A9DB4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1797087D">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刻蚀废液</w:t>
                  </w:r>
                </w:p>
              </w:tc>
              <w:tc>
                <w:tcPr>
                  <w:tcW w:w="1005" w:type="dxa"/>
                  <w:shd w:val="clear" w:color="auto" w:fill="auto"/>
                  <w:vAlign w:val="center"/>
                </w:tcPr>
                <w:p w14:paraId="77749898">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S16、S17</w:t>
                  </w:r>
                </w:p>
              </w:tc>
              <w:tc>
                <w:tcPr>
                  <w:tcW w:w="1485" w:type="dxa"/>
                  <w:shd w:val="clear" w:color="auto" w:fill="auto"/>
                  <w:vAlign w:val="center"/>
                </w:tcPr>
                <w:p w14:paraId="5D172A5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金属刻蚀</w:t>
                  </w:r>
                </w:p>
              </w:tc>
              <w:tc>
                <w:tcPr>
                  <w:tcW w:w="1380" w:type="dxa"/>
                  <w:shd w:val="clear" w:color="auto" w:fill="auto"/>
                  <w:vAlign w:val="center"/>
                </w:tcPr>
                <w:p w14:paraId="1EFA10A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刻蚀废液</w:t>
                  </w:r>
                </w:p>
              </w:tc>
              <w:tc>
                <w:tcPr>
                  <w:tcW w:w="2456" w:type="dxa"/>
                  <w:vMerge w:val="continue"/>
                  <w:shd w:val="clear" w:color="auto" w:fill="auto"/>
                  <w:vAlign w:val="center"/>
                </w:tcPr>
                <w:p w14:paraId="7DC337A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3C4E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14B86F49">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220" w:type="dxa"/>
                  <w:gridSpan w:val="2"/>
                  <w:shd w:val="clear" w:color="auto" w:fill="auto"/>
                  <w:vAlign w:val="center"/>
                </w:tcPr>
                <w:p w14:paraId="3FB18A0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废胶桶</w:t>
                  </w:r>
                </w:p>
              </w:tc>
              <w:tc>
                <w:tcPr>
                  <w:tcW w:w="1485" w:type="dxa"/>
                  <w:shd w:val="clear" w:color="auto" w:fill="auto"/>
                  <w:vAlign w:val="center"/>
                </w:tcPr>
                <w:p w14:paraId="39EBD7E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原料拆包</w:t>
                  </w:r>
                </w:p>
              </w:tc>
              <w:tc>
                <w:tcPr>
                  <w:tcW w:w="1380" w:type="dxa"/>
                  <w:shd w:val="clear" w:color="auto" w:fill="auto"/>
                  <w:vAlign w:val="center"/>
                </w:tcPr>
                <w:p w14:paraId="4333A3BE">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废胶桶</w:t>
                  </w:r>
                </w:p>
              </w:tc>
              <w:tc>
                <w:tcPr>
                  <w:tcW w:w="2456" w:type="dxa"/>
                  <w:vMerge w:val="continue"/>
                  <w:shd w:val="clear" w:color="auto" w:fill="auto"/>
                  <w:vAlign w:val="center"/>
                </w:tcPr>
                <w:p w14:paraId="18CF1B27">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075C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010BCBB2">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2AFBBEB7">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废有机溶剂及空瓶</w:t>
                  </w:r>
                </w:p>
              </w:tc>
              <w:tc>
                <w:tcPr>
                  <w:tcW w:w="1005" w:type="dxa"/>
                  <w:shd w:val="clear" w:color="auto" w:fill="auto"/>
                  <w:vAlign w:val="center"/>
                </w:tcPr>
                <w:p w14:paraId="43C1EA1C">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S13、S14、S18、S19</w:t>
                  </w:r>
                </w:p>
              </w:tc>
              <w:tc>
                <w:tcPr>
                  <w:tcW w:w="1485" w:type="dxa"/>
                  <w:shd w:val="clear" w:color="auto" w:fill="auto"/>
                  <w:vAlign w:val="center"/>
                </w:tcPr>
                <w:p w14:paraId="6AC6708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清洗</w:t>
                  </w:r>
                </w:p>
              </w:tc>
              <w:tc>
                <w:tcPr>
                  <w:tcW w:w="1380" w:type="dxa"/>
                  <w:shd w:val="clear" w:color="auto" w:fill="auto"/>
                  <w:vAlign w:val="center"/>
                </w:tcPr>
                <w:p w14:paraId="080DF588">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废有机溶剂及空瓶</w:t>
                  </w:r>
                </w:p>
              </w:tc>
              <w:tc>
                <w:tcPr>
                  <w:tcW w:w="2456" w:type="dxa"/>
                  <w:vMerge w:val="continue"/>
                  <w:shd w:val="clear" w:color="auto" w:fill="auto"/>
                  <w:vAlign w:val="center"/>
                </w:tcPr>
                <w:p w14:paraId="218DCEA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2A85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096FEC0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1268B977">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清洗废液</w:t>
                  </w:r>
                </w:p>
              </w:tc>
              <w:tc>
                <w:tcPr>
                  <w:tcW w:w="1005" w:type="dxa"/>
                  <w:shd w:val="clear" w:color="auto" w:fill="auto"/>
                  <w:vAlign w:val="center"/>
                </w:tcPr>
                <w:p w14:paraId="09DDDACD">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S4、S6、S15、S16、S19</w:t>
                  </w:r>
                </w:p>
              </w:tc>
              <w:tc>
                <w:tcPr>
                  <w:tcW w:w="1485" w:type="dxa"/>
                  <w:shd w:val="clear" w:color="auto" w:fill="auto"/>
                  <w:vAlign w:val="center"/>
                </w:tcPr>
                <w:p w14:paraId="6F379035">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清洗</w:t>
                  </w:r>
                </w:p>
              </w:tc>
              <w:tc>
                <w:tcPr>
                  <w:tcW w:w="1380" w:type="dxa"/>
                  <w:shd w:val="clear" w:color="auto" w:fill="auto"/>
                  <w:vAlign w:val="center"/>
                </w:tcPr>
                <w:p w14:paraId="7FB0CE3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清洗废液</w:t>
                  </w:r>
                </w:p>
              </w:tc>
              <w:tc>
                <w:tcPr>
                  <w:tcW w:w="2456" w:type="dxa"/>
                  <w:vMerge w:val="continue"/>
                  <w:shd w:val="clear" w:color="auto" w:fill="auto"/>
                  <w:vAlign w:val="center"/>
                </w:tcPr>
                <w:p w14:paraId="161D52C6">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6FE4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5CBE7748">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1215" w:type="dxa"/>
                  <w:shd w:val="clear" w:color="auto" w:fill="auto"/>
                  <w:vAlign w:val="center"/>
                </w:tcPr>
                <w:p w14:paraId="7F49FE57">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含油抹布</w:t>
                  </w:r>
                </w:p>
              </w:tc>
              <w:tc>
                <w:tcPr>
                  <w:tcW w:w="1005" w:type="dxa"/>
                  <w:shd w:val="clear" w:color="auto" w:fill="auto"/>
                  <w:vAlign w:val="center"/>
                </w:tcPr>
                <w:p w14:paraId="2DFFB72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S1</w:t>
                  </w:r>
                </w:p>
              </w:tc>
              <w:tc>
                <w:tcPr>
                  <w:tcW w:w="1485" w:type="dxa"/>
                  <w:shd w:val="clear" w:color="auto" w:fill="auto"/>
                  <w:vAlign w:val="center"/>
                </w:tcPr>
                <w:p w14:paraId="10EE7D1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擦拭</w:t>
                  </w:r>
                </w:p>
              </w:tc>
              <w:tc>
                <w:tcPr>
                  <w:tcW w:w="1380" w:type="dxa"/>
                  <w:shd w:val="clear" w:color="auto" w:fill="auto"/>
                  <w:vAlign w:val="center"/>
                </w:tcPr>
                <w:p w14:paraId="04586B2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含油抹布</w:t>
                  </w:r>
                </w:p>
              </w:tc>
              <w:tc>
                <w:tcPr>
                  <w:tcW w:w="2456" w:type="dxa"/>
                  <w:vMerge w:val="continue"/>
                  <w:shd w:val="clear" w:color="auto" w:fill="auto"/>
                  <w:vAlign w:val="center"/>
                </w:tcPr>
                <w:p w14:paraId="13D5CA2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3C42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28039038">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220" w:type="dxa"/>
                  <w:gridSpan w:val="2"/>
                  <w:shd w:val="clear" w:color="auto" w:fill="auto"/>
                  <w:vAlign w:val="center"/>
                </w:tcPr>
                <w:p w14:paraId="4403980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废活性炭</w:t>
                  </w:r>
                </w:p>
              </w:tc>
              <w:tc>
                <w:tcPr>
                  <w:tcW w:w="1485" w:type="dxa"/>
                  <w:shd w:val="clear" w:color="auto" w:fill="auto"/>
                  <w:vAlign w:val="center"/>
                </w:tcPr>
                <w:p w14:paraId="01D8B8B3">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废气治理</w:t>
                  </w:r>
                </w:p>
              </w:tc>
              <w:tc>
                <w:tcPr>
                  <w:tcW w:w="1380" w:type="dxa"/>
                  <w:shd w:val="clear" w:color="auto" w:fill="auto"/>
                  <w:vAlign w:val="center"/>
                </w:tcPr>
                <w:p w14:paraId="7DDE546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废活性炭</w:t>
                  </w:r>
                </w:p>
              </w:tc>
              <w:tc>
                <w:tcPr>
                  <w:tcW w:w="2456" w:type="dxa"/>
                  <w:vMerge w:val="continue"/>
                  <w:shd w:val="clear" w:color="auto" w:fill="auto"/>
                  <w:vAlign w:val="center"/>
                </w:tcPr>
                <w:p w14:paraId="116B34FF">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27FE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08F8921">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220" w:type="dxa"/>
                  <w:gridSpan w:val="2"/>
                  <w:shd w:val="clear" w:color="auto" w:fill="auto"/>
                  <w:vAlign w:val="center"/>
                </w:tcPr>
                <w:p w14:paraId="0719607C">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污水处理站污泥</w:t>
                  </w:r>
                </w:p>
              </w:tc>
              <w:tc>
                <w:tcPr>
                  <w:tcW w:w="1485" w:type="dxa"/>
                  <w:shd w:val="clear" w:color="auto" w:fill="auto"/>
                  <w:vAlign w:val="center"/>
                </w:tcPr>
                <w:p w14:paraId="7423772E">
                  <w:pPr>
                    <w:keepNext w:val="0"/>
                    <w:keepLines w:val="0"/>
                    <w:pageBreakBefore w:val="0"/>
                    <w:widowControl w:val="0"/>
                    <w:kinsoku/>
                    <w:wordWrap/>
                    <w:overflowPunct/>
                    <w:topLinePunct w:val="0"/>
                    <w:bidi w:val="0"/>
                    <w:adjustRightInd/>
                    <w:snapToGrid/>
                    <w:spacing w:line="240" w:lineRule="auto"/>
                    <w:jc w:val="center"/>
                    <w:textAlignment w:val="auto"/>
                    <w:rPr>
                      <w:rFonts w:hint="default"/>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废水处理</w:t>
                  </w:r>
                </w:p>
              </w:tc>
              <w:tc>
                <w:tcPr>
                  <w:tcW w:w="1380" w:type="dxa"/>
                  <w:shd w:val="clear" w:color="auto" w:fill="auto"/>
                  <w:vAlign w:val="center"/>
                </w:tcPr>
                <w:p w14:paraId="3ACB067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污水处理站污泥</w:t>
                  </w:r>
                </w:p>
              </w:tc>
              <w:tc>
                <w:tcPr>
                  <w:tcW w:w="2456" w:type="dxa"/>
                  <w:vMerge w:val="continue"/>
                  <w:shd w:val="clear" w:color="auto" w:fill="auto"/>
                  <w:vAlign w:val="center"/>
                </w:tcPr>
                <w:p w14:paraId="24920F4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r>
            <w:tr w14:paraId="1AC9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3" w:type="dxa"/>
                  <w:vMerge w:val="continue"/>
                  <w:shd w:val="clear" w:color="auto" w:fill="auto"/>
                  <w:vAlign w:val="center"/>
                </w:tcPr>
                <w:p w14:paraId="4F99DE84">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p>
              </w:tc>
              <w:tc>
                <w:tcPr>
                  <w:tcW w:w="2220" w:type="dxa"/>
                  <w:gridSpan w:val="2"/>
                  <w:shd w:val="clear" w:color="auto" w:fill="auto"/>
                  <w:vAlign w:val="center"/>
                </w:tcPr>
                <w:p w14:paraId="7E84C24D">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生活垃圾</w:t>
                  </w:r>
                </w:p>
              </w:tc>
              <w:tc>
                <w:tcPr>
                  <w:tcW w:w="1485" w:type="dxa"/>
                  <w:shd w:val="clear" w:color="auto" w:fill="auto"/>
                  <w:vAlign w:val="center"/>
                </w:tcPr>
                <w:p w14:paraId="38FBD5A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员工日常生活</w:t>
                  </w:r>
                </w:p>
              </w:tc>
              <w:tc>
                <w:tcPr>
                  <w:tcW w:w="1380" w:type="dxa"/>
                  <w:shd w:val="clear" w:color="auto" w:fill="auto"/>
                  <w:vAlign w:val="center"/>
                </w:tcPr>
                <w:p w14:paraId="42640160">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纸屑、塑料袋等</w:t>
                  </w:r>
                </w:p>
              </w:tc>
              <w:tc>
                <w:tcPr>
                  <w:tcW w:w="2456" w:type="dxa"/>
                  <w:shd w:val="clear" w:color="auto" w:fill="auto"/>
                  <w:vAlign w:val="center"/>
                </w:tcPr>
                <w:p w14:paraId="66653CCA">
                  <w:pPr>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统一收集后委托环卫部门定期清运</w:t>
                  </w:r>
                </w:p>
              </w:tc>
            </w:tr>
            <w:bookmarkEnd w:id="8"/>
          </w:tbl>
          <w:p w14:paraId="7DE2C63F">
            <w:pPr>
              <w:spacing w:line="360" w:lineRule="auto"/>
              <w:ind w:firstLine="480" w:firstLineChars="200"/>
              <w:rPr>
                <w:bCs/>
                <w:color w:val="000000" w:themeColor="text1"/>
                <w:sz w:val="24"/>
                <w:szCs w:val="24"/>
                <w:highlight w:val="none"/>
                <w14:textFill>
                  <w14:solidFill>
                    <w14:schemeClr w14:val="tx1"/>
                  </w14:solidFill>
                </w14:textFill>
              </w:rPr>
            </w:pPr>
          </w:p>
        </w:tc>
      </w:tr>
      <w:tr w14:paraId="457C3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19" w:hRule="atLeast"/>
          <w:jc w:val="center"/>
        </w:trPr>
        <w:tc>
          <w:tcPr>
            <w:tcW w:w="546" w:type="dxa"/>
            <w:vAlign w:val="center"/>
          </w:tcPr>
          <w:p w14:paraId="0EFDCA2C">
            <w:pPr>
              <w:pStyle w:val="26"/>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bCs/>
                <w:color w:val="000000" w:themeColor="text1"/>
                <w:kern w:val="2"/>
                <w:sz w:val="21"/>
                <w:szCs w:val="21"/>
                <w:highlight w:val="none"/>
                <w14:textFill>
                  <w14:solidFill>
                    <w14:schemeClr w14:val="tx1"/>
                  </w14:solidFill>
                </w14:textFill>
              </w:rPr>
              <w:t>与项目有关的原有环境污染问题</w:t>
            </w:r>
          </w:p>
        </w:tc>
        <w:tc>
          <w:tcPr>
            <w:tcW w:w="8278" w:type="dxa"/>
          </w:tcPr>
          <w:p w14:paraId="3941B34E">
            <w:pPr>
              <w:pStyle w:val="37"/>
              <w:rPr>
                <w:color w:val="000000" w:themeColor="text1"/>
                <w:sz w:val="24"/>
                <w:szCs w:val="21"/>
                <w:highlight w:val="none"/>
                <w14:textFill>
                  <w14:solidFill>
                    <w14:schemeClr w14:val="tx1"/>
                  </w14:solidFill>
                </w14:textFill>
              </w:rPr>
            </w:pPr>
            <w:bookmarkStart w:id="10" w:name="_Hlk160478686"/>
            <w:r>
              <w:rPr>
                <w:color w:val="000000" w:themeColor="text1"/>
                <w:sz w:val="24"/>
                <w:szCs w:val="21"/>
                <w:highlight w:val="none"/>
                <w14:textFill>
                  <w14:solidFill>
                    <w14:schemeClr w14:val="tx1"/>
                  </w14:solidFill>
                </w14:textFill>
              </w:rPr>
              <w:t>2.</w:t>
            </w:r>
            <w:r>
              <w:rPr>
                <w:rFonts w:hint="eastAsia"/>
                <w:color w:val="000000" w:themeColor="text1"/>
                <w:sz w:val="24"/>
                <w:szCs w:val="21"/>
                <w:highlight w:val="none"/>
                <w:lang w:val="en-US" w:eastAsia="zh-CN"/>
                <w14:textFill>
                  <w14:solidFill>
                    <w14:schemeClr w14:val="tx1"/>
                  </w14:solidFill>
                </w14:textFill>
              </w:rPr>
              <w:t>10</w:t>
            </w:r>
            <w:r>
              <w:rPr>
                <w:rFonts w:hint="eastAsia"/>
                <w:color w:val="000000" w:themeColor="text1"/>
                <w:sz w:val="24"/>
                <w:szCs w:val="21"/>
                <w:highlight w:val="none"/>
                <w14:textFill>
                  <w14:solidFill>
                    <w14:schemeClr w14:val="tx1"/>
                  </w14:solidFill>
                </w14:textFill>
              </w:rPr>
              <w:t>与项目有关的原有环境污染问题</w:t>
            </w:r>
          </w:p>
          <w:p w14:paraId="352273B8">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2.10.1现有工程环保手续履行情况</w:t>
            </w:r>
          </w:p>
          <w:p w14:paraId="315AF339">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（1）一期工程</w:t>
            </w:r>
          </w:p>
          <w:p w14:paraId="4B6DE2AB">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2023年2月，福建至期光子科技有限公司(简称至期光子)委托厦门正诺达环保科技有限公司编制《福建至期光子科技有限公司超精密核心光学及晶体元器件生产项目建设环境影响评价报告表》，于2023年3月31日取得福州高新技术产业开发区生态环境局批复（榕高新区环评〔2023〕6号）。2023年12月3日企业完成排污登记（91350102MAC6AQCU19001X）。2024年10月，至期光子委托福建创投环保科技有限公司编制《福建至期光子科技有限公司超精密核心光学及晶体元器件生产项目建设竣工环境保护验收监测报告表》；2024年10月12日，该项目通过验收组验收。</w:t>
            </w:r>
          </w:p>
          <w:p w14:paraId="4EB1312F">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（2）二期工程</w:t>
            </w:r>
          </w:p>
          <w:p w14:paraId="373929F1">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2025年，至期光子租赁福建省菲格园区开发管理有限公司2#厂房2层，拟建设GE项目改造工程。至期光子委托福建环诺科技有限公司于2025年9月编制完成《GE项目改造工程环境影响报告表》，并于2025年9月25日取得福州高新技术产业开发区生态环境局的批复(榕高新区环评〔2025〕21号)。2025年9月28日企业重新进行了排污登记（91350102MAC6AQCU19001X）。2025年11月，至期光子委托福建兴顺达环保科技有限公司编制完成《福建至期光子科技有限公司GE项目改造工程竣工环境保护验收监测报告表》；2025年11月15日，该项目通过验收组验收。</w:t>
            </w:r>
          </w:p>
          <w:p w14:paraId="45BA4735">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2.10.2现有工程环保设施情况</w:t>
            </w:r>
          </w:p>
          <w:p w14:paraId="7C01E765">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根据现有工程竣工环境保护验收报告表及建设单位提供的相关资料，现有工程已建设完成的环保设施有污水处理设施、废气处理设施及危险废物暂存间等，各环保设施均正常运行。现有工程环保措施情况如下：</w:t>
            </w:r>
          </w:p>
          <w:p w14:paraId="3BD305A9">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（1）废水</w:t>
            </w:r>
          </w:p>
          <w:p w14:paraId="2C44A5C3">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厂区采用雨污分流，废水主要为生产废水和员工生活污水。</w:t>
            </w:r>
          </w:p>
          <w:p w14:paraId="1E0E777C">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生产废水依托厂区已建的三级沉淀池预处理后排入市政污水管网，纳入福州大学城污水处理厂统一处理；生活污水依托厂区现有化粪池处理后排入市政污水管网，送往福州大学城污水处理厂集中处理。雨水排入雨水管网，就近排入区域内河网。</w:t>
            </w:r>
          </w:p>
          <w:p w14:paraId="1C4E0A26">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（2）废气</w:t>
            </w:r>
          </w:p>
          <w:p w14:paraId="1B93ADDE">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现有工程生产车间各股废气均采用集气罩收集，其中东区有机废气经收集后引至“二级活性炭吸附装置1#”处理后由1根25m高排气筒排放(DA001)；西区有机废气经收集后引至“二级活性炭吸附装置2#”处理后由1根25m高排气筒排放(DA002)；晶体生长车间产生的有机废气经收集后引至新增的3套“二级活性炭吸附装置3#~5#”处理后合并由1根25m高排气筒排放（DA003）。</w:t>
            </w:r>
          </w:p>
          <w:p w14:paraId="5C59C152">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（3）噪声</w:t>
            </w:r>
          </w:p>
          <w:p w14:paraId="57ABA4BC">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项目选用低噪声设备，加强设备的维护管理；对高噪声设备进行基础减振、通过厂房墙体隔声等综合降噪措施。</w:t>
            </w:r>
          </w:p>
          <w:p w14:paraId="4F084961">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（4）固废</w:t>
            </w:r>
          </w:p>
          <w:p w14:paraId="39EB2EF2">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一般固废暂存在一般固废贮存库，</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定期外售给物资回收单位回收利用。</w:t>
            </w:r>
          </w:p>
          <w:p w14:paraId="283B626D">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危险废物暂存危废间，</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定期委托福建绿洲固体废物处置有限公司处置。</w:t>
            </w:r>
          </w:p>
          <w:p w14:paraId="025777FC">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生活垃圾</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委托环卫部门定期清运。</w:t>
            </w:r>
          </w:p>
          <w:p w14:paraId="199867CD">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（5）环境风险</w:t>
            </w:r>
          </w:p>
          <w:p w14:paraId="0E496422">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现有工程不设置应急池，</w:t>
            </w:r>
            <w:r>
              <w:rPr>
                <w:rFonts w:hint="default"/>
                <w:bCs/>
                <w:color w:val="000000" w:themeColor="text1"/>
                <w:sz w:val="24"/>
                <w:szCs w:val="24"/>
                <w:highlight w:val="none"/>
                <w:u w:val="none"/>
                <w:lang w:val="en-US" w:eastAsia="zh-CN"/>
                <w14:textFill>
                  <w14:solidFill>
                    <w14:schemeClr w14:val="tx1"/>
                  </w14:solidFill>
                </w14:textFill>
              </w:rPr>
              <w:t>危废库设置防渗漏措施，厂房配备应急救援物资。发生危险化学品泄漏时，应首先关闭厂区的雨水排放阀门，随后对泄漏的化学品进行及时</w:t>
            </w:r>
            <w:r>
              <w:rPr>
                <w:rFonts w:hint="eastAsia"/>
                <w:bCs/>
                <w:color w:val="000000" w:themeColor="text1"/>
                <w:sz w:val="24"/>
                <w:szCs w:val="24"/>
                <w:highlight w:val="none"/>
                <w:u w:val="none"/>
                <w:lang w:val="en-US" w:eastAsia="zh-CN"/>
                <w14:textFill>
                  <w14:solidFill>
                    <w14:schemeClr w14:val="tx1"/>
                  </w14:solidFill>
                </w14:textFill>
              </w:rPr>
              <w:t>进行</w:t>
            </w:r>
            <w:r>
              <w:rPr>
                <w:rFonts w:hint="default"/>
                <w:bCs/>
                <w:color w:val="000000" w:themeColor="text1"/>
                <w:sz w:val="24"/>
                <w:szCs w:val="24"/>
                <w:highlight w:val="none"/>
                <w:u w:val="none"/>
                <w:lang w:val="en-US" w:eastAsia="zh-CN"/>
                <w14:textFill>
                  <w14:solidFill>
                    <w14:schemeClr w14:val="tx1"/>
                  </w14:solidFill>
                </w14:textFill>
              </w:rPr>
              <w:t>收集，收集后委托给有资质的单位进行处置。进行危险化学品处置时，应佩戴防护用具，确保人身安全。</w:t>
            </w:r>
          </w:p>
          <w:p w14:paraId="656FAE8C">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2.10.3现有工程污染物排放情况</w:t>
            </w:r>
          </w:p>
          <w:p w14:paraId="2F5BDA53">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根据现场调查，结合《福建至期光子科技有限公司GE项目改造工程竣工环境保护验收监测报告表》（2025年11月），以及建设单位提供的相关资料，现有工程污染物排放情况如下：</w:t>
            </w:r>
          </w:p>
          <w:p w14:paraId="087D5B3B">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(一)废水</w:t>
            </w:r>
          </w:p>
          <w:p w14:paraId="39B41D2E">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根据验收检测结果：项目经污水处理站处置后的生产废水和经过化粪池处理的生活污水排入园区污水管网，废水中各污染物指标均能达到《污水综合排放标准》(GB8978-1996)表4三级标准(其中氨氮参考GB/T31962-2015《污水排入城镇下水道水质标准》表1中B等级标准)。</w:t>
            </w:r>
          </w:p>
          <w:p w14:paraId="3A708086">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(二)废气</w:t>
            </w:r>
          </w:p>
          <w:p w14:paraId="6053C9BC">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（1）有组织废气</w:t>
            </w:r>
          </w:p>
          <w:p w14:paraId="720725AB">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根据验收检测结果：GE改造项目晶体生产车间DA003排气筒出口废气中颗粒物浓度平均值为1.6mg/m</w:t>
            </w:r>
            <w:r>
              <w:rPr>
                <w:rFonts w:hint="eastAsia"/>
                <w:bCs/>
                <w:color w:val="000000" w:themeColor="text1"/>
                <w:sz w:val="24"/>
                <w:szCs w:val="24"/>
                <w:highlight w:val="none"/>
                <w:u w:val="none"/>
                <w:vertAlign w:val="superscript"/>
                <w:lang w:val="en-US" w:eastAsia="zh-CN"/>
                <w14:textFill>
                  <w14:solidFill>
                    <w14:schemeClr w14:val="tx1"/>
                  </w14:solidFill>
                </w14:textFill>
              </w:rPr>
              <w:t>3</w:t>
            </w:r>
            <w:r>
              <w:rPr>
                <w:rFonts w:hint="eastAsia"/>
                <w:bCs/>
                <w:color w:val="000000" w:themeColor="text1"/>
                <w:sz w:val="24"/>
                <w:szCs w:val="24"/>
                <w:highlight w:val="none"/>
                <w:u w:val="none"/>
                <w:lang w:val="en-US" w:eastAsia="zh-CN"/>
                <w14:textFill>
                  <w14:solidFill>
                    <w14:schemeClr w14:val="tx1"/>
                  </w14:solidFill>
                </w14:textFill>
              </w:rPr>
              <w:t>，排放速率为0.024kg/h，符合《大气污染物综合排放标准》(GB16297-1996)表2二级标准要求;非甲烷总烃浓度平均值为6.1mg/m</w:t>
            </w:r>
            <w:r>
              <w:rPr>
                <w:rFonts w:hint="eastAsia"/>
                <w:bCs/>
                <w:color w:val="000000" w:themeColor="text1"/>
                <w:sz w:val="24"/>
                <w:szCs w:val="24"/>
                <w:highlight w:val="none"/>
                <w:u w:val="none"/>
                <w:vertAlign w:val="superscript"/>
                <w:lang w:val="en-US" w:eastAsia="zh-CN"/>
                <w14:textFill>
                  <w14:solidFill>
                    <w14:schemeClr w14:val="tx1"/>
                  </w14:solidFill>
                </w14:textFill>
              </w:rPr>
              <w:t>3</w:t>
            </w:r>
            <w:r>
              <w:rPr>
                <w:rFonts w:hint="eastAsia"/>
                <w:bCs/>
                <w:color w:val="000000" w:themeColor="text1"/>
                <w:sz w:val="24"/>
                <w:szCs w:val="24"/>
                <w:highlight w:val="none"/>
                <w:u w:val="none"/>
                <w:lang w:val="en-US" w:eastAsia="zh-CN"/>
                <w14:textFill>
                  <w14:solidFill>
                    <w14:schemeClr w14:val="tx1"/>
                  </w14:solidFill>
                </w14:textFill>
              </w:rPr>
              <w:t>，排放速率为0.092kg/h，符合《工业企业挥发性有机物排放标准》(DB35/1782-2018)表1排气筒挥发性有机物排放限值要求(≤80mg/m</w:t>
            </w:r>
            <w:r>
              <w:rPr>
                <w:rFonts w:hint="eastAsia"/>
                <w:bCs/>
                <w:color w:val="000000" w:themeColor="text1"/>
                <w:sz w:val="24"/>
                <w:szCs w:val="24"/>
                <w:highlight w:val="none"/>
                <w:u w:val="none"/>
                <w:vertAlign w:val="superscript"/>
                <w:lang w:val="en-US" w:eastAsia="zh-CN"/>
                <w14:textFill>
                  <w14:solidFill>
                    <w14:schemeClr w14:val="tx1"/>
                  </w14:solidFill>
                </w14:textFill>
              </w:rPr>
              <w:t>3</w:t>
            </w:r>
            <w:r>
              <w:rPr>
                <w:rFonts w:hint="eastAsia"/>
                <w:bCs/>
                <w:color w:val="000000" w:themeColor="text1"/>
                <w:sz w:val="24"/>
                <w:szCs w:val="24"/>
                <w:highlight w:val="none"/>
                <w:u w:val="none"/>
                <w:lang w:val="en-US" w:eastAsia="zh-CN"/>
                <w14:textFill>
                  <w14:solidFill>
                    <w14:schemeClr w14:val="tx1"/>
                  </w14:solidFill>
                </w14:textFill>
              </w:rPr>
              <w:t>)。</w:t>
            </w:r>
          </w:p>
          <w:p w14:paraId="3A7955CB">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（2）</w:t>
            </w:r>
            <w:r>
              <w:rPr>
                <w:rFonts w:hint="default"/>
                <w:bCs/>
                <w:color w:val="000000" w:themeColor="text1"/>
                <w:sz w:val="24"/>
                <w:szCs w:val="24"/>
                <w:highlight w:val="none"/>
                <w:u w:val="none"/>
                <w:lang w:val="en-US" w:eastAsia="zh-CN"/>
                <w14:textFill>
                  <w14:solidFill>
                    <w14:schemeClr w14:val="tx1"/>
                  </w14:solidFill>
                </w14:textFill>
              </w:rPr>
              <w:t>无组织废气</w:t>
            </w:r>
          </w:p>
          <w:p w14:paraId="694A80CB">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default"/>
                <w:bCs/>
                <w:color w:val="000000" w:themeColor="text1"/>
                <w:sz w:val="24"/>
                <w:szCs w:val="24"/>
                <w:highlight w:val="none"/>
                <w:u w:val="none"/>
                <w:lang w:val="en-US" w:eastAsia="zh-CN"/>
                <w14:textFill>
                  <w14:solidFill>
                    <w14:schemeClr w14:val="tx1"/>
                  </w14:solidFill>
                </w14:textFill>
              </w:rPr>
              <w:t>根据验收检测结果:监测期间厂界颗粒物的最大检出值为0.247mg/m</w:t>
            </w:r>
            <w:r>
              <w:rPr>
                <w:rFonts w:hint="default"/>
                <w:bCs/>
                <w:color w:val="000000" w:themeColor="text1"/>
                <w:sz w:val="24"/>
                <w:szCs w:val="24"/>
                <w:highlight w:val="none"/>
                <w:u w:val="none"/>
                <w:vertAlign w:val="superscript"/>
                <w:lang w:val="en-US" w:eastAsia="zh-CN"/>
                <w14:textFill>
                  <w14:solidFill>
                    <w14:schemeClr w14:val="tx1"/>
                  </w14:solidFill>
                </w14:textFill>
              </w:rPr>
              <w:t>3</w:t>
            </w:r>
            <w:r>
              <w:rPr>
                <w:rFonts w:hint="default"/>
                <w:bCs/>
                <w:color w:val="000000" w:themeColor="text1"/>
                <w:sz w:val="24"/>
                <w:szCs w:val="24"/>
                <w:highlight w:val="none"/>
                <w:u w:val="none"/>
                <w:lang w:val="en-US" w:eastAsia="zh-CN"/>
                <w14:textFill>
                  <w14:solidFill>
                    <w14:schemeClr w14:val="tx1"/>
                  </w14:solidFill>
                </w14:textFill>
              </w:rPr>
              <w:t>，符合《大气污染物综合排放标准》(GB16297-1996)表2中颗粒物无组织排放浓度限值(≤1.0mg/m</w:t>
            </w:r>
            <w:r>
              <w:rPr>
                <w:rFonts w:hint="default"/>
                <w:bCs/>
                <w:color w:val="000000" w:themeColor="text1"/>
                <w:sz w:val="24"/>
                <w:szCs w:val="24"/>
                <w:highlight w:val="none"/>
                <w:u w:val="none"/>
                <w:vertAlign w:val="superscript"/>
                <w:lang w:val="en-US" w:eastAsia="zh-CN"/>
                <w14:textFill>
                  <w14:solidFill>
                    <w14:schemeClr w14:val="tx1"/>
                  </w14:solidFill>
                </w14:textFill>
              </w:rPr>
              <w:t>3</w:t>
            </w:r>
            <w:r>
              <w:rPr>
                <w:rFonts w:hint="default"/>
                <w:bCs/>
                <w:color w:val="000000" w:themeColor="text1"/>
                <w:sz w:val="24"/>
                <w:szCs w:val="24"/>
                <w:highlight w:val="none"/>
                <w:u w:val="none"/>
                <w:lang w:val="en-US" w:eastAsia="zh-CN"/>
                <w14:textFill>
                  <w14:solidFill>
                    <w14:schemeClr w14:val="tx1"/>
                  </w14:solidFill>
                </w14:textFill>
              </w:rPr>
              <w:t>)</w:t>
            </w:r>
            <w:r>
              <w:rPr>
                <w:rFonts w:hint="eastAsia"/>
                <w:bCs/>
                <w:color w:val="000000" w:themeColor="text1"/>
                <w:sz w:val="24"/>
                <w:szCs w:val="24"/>
                <w:highlight w:val="none"/>
                <w:u w:val="none"/>
                <w:lang w:val="en-US" w:eastAsia="zh-CN"/>
                <w14:textFill>
                  <w14:solidFill>
                    <w14:schemeClr w14:val="tx1"/>
                  </w14:solidFill>
                </w14:textFill>
              </w:rPr>
              <w:t>；</w:t>
            </w:r>
            <w:r>
              <w:rPr>
                <w:rFonts w:hint="default"/>
                <w:bCs/>
                <w:color w:val="000000" w:themeColor="text1"/>
                <w:sz w:val="24"/>
                <w:szCs w:val="24"/>
                <w:highlight w:val="none"/>
                <w:u w:val="none"/>
                <w:lang w:val="en-US" w:eastAsia="zh-CN"/>
                <w14:textFill>
                  <w14:solidFill>
                    <w14:schemeClr w14:val="tx1"/>
                  </w14:solidFill>
                </w14:textFill>
              </w:rPr>
              <w:t>监测期间厂界非甲烷总烃的最大检出值为1.01mg/m</w:t>
            </w:r>
            <w:r>
              <w:rPr>
                <w:rFonts w:hint="default"/>
                <w:bCs/>
                <w:color w:val="000000" w:themeColor="text1"/>
                <w:sz w:val="24"/>
                <w:szCs w:val="24"/>
                <w:highlight w:val="none"/>
                <w:u w:val="none"/>
                <w:vertAlign w:val="superscript"/>
                <w:lang w:val="en-US" w:eastAsia="zh-CN"/>
                <w14:textFill>
                  <w14:solidFill>
                    <w14:schemeClr w14:val="tx1"/>
                  </w14:solidFill>
                </w14:textFill>
              </w:rPr>
              <w:t>3</w:t>
            </w:r>
            <w:r>
              <w:rPr>
                <w:rFonts w:hint="default"/>
                <w:bCs/>
                <w:color w:val="000000" w:themeColor="text1"/>
                <w:sz w:val="24"/>
                <w:szCs w:val="24"/>
                <w:highlight w:val="none"/>
                <w:u w:val="none"/>
                <w:lang w:val="en-US" w:eastAsia="zh-CN"/>
                <w14:textFill>
                  <w14:solidFill>
                    <w14:schemeClr w14:val="tx1"/>
                  </w14:solidFill>
                </w14:textFill>
              </w:rPr>
              <w:t>，可达到《工业企业挥发性有机物排放标准》(DB35/1782-2018)中表2相应标准(</w:t>
            </w:r>
            <w:r>
              <w:rPr>
                <w:rFonts w:hint="eastAsia"/>
                <w:bCs/>
                <w:color w:val="000000" w:themeColor="text1"/>
                <w:sz w:val="24"/>
                <w:szCs w:val="24"/>
                <w:highlight w:val="none"/>
                <w:u w:val="none"/>
                <w:lang w:val="en-US" w:eastAsia="zh-CN"/>
                <w14:textFill>
                  <w14:solidFill>
                    <w14:schemeClr w14:val="tx1"/>
                  </w14:solidFill>
                </w14:textFill>
              </w:rPr>
              <w:t>≤</w:t>
            </w:r>
            <w:r>
              <w:rPr>
                <w:rFonts w:hint="default"/>
                <w:bCs/>
                <w:color w:val="000000" w:themeColor="text1"/>
                <w:sz w:val="24"/>
                <w:szCs w:val="24"/>
                <w:highlight w:val="none"/>
                <w:u w:val="none"/>
                <w:lang w:val="en-US" w:eastAsia="zh-CN"/>
                <w14:textFill>
                  <w14:solidFill>
                    <w14:schemeClr w14:val="tx1"/>
                  </w14:solidFill>
                </w14:textFill>
              </w:rPr>
              <w:t>2.0mg/m</w:t>
            </w:r>
            <w:r>
              <w:rPr>
                <w:rFonts w:hint="default"/>
                <w:bCs/>
                <w:color w:val="000000" w:themeColor="text1"/>
                <w:sz w:val="24"/>
                <w:szCs w:val="24"/>
                <w:highlight w:val="none"/>
                <w:u w:val="none"/>
                <w:vertAlign w:val="superscript"/>
                <w:lang w:val="en-US" w:eastAsia="zh-CN"/>
                <w14:textFill>
                  <w14:solidFill>
                    <w14:schemeClr w14:val="tx1"/>
                  </w14:solidFill>
                </w14:textFill>
              </w:rPr>
              <w:t>3</w:t>
            </w:r>
            <w:r>
              <w:rPr>
                <w:rFonts w:hint="default"/>
                <w:bCs/>
                <w:color w:val="000000" w:themeColor="text1"/>
                <w:sz w:val="24"/>
                <w:szCs w:val="24"/>
                <w:highlight w:val="none"/>
                <w:u w:val="none"/>
                <w:lang w:val="en-US" w:eastAsia="zh-CN"/>
                <w14:textFill>
                  <w14:solidFill>
                    <w14:schemeClr w14:val="tx1"/>
                  </w14:solidFill>
                </w14:textFill>
              </w:rPr>
              <w:t>)</w:t>
            </w:r>
            <w:r>
              <w:rPr>
                <w:rFonts w:hint="eastAsia"/>
                <w:bCs/>
                <w:color w:val="000000" w:themeColor="text1"/>
                <w:sz w:val="24"/>
                <w:szCs w:val="24"/>
                <w:highlight w:val="none"/>
                <w:u w:val="none"/>
                <w:lang w:val="en-US" w:eastAsia="zh-CN"/>
                <w14:textFill>
                  <w14:solidFill>
                    <w14:schemeClr w14:val="tx1"/>
                  </w14:solidFill>
                </w14:textFill>
              </w:rPr>
              <w:t>；</w:t>
            </w:r>
            <w:r>
              <w:rPr>
                <w:rFonts w:hint="default"/>
                <w:bCs/>
                <w:color w:val="000000" w:themeColor="text1"/>
                <w:sz w:val="24"/>
                <w:szCs w:val="24"/>
                <w:highlight w:val="none"/>
                <w:u w:val="none"/>
                <w:lang w:val="en-US" w:eastAsia="zh-CN"/>
                <w14:textFill>
                  <w14:solidFill>
                    <w14:schemeClr w14:val="tx1"/>
                  </w14:solidFill>
                </w14:textFill>
              </w:rPr>
              <w:t>厂区内非甲烷总烃最大检出值为4.57mg/m</w:t>
            </w:r>
            <w:r>
              <w:rPr>
                <w:rFonts w:hint="default"/>
                <w:bCs/>
                <w:color w:val="000000" w:themeColor="text1"/>
                <w:sz w:val="24"/>
                <w:szCs w:val="24"/>
                <w:highlight w:val="none"/>
                <w:u w:val="none"/>
                <w:vertAlign w:val="superscript"/>
                <w:lang w:val="en-US" w:eastAsia="zh-CN"/>
                <w14:textFill>
                  <w14:solidFill>
                    <w14:schemeClr w14:val="tx1"/>
                  </w14:solidFill>
                </w14:textFill>
              </w:rPr>
              <w:t>3</w:t>
            </w:r>
            <w:r>
              <w:rPr>
                <w:rFonts w:hint="default"/>
                <w:bCs/>
                <w:color w:val="000000" w:themeColor="text1"/>
                <w:sz w:val="24"/>
                <w:szCs w:val="24"/>
                <w:highlight w:val="none"/>
                <w:u w:val="none"/>
                <w:lang w:val="en-US" w:eastAsia="zh-CN"/>
                <w14:textFill>
                  <w14:solidFill>
                    <w14:schemeClr w14:val="tx1"/>
                  </w14:solidFill>
                </w14:textFill>
              </w:rPr>
              <w:t>，可达到《工业企业挥发性有机物排放标准》(DB35/1782-2018)中表3标准限值要求(≤8mg/m</w:t>
            </w:r>
            <w:r>
              <w:rPr>
                <w:rFonts w:hint="default"/>
                <w:bCs/>
                <w:color w:val="000000" w:themeColor="text1"/>
                <w:sz w:val="24"/>
                <w:szCs w:val="24"/>
                <w:highlight w:val="none"/>
                <w:u w:val="none"/>
                <w:vertAlign w:val="superscript"/>
                <w:lang w:val="en-US" w:eastAsia="zh-CN"/>
                <w14:textFill>
                  <w14:solidFill>
                    <w14:schemeClr w14:val="tx1"/>
                  </w14:solidFill>
                </w14:textFill>
              </w:rPr>
              <w:t>3</w:t>
            </w:r>
            <w:r>
              <w:rPr>
                <w:rFonts w:hint="default"/>
                <w:bCs/>
                <w:color w:val="000000" w:themeColor="text1"/>
                <w:sz w:val="24"/>
                <w:szCs w:val="24"/>
                <w:highlight w:val="none"/>
                <w:u w:val="none"/>
                <w:lang w:val="en-US" w:eastAsia="zh-CN"/>
                <w14:textFill>
                  <w14:solidFill>
                    <w14:schemeClr w14:val="tx1"/>
                  </w14:solidFill>
                </w14:textFill>
              </w:rPr>
              <w:t>)，厂区内任意一次非甲烷总烃最大检出值为4.57mg/m</w:t>
            </w:r>
            <w:r>
              <w:rPr>
                <w:rFonts w:hint="default"/>
                <w:bCs/>
                <w:color w:val="000000" w:themeColor="text1"/>
                <w:sz w:val="24"/>
                <w:szCs w:val="24"/>
                <w:highlight w:val="none"/>
                <w:u w:val="none"/>
                <w:vertAlign w:val="superscript"/>
                <w:lang w:val="en-US" w:eastAsia="zh-CN"/>
                <w14:textFill>
                  <w14:solidFill>
                    <w14:schemeClr w14:val="tx1"/>
                  </w14:solidFill>
                </w14:textFill>
              </w:rPr>
              <w:t>3</w:t>
            </w:r>
            <w:r>
              <w:rPr>
                <w:rFonts w:hint="default"/>
                <w:bCs/>
                <w:color w:val="000000" w:themeColor="text1"/>
                <w:sz w:val="24"/>
                <w:szCs w:val="24"/>
                <w:highlight w:val="none"/>
                <w:u w:val="none"/>
                <w:lang w:val="en-US" w:eastAsia="zh-CN"/>
                <w14:textFill>
                  <w14:solidFill>
                    <w14:schemeClr w14:val="tx1"/>
                  </w14:solidFill>
                </w14:textFill>
              </w:rPr>
              <w:t>，满足《挥发性有机物无组织排放控制标准》(GB37822-2019)表A.1相关限值要求(≤30mg/m</w:t>
            </w:r>
            <w:r>
              <w:rPr>
                <w:rFonts w:hint="default"/>
                <w:bCs/>
                <w:color w:val="000000" w:themeColor="text1"/>
                <w:sz w:val="24"/>
                <w:szCs w:val="24"/>
                <w:highlight w:val="none"/>
                <w:u w:val="none"/>
                <w:vertAlign w:val="superscript"/>
                <w:lang w:val="en-US" w:eastAsia="zh-CN"/>
                <w14:textFill>
                  <w14:solidFill>
                    <w14:schemeClr w14:val="tx1"/>
                  </w14:solidFill>
                </w14:textFill>
              </w:rPr>
              <w:t>3</w:t>
            </w:r>
            <w:r>
              <w:rPr>
                <w:rFonts w:hint="default"/>
                <w:bCs/>
                <w:color w:val="000000" w:themeColor="text1"/>
                <w:sz w:val="24"/>
                <w:szCs w:val="24"/>
                <w:highlight w:val="none"/>
                <w:u w:val="none"/>
                <w:lang w:val="en-US" w:eastAsia="zh-CN"/>
                <w14:textFill>
                  <w14:solidFill>
                    <w14:schemeClr w14:val="tx1"/>
                  </w14:solidFill>
                </w14:textFill>
              </w:rPr>
              <w:t>)。</w:t>
            </w:r>
          </w:p>
          <w:p w14:paraId="4BF7CBF1">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default"/>
                <w:bCs/>
                <w:color w:val="000000" w:themeColor="text1"/>
                <w:sz w:val="24"/>
                <w:szCs w:val="24"/>
                <w:highlight w:val="none"/>
                <w:u w:val="none"/>
                <w:lang w:val="en-US" w:eastAsia="zh-CN"/>
                <w14:textFill>
                  <w14:solidFill>
                    <w14:schemeClr w14:val="tx1"/>
                  </w14:solidFill>
                </w14:textFill>
              </w:rPr>
              <w:t>(</w:t>
            </w:r>
            <w:r>
              <w:rPr>
                <w:rFonts w:hint="eastAsia"/>
                <w:bCs/>
                <w:color w:val="000000" w:themeColor="text1"/>
                <w:sz w:val="24"/>
                <w:szCs w:val="24"/>
                <w:highlight w:val="none"/>
                <w:u w:val="none"/>
                <w:lang w:val="en-US" w:eastAsia="zh-CN"/>
                <w14:textFill>
                  <w14:solidFill>
                    <w14:schemeClr w14:val="tx1"/>
                  </w14:solidFill>
                </w14:textFill>
              </w:rPr>
              <w:t>三</w:t>
            </w:r>
            <w:r>
              <w:rPr>
                <w:rFonts w:hint="default"/>
                <w:bCs/>
                <w:color w:val="000000" w:themeColor="text1"/>
                <w:sz w:val="24"/>
                <w:szCs w:val="24"/>
                <w:highlight w:val="none"/>
                <w:u w:val="none"/>
                <w:lang w:val="en-US" w:eastAsia="zh-CN"/>
                <w14:textFill>
                  <w14:solidFill>
                    <w14:schemeClr w14:val="tx1"/>
                  </w14:solidFill>
                </w14:textFill>
              </w:rPr>
              <w:t>)噪声</w:t>
            </w:r>
          </w:p>
          <w:p w14:paraId="0DF93884">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根据验收检测结果：验收监测期间，厂界外的噪声值符合《工业企业厂界噪声标准》(GB12348-2008)中3类标准要求，即昼间≤65dB(A)，企业夜间不生产。</w:t>
            </w:r>
          </w:p>
          <w:p w14:paraId="70C89BE0">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(四)固体废物</w:t>
            </w:r>
          </w:p>
          <w:p w14:paraId="1DF8AB9F">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项目产生的固体废物有工业固废和生活垃圾，其中工业固废包括危险废物和一般工业固废。一般工业固废主要有不合格产品、沉淀废渣、废包装材料、废金刚砂、废边角料、污水站沉渣、废树脂。危险废物主要为废切削油及切削液、废胶桶、废有机溶剂空瓶、废晶体、熔料炉渣、清洗废液、废活性炭、晶体废液等。</w:t>
            </w:r>
          </w:p>
          <w:p w14:paraId="02742971">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根据竣工环保验收调查结果：</w:t>
            </w:r>
          </w:p>
          <w:p w14:paraId="4A1A9B4F">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不合格产品产生量为0.8t/a，沉淀废渣产生量为1.0t/a，包装废弃物产生量为0.2t/a，废边角料产生量为0.3t/a，污水站污泥产生量为2t/a，收集后由物资回收单位回收利用。</w:t>
            </w:r>
          </w:p>
          <w:p w14:paraId="62BA92F3">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废金刚砂产生量为3.2t/a，收集后由厂家回收处理。</w:t>
            </w:r>
          </w:p>
          <w:p w14:paraId="39840381">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废离子交换树脂产生量约11.76t/a，由原厂家定期回收替换。</w:t>
            </w:r>
          </w:p>
          <w:p w14:paraId="7F9F9BD9">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废活性炭产生量为24t/a，收集后暂存于危废贮存库，</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委托福建绿洲固体废物处置有限公司进行处置。</w:t>
            </w:r>
          </w:p>
          <w:p w14:paraId="74407B2A">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废切削油及切削液产生量为0.4t/a，收集后暂存于危废贮存库，</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委托福建绿洲固体废物处置有限公司进行</w:t>
            </w:r>
            <w:r>
              <w:rPr>
                <w:rFonts w:hint="eastAsia"/>
                <w:bCs/>
                <w:color w:val="000000" w:themeColor="text1"/>
                <w:sz w:val="24"/>
                <w:highlight w:val="none"/>
                <w14:textFill>
                  <w14:solidFill>
                    <w14:schemeClr w14:val="tx1"/>
                  </w14:solidFill>
                </w14:textFill>
              </w:rPr>
              <w:t>处置</w:t>
            </w:r>
            <w:r>
              <w:rPr>
                <w:rFonts w:hint="eastAsia"/>
                <w:bCs/>
                <w:color w:val="000000" w:themeColor="text1"/>
                <w:sz w:val="24"/>
                <w:szCs w:val="24"/>
                <w:highlight w:val="none"/>
                <w:u w:val="none"/>
                <w:lang w:val="en-US" w:eastAsia="zh-CN"/>
                <w14:textFill>
                  <w14:solidFill>
                    <w14:schemeClr w14:val="tx1"/>
                  </w14:solidFill>
                </w14:textFill>
              </w:rPr>
              <w:t>。</w:t>
            </w:r>
          </w:p>
          <w:p w14:paraId="6ED89F8B">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废胶桶产生量为0.5t/a。收集后暂存于危废贮存库，</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委托福建绿洲固体废物处置有限公司进行</w:t>
            </w:r>
            <w:r>
              <w:rPr>
                <w:rFonts w:hint="eastAsia"/>
                <w:bCs/>
                <w:color w:val="000000" w:themeColor="text1"/>
                <w:sz w:val="24"/>
                <w:highlight w:val="none"/>
                <w14:textFill>
                  <w14:solidFill>
                    <w14:schemeClr w14:val="tx1"/>
                  </w14:solidFill>
                </w14:textFill>
              </w:rPr>
              <w:t>处置</w:t>
            </w:r>
            <w:r>
              <w:rPr>
                <w:rFonts w:hint="eastAsia"/>
                <w:bCs/>
                <w:color w:val="000000" w:themeColor="text1"/>
                <w:sz w:val="24"/>
                <w:szCs w:val="24"/>
                <w:highlight w:val="none"/>
                <w:u w:val="none"/>
                <w:lang w:val="en-US" w:eastAsia="zh-CN"/>
                <w14:textFill>
                  <w14:solidFill>
                    <w14:schemeClr w14:val="tx1"/>
                  </w14:solidFill>
                </w14:textFill>
              </w:rPr>
              <w:t>。</w:t>
            </w:r>
          </w:p>
          <w:p w14:paraId="664634E2">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废有机溶剂空瓶产生量为0.027t/a。收集后暂存于危废贮存库，</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委托福建绿洲固体废物处置有限公司进行</w:t>
            </w:r>
            <w:r>
              <w:rPr>
                <w:rFonts w:hint="eastAsia"/>
                <w:bCs/>
                <w:color w:val="000000" w:themeColor="text1"/>
                <w:sz w:val="24"/>
                <w:highlight w:val="none"/>
                <w14:textFill>
                  <w14:solidFill>
                    <w14:schemeClr w14:val="tx1"/>
                  </w14:solidFill>
                </w14:textFill>
              </w:rPr>
              <w:t>处置</w:t>
            </w:r>
            <w:r>
              <w:rPr>
                <w:rFonts w:hint="eastAsia"/>
                <w:bCs/>
                <w:color w:val="000000" w:themeColor="text1"/>
                <w:sz w:val="24"/>
                <w:szCs w:val="24"/>
                <w:highlight w:val="none"/>
                <w:u w:val="none"/>
                <w:lang w:val="en-US" w:eastAsia="zh-CN"/>
                <w14:textFill>
                  <w14:solidFill>
                    <w14:schemeClr w14:val="tx1"/>
                  </w14:solidFill>
                </w14:textFill>
              </w:rPr>
              <w:t>。</w:t>
            </w:r>
          </w:p>
          <w:p w14:paraId="5670011F">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废晶体产生量为0.2t/a，收集后暂存于危废贮存库，</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委托福建绿洲固体废物处置有限公司进行</w:t>
            </w:r>
            <w:r>
              <w:rPr>
                <w:rFonts w:hint="eastAsia"/>
                <w:bCs/>
                <w:color w:val="000000" w:themeColor="text1"/>
                <w:sz w:val="24"/>
                <w:highlight w:val="none"/>
                <w14:textFill>
                  <w14:solidFill>
                    <w14:schemeClr w14:val="tx1"/>
                  </w14:solidFill>
                </w14:textFill>
              </w:rPr>
              <w:t>处置</w:t>
            </w:r>
            <w:r>
              <w:rPr>
                <w:rFonts w:hint="eastAsia"/>
                <w:bCs/>
                <w:color w:val="000000" w:themeColor="text1"/>
                <w:sz w:val="24"/>
                <w:szCs w:val="24"/>
                <w:highlight w:val="none"/>
                <w:u w:val="none"/>
                <w:lang w:val="en-US" w:eastAsia="zh-CN"/>
                <w14:textFill>
                  <w14:solidFill>
                    <w14:schemeClr w14:val="tx1"/>
                  </w14:solidFill>
                </w14:textFill>
              </w:rPr>
              <w:t>。</w:t>
            </w:r>
          </w:p>
          <w:p w14:paraId="4B683B82">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熔料炉渣产生量为0.5t/a，收集后暂存于危废贮存库，</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委托福建绿洲固体废物处置有限公司进行</w:t>
            </w:r>
            <w:r>
              <w:rPr>
                <w:rFonts w:hint="eastAsia"/>
                <w:bCs/>
                <w:color w:val="000000" w:themeColor="text1"/>
                <w:sz w:val="24"/>
                <w:highlight w:val="none"/>
                <w14:textFill>
                  <w14:solidFill>
                    <w14:schemeClr w14:val="tx1"/>
                  </w14:solidFill>
                </w14:textFill>
              </w:rPr>
              <w:t>处置</w:t>
            </w:r>
            <w:r>
              <w:rPr>
                <w:rFonts w:hint="eastAsia"/>
                <w:bCs/>
                <w:color w:val="000000" w:themeColor="text1"/>
                <w:sz w:val="24"/>
                <w:szCs w:val="24"/>
                <w:highlight w:val="none"/>
                <w:u w:val="none"/>
                <w:lang w:val="en-US" w:eastAsia="zh-CN"/>
                <w14:textFill>
                  <w14:solidFill>
                    <w14:schemeClr w14:val="tx1"/>
                  </w14:solidFill>
                </w14:textFill>
              </w:rPr>
              <w:t>。</w:t>
            </w:r>
          </w:p>
          <w:p w14:paraId="7E031A6F">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晶体生产过程中使用清洗剂进行清洗产生的清洗废液属于危废，产生量为113.44t/a，收集后暂存于危废贮存库，委托福建绿洲固体废物处置有限公司进行</w:t>
            </w:r>
            <w:r>
              <w:rPr>
                <w:rFonts w:hint="eastAsia"/>
                <w:bCs/>
                <w:color w:val="000000" w:themeColor="text1"/>
                <w:sz w:val="24"/>
                <w:highlight w:val="none"/>
                <w14:textFill>
                  <w14:solidFill>
                    <w14:schemeClr w14:val="tx1"/>
                  </w14:solidFill>
                </w14:textFill>
              </w:rPr>
              <w:t>处置</w:t>
            </w:r>
            <w:r>
              <w:rPr>
                <w:rFonts w:hint="eastAsia"/>
                <w:bCs/>
                <w:color w:val="000000" w:themeColor="text1"/>
                <w:sz w:val="24"/>
                <w:szCs w:val="24"/>
                <w:highlight w:val="none"/>
                <w:u w:val="none"/>
                <w:lang w:val="en-US" w:eastAsia="zh-CN"/>
                <w14:textFill>
                  <w14:solidFill>
                    <w14:schemeClr w14:val="tx1"/>
                  </w14:solidFill>
                </w14:textFill>
              </w:rPr>
              <w:t>。</w:t>
            </w:r>
          </w:p>
          <w:p w14:paraId="419EE34A">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设备维修及保养过程中会产生含油抹布，产生量0.002t/a。收集后暂存于危废贮存库，</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委托福建绿洲固体废物处置有限公司进行</w:t>
            </w:r>
            <w:r>
              <w:rPr>
                <w:rFonts w:hint="eastAsia"/>
                <w:bCs/>
                <w:color w:val="000000" w:themeColor="text1"/>
                <w:sz w:val="24"/>
                <w:highlight w:val="none"/>
                <w14:textFill>
                  <w14:solidFill>
                    <w14:schemeClr w14:val="tx1"/>
                  </w14:solidFill>
                </w14:textFill>
              </w:rPr>
              <w:t>处置</w:t>
            </w:r>
            <w:r>
              <w:rPr>
                <w:rFonts w:hint="eastAsia"/>
                <w:bCs/>
                <w:color w:val="000000" w:themeColor="text1"/>
                <w:sz w:val="24"/>
                <w:szCs w:val="24"/>
                <w:highlight w:val="none"/>
                <w:u w:val="none"/>
                <w:lang w:val="en-US" w:eastAsia="zh-CN"/>
                <w14:textFill>
                  <w14:solidFill>
                    <w14:schemeClr w14:val="tx1"/>
                  </w14:solidFill>
                </w14:textFill>
              </w:rPr>
              <w:t>。</w:t>
            </w:r>
          </w:p>
          <w:p w14:paraId="32AF34C3">
            <w:pPr>
              <w:numPr>
                <w:ilvl w:val="0"/>
                <w:numId w:val="3"/>
              </w:num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生活垃圾年产生量约为20t，统一收集后</w:t>
            </w:r>
            <w:r>
              <w:rPr>
                <w:rFonts w:hint="eastAsia"/>
                <w:bCs/>
                <w:color w:val="000000" w:themeColor="text1"/>
                <w:sz w:val="24"/>
                <w:highlight w:val="none"/>
                <w14:textFill>
                  <w14:solidFill>
                    <w14:schemeClr w14:val="tx1"/>
                  </w14:solidFill>
                </w14:textFill>
              </w:rPr>
              <w:t>由企业</w:t>
            </w:r>
            <w:r>
              <w:rPr>
                <w:rFonts w:hint="eastAsia"/>
                <w:bCs/>
                <w:color w:val="000000" w:themeColor="text1"/>
                <w:sz w:val="24"/>
                <w:szCs w:val="24"/>
                <w:highlight w:val="none"/>
                <w:u w:val="none"/>
                <w:lang w:val="en-US" w:eastAsia="zh-CN"/>
                <w14:textFill>
                  <w14:solidFill>
                    <w14:schemeClr w14:val="tx1"/>
                  </w14:solidFill>
                </w14:textFill>
              </w:rPr>
              <w:t>全部委托环卫部门定期外运统一处理。</w:t>
            </w:r>
          </w:p>
          <w:p w14:paraId="600B21AD">
            <w:pPr>
              <w:spacing w:line="360" w:lineRule="auto"/>
              <w:ind w:firstLine="480" w:firstLineChars="200"/>
              <w:rPr>
                <w:rFonts w:hint="default"/>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(五)污染物排放总量</w:t>
            </w:r>
          </w:p>
          <w:p w14:paraId="540119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根据《福建至期光子科技有限公司GE项目改造工程竣工环境保护验收监测报告表》</w:t>
            </w:r>
            <w:r>
              <w:rPr>
                <w:rFonts w:hint="eastAsia" w:cs="Times New Roman"/>
                <w:bCs/>
                <w:color w:val="000000" w:themeColor="text1"/>
                <w:sz w:val="24"/>
                <w:szCs w:val="24"/>
                <w:highlight w:val="none"/>
                <w:u w:val="none"/>
                <w:lang w:val="en-US" w:eastAsia="zh-CN"/>
                <w14:textFill>
                  <w14:solidFill>
                    <w14:schemeClr w14:val="tx1"/>
                  </w14:solidFill>
                </w14:textFill>
              </w:rPr>
              <w:t>（2025年）</w:t>
            </w:r>
            <w:r>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，现有工程各污染物排放总量见下表。</w:t>
            </w:r>
          </w:p>
          <w:p w14:paraId="4B56295E">
            <w:pPr>
              <w:pStyle w:val="69"/>
              <w:spacing w:line="360" w:lineRule="auto"/>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w:t>
            </w:r>
            <w:r>
              <w:rPr>
                <w:rFonts w:hint="eastAsia" w:eastAsia="宋体" w:cs="宋体"/>
                <w:b/>
                <w:color w:val="000000" w:themeColor="text1"/>
                <w:kern w:val="2"/>
                <w:sz w:val="24"/>
                <w:szCs w:val="24"/>
                <w:highlight w:val="none"/>
                <w:lang w:val="en-US" w:eastAsia="zh-CN" w:bidi="ar-SA"/>
                <w14:textFill>
                  <w14:solidFill>
                    <w14:schemeClr w14:val="tx1"/>
                  </w14:solidFill>
                </w14:textFill>
              </w:rPr>
              <w:t xml:space="preserve">2.10-1  </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现有工程各污染物排放总量</w:t>
            </w:r>
          </w:p>
          <w:tbl>
            <w:tblPr>
              <w:tblStyle w:val="30"/>
              <w:tblW w:w="5000" w:type="pct"/>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65"/>
              <w:gridCol w:w="1465"/>
              <w:gridCol w:w="5224"/>
            </w:tblGrid>
            <w:tr w14:paraId="575FA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930" w:type="dxa"/>
                  <w:gridSpan w:val="2"/>
                  <w:tcBorders>
                    <w:tl2br w:val="nil"/>
                    <w:tr2bl w:val="nil"/>
                  </w:tcBorders>
                  <w:shd w:val="clear" w:color="auto" w:fill="auto"/>
                  <w:vAlign w:val="center"/>
                </w:tcPr>
                <w:p w14:paraId="4A66C8D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类别</w:t>
                  </w:r>
                </w:p>
              </w:tc>
              <w:tc>
                <w:tcPr>
                  <w:tcW w:w="5224" w:type="dxa"/>
                  <w:tcBorders>
                    <w:tl2br w:val="nil"/>
                    <w:tr2bl w:val="nil"/>
                  </w:tcBorders>
                  <w:shd w:val="clear" w:color="auto" w:fill="auto"/>
                  <w:vAlign w:val="center"/>
                </w:tcPr>
                <w:p w14:paraId="05F1751A">
                  <w:pPr>
                    <w:keepNext w:val="0"/>
                    <w:keepLines w:val="0"/>
                    <w:widowControl/>
                    <w:suppressLineNumbers w:val="0"/>
                    <w:jc w:val="center"/>
                    <w:textAlignment w:val="top"/>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现有工程实际排放量（t/a）</w:t>
                  </w:r>
                </w:p>
              </w:tc>
            </w:tr>
            <w:tr w14:paraId="6724D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65" w:type="dxa"/>
                  <w:vMerge w:val="restart"/>
                  <w:tcBorders>
                    <w:tl2br w:val="nil"/>
                    <w:tr2bl w:val="nil"/>
                  </w:tcBorders>
                  <w:shd w:val="clear" w:color="auto" w:fill="auto"/>
                  <w:vAlign w:val="center"/>
                </w:tcPr>
                <w:p w14:paraId="7DF10D4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废水</w:t>
                  </w:r>
                </w:p>
              </w:tc>
              <w:tc>
                <w:tcPr>
                  <w:tcW w:w="1465" w:type="dxa"/>
                  <w:tcBorders>
                    <w:tl2br w:val="nil"/>
                    <w:tr2bl w:val="nil"/>
                  </w:tcBorders>
                  <w:shd w:val="clear" w:color="auto" w:fill="auto"/>
                  <w:vAlign w:val="center"/>
                </w:tcPr>
                <w:p w14:paraId="07AE93C0">
                  <w:pPr>
                    <w:keepNext w:val="0"/>
                    <w:keepLines w:val="0"/>
                    <w:widowControl/>
                    <w:suppressLineNumbers w:val="0"/>
                    <w:jc w:val="center"/>
                    <w:textAlignment w:val="top"/>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废水量</w:t>
                  </w:r>
                </w:p>
              </w:tc>
              <w:tc>
                <w:tcPr>
                  <w:tcW w:w="5224" w:type="dxa"/>
                  <w:tcBorders>
                    <w:tl2br w:val="nil"/>
                    <w:tr2bl w:val="nil"/>
                  </w:tcBorders>
                  <w:shd w:val="clear" w:color="auto" w:fill="auto"/>
                  <w:vAlign w:val="center"/>
                </w:tcPr>
                <w:p w14:paraId="197F2DA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0.378</w:t>
                  </w:r>
                </w:p>
              </w:tc>
            </w:tr>
            <w:tr w14:paraId="11ECB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65" w:type="dxa"/>
                  <w:vMerge w:val="continue"/>
                  <w:tcBorders>
                    <w:tl2br w:val="nil"/>
                    <w:tr2bl w:val="nil"/>
                  </w:tcBorders>
                  <w:shd w:val="clear" w:color="auto" w:fill="auto"/>
                  <w:vAlign w:val="center"/>
                </w:tcPr>
                <w:p w14:paraId="4203528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465" w:type="dxa"/>
                  <w:tcBorders>
                    <w:tl2br w:val="nil"/>
                    <w:tr2bl w:val="nil"/>
                  </w:tcBorders>
                  <w:shd w:val="clear" w:color="auto" w:fill="auto"/>
                  <w:vAlign w:val="center"/>
                </w:tcPr>
                <w:p w14:paraId="65F6FD61">
                  <w:pPr>
                    <w:keepNext w:val="0"/>
                    <w:keepLines w:val="0"/>
                    <w:widowControl/>
                    <w:suppressLineNumbers w:val="0"/>
                    <w:jc w:val="center"/>
                    <w:textAlignment w:val="top"/>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COD</w:t>
                  </w:r>
                </w:p>
              </w:tc>
              <w:tc>
                <w:tcPr>
                  <w:tcW w:w="5224" w:type="dxa"/>
                  <w:tcBorders>
                    <w:tl2br w:val="nil"/>
                    <w:tr2bl w:val="nil"/>
                  </w:tcBorders>
                  <w:shd w:val="clear" w:color="auto" w:fill="auto"/>
                  <w:vAlign w:val="center"/>
                </w:tcPr>
                <w:p w14:paraId="33826A7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0.189</w:t>
                  </w:r>
                </w:p>
              </w:tc>
            </w:tr>
            <w:tr w14:paraId="1AC5A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465" w:type="dxa"/>
                  <w:vMerge w:val="continue"/>
                  <w:tcBorders>
                    <w:tl2br w:val="nil"/>
                    <w:tr2bl w:val="nil"/>
                  </w:tcBorders>
                  <w:shd w:val="clear" w:color="auto" w:fill="auto"/>
                  <w:vAlign w:val="center"/>
                </w:tcPr>
                <w:p w14:paraId="7E16F88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65" w:type="dxa"/>
                  <w:tcBorders>
                    <w:tl2br w:val="nil"/>
                    <w:tr2bl w:val="nil"/>
                  </w:tcBorders>
                  <w:shd w:val="clear" w:color="auto" w:fill="auto"/>
                  <w:vAlign w:val="center"/>
                </w:tcPr>
                <w:p w14:paraId="606591B8">
                  <w:pPr>
                    <w:keepNext w:val="0"/>
                    <w:keepLines w:val="0"/>
                    <w:widowControl/>
                    <w:suppressLineNumbers w:val="0"/>
                    <w:jc w:val="center"/>
                    <w:textAlignment w:val="top"/>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w:t>
                  </w:r>
                </w:p>
              </w:tc>
              <w:tc>
                <w:tcPr>
                  <w:tcW w:w="5224" w:type="dxa"/>
                  <w:tcBorders>
                    <w:tl2br w:val="nil"/>
                    <w:tr2bl w:val="nil"/>
                  </w:tcBorders>
                  <w:shd w:val="clear" w:color="auto" w:fill="auto"/>
                  <w:vAlign w:val="center"/>
                </w:tcPr>
                <w:p w14:paraId="295ED7E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0.019</w:t>
                  </w:r>
                </w:p>
              </w:tc>
            </w:tr>
            <w:tr w14:paraId="541B9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65" w:type="dxa"/>
                  <w:vMerge w:val="restart"/>
                  <w:tcBorders>
                    <w:tl2br w:val="nil"/>
                    <w:tr2bl w:val="nil"/>
                  </w:tcBorders>
                  <w:shd w:val="clear" w:color="auto" w:fill="auto"/>
                  <w:vAlign w:val="center"/>
                </w:tcPr>
                <w:p w14:paraId="196807AE">
                  <w:pPr>
                    <w:keepNext w:val="0"/>
                    <w:keepLines w:val="0"/>
                    <w:widowControl/>
                    <w:suppressLineNumbers w:val="0"/>
                    <w:jc w:val="center"/>
                    <w:textAlignment w:val="top"/>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废气</w:t>
                  </w:r>
                </w:p>
              </w:tc>
              <w:tc>
                <w:tcPr>
                  <w:tcW w:w="1465" w:type="dxa"/>
                  <w:tcBorders>
                    <w:tl2br w:val="nil"/>
                    <w:tr2bl w:val="nil"/>
                  </w:tcBorders>
                  <w:shd w:val="clear" w:color="auto" w:fill="auto"/>
                  <w:vAlign w:val="center"/>
                </w:tcPr>
                <w:p w14:paraId="44F7A2B3">
                  <w:pPr>
                    <w:keepNext w:val="0"/>
                    <w:keepLines w:val="0"/>
                    <w:widowControl/>
                    <w:suppressLineNumbers w:val="0"/>
                    <w:jc w:val="center"/>
                    <w:textAlignment w:val="top"/>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废气量</w:t>
                  </w:r>
                </w:p>
              </w:tc>
              <w:tc>
                <w:tcPr>
                  <w:tcW w:w="5224" w:type="dxa"/>
                  <w:tcBorders>
                    <w:tl2br w:val="nil"/>
                    <w:tr2bl w:val="nil"/>
                  </w:tcBorders>
                  <w:shd w:val="clear" w:color="auto" w:fill="auto"/>
                  <w:vAlign w:val="center"/>
                </w:tcPr>
                <w:p w14:paraId="58A4179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4270万m</w:t>
                  </w:r>
                  <w:r>
                    <w:rPr>
                      <w:rFonts w:hint="eastAsia" w:ascii="Times New Roman" w:hAnsi="Times New Roman" w:eastAsia="宋体" w:cs="Times New Roman"/>
                      <w:i w:val="0"/>
                      <w:iCs w:val="0"/>
                      <w:color w:val="000000" w:themeColor="text1"/>
                      <w:sz w:val="21"/>
                      <w:szCs w:val="21"/>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/a</w:t>
                  </w:r>
                </w:p>
              </w:tc>
            </w:tr>
            <w:tr w14:paraId="7C9AA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465" w:type="dxa"/>
                  <w:vMerge w:val="continue"/>
                  <w:tcBorders>
                    <w:tl2br w:val="nil"/>
                    <w:tr2bl w:val="nil"/>
                  </w:tcBorders>
                  <w:shd w:val="clear" w:color="auto" w:fill="auto"/>
                  <w:vAlign w:val="center"/>
                </w:tcPr>
                <w:p w14:paraId="352C795B">
                  <w:pPr>
                    <w:keepNext w:val="0"/>
                    <w:keepLines w:val="0"/>
                    <w:widowControl/>
                    <w:suppressLineNumbers w:val="0"/>
                    <w:jc w:val="center"/>
                    <w:textAlignment w:val="top"/>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1465" w:type="dxa"/>
                  <w:tcBorders>
                    <w:tl2br w:val="nil"/>
                    <w:tr2bl w:val="nil"/>
                  </w:tcBorders>
                  <w:shd w:val="clear" w:color="auto" w:fill="auto"/>
                  <w:vAlign w:val="center"/>
                </w:tcPr>
                <w:p w14:paraId="22AB758D">
                  <w:pPr>
                    <w:keepNext w:val="0"/>
                    <w:keepLines w:val="0"/>
                    <w:widowControl/>
                    <w:suppressLineNumbers w:val="0"/>
                    <w:jc w:val="center"/>
                    <w:textAlignment w:val="top"/>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粉尘/颗粒物</w:t>
                  </w:r>
                </w:p>
              </w:tc>
              <w:tc>
                <w:tcPr>
                  <w:tcW w:w="5224" w:type="dxa"/>
                  <w:tcBorders>
                    <w:tl2br w:val="nil"/>
                    <w:tr2bl w:val="nil"/>
                  </w:tcBorders>
                  <w:shd w:val="clear" w:color="auto" w:fill="auto"/>
                  <w:vAlign w:val="center"/>
                </w:tcPr>
                <w:p w14:paraId="6B5A986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0.0541</w:t>
                  </w:r>
                </w:p>
              </w:tc>
            </w:tr>
            <w:tr w14:paraId="6A1D6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65" w:type="dxa"/>
                  <w:vMerge w:val="continue"/>
                  <w:tcBorders>
                    <w:tl2br w:val="nil"/>
                    <w:tr2bl w:val="nil"/>
                  </w:tcBorders>
                  <w:shd w:val="clear" w:color="auto" w:fill="auto"/>
                  <w:vAlign w:val="center"/>
                </w:tcPr>
                <w:p w14:paraId="4CEFE73D">
                  <w:pPr>
                    <w:keepNext w:val="0"/>
                    <w:keepLines w:val="0"/>
                    <w:widowControl/>
                    <w:suppressLineNumbers w:val="0"/>
                    <w:jc w:val="center"/>
                    <w:textAlignment w:val="top"/>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1465" w:type="dxa"/>
                  <w:tcBorders>
                    <w:tl2br w:val="nil"/>
                    <w:tr2bl w:val="nil"/>
                  </w:tcBorders>
                  <w:shd w:val="clear" w:color="auto" w:fill="auto"/>
                  <w:vAlign w:val="center"/>
                </w:tcPr>
                <w:p w14:paraId="3AADBC1D">
                  <w:pPr>
                    <w:keepNext w:val="0"/>
                    <w:keepLines w:val="0"/>
                    <w:widowControl/>
                    <w:suppressLineNumbers w:val="0"/>
                    <w:jc w:val="center"/>
                    <w:textAlignment w:val="top"/>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非甲烷总烃</w:t>
                  </w:r>
                </w:p>
              </w:tc>
              <w:tc>
                <w:tcPr>
                  <w:tcW w:w="5224" w:type="dxa"/>
                  <w:tcBorders>
                    <w:tl2br w:val="nil"/>
                    <w:tr2bl w:val="nil"/>
                  </w:tcBorders>
                  <w:shd w:val="clear" w:color="auto" w:fill="auto"/>
                  <w:vAlign w:val="center"/>
                </w:tcPr>
                <w:p w14:paraId="451C7F5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0.3322</w:t>
                  </w:r>
                </w:p>
              </w:tc>
            </w:tr>
          </w:tbl>
          <w:p w14:paraId="19EDE121">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2.10.4小结</w:t>
            </w:r>
          </w:p>
          <w:p w14:paraId="2F527B78">
            <w:pPr>
              <w:spacing w:line="360" w:lineRule="auto"/>
              <w:ind w:firstLine="480" w:firstLineChars="200"/>
              <w:rPr>
                <w:rFonts w:hint="eastAsia"/>
                <w:color w:val="000000" w:themeColor="text1"/>
                <w:sz w:val="24"/>
                <w:szCs w:val="21"/>
                <w:highlight w:val="none"/>
                <w:lang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本项目为扩建项目，现有工程无</w:t>
            </w:r>
            <w:r>
              <w:rPr>
                <w:rFonts w:hint="eastAsia"/>
                <w:color w:val="000000" w:themeColor="text1"/>
                <w:sz w:val="24"/>
                <w:szCs w:val="21"/>
                <w:highlight w:val="none"/>
                <w14:textFill>
                  <w14:solidFill>
                    <w14:schemeClr w14:val="tx1"/>
                  </w14:solidFill>
                </w14:textFill>
              </w:rPr>
              <w:t>与</w:t>
            </w:r>
            <w:r>
              <w:rPr>
                <w:rFonts w:hint="eastAsia"/>
                <w:color w:val="000000" w:themeColor="text1"/>
                <w:sz w:val="24"/>
                <w:szCs w:val="21"/>
                <w:highlight w:val="none"/>
                <w:lang w:val="en-US" w:eastAsia="zh-CN"/>
                <w14:textFill>
                  <w14:solidFill>
                    <w14:schemeClr w14:val="tx1"/>
                  </w14:solidFill>
                </w14:textFill>
              </w:rPr>
              <w:t>本</w:t>
            </w:r>
            <w:r>
              <w:rPr>
                <w:rFonts w:hint="eastAsia"/>
                <w:color w:val="000000" w:themeColor="text1"/>
                <w:sz w:val="24"/>
                <w:szCs w:val="21"/>
                <w:highlight w:val="none"/>
                <w14:textFill>
                  <w14:solidFill>
                    <w14:schemeClr w14:val="tx1"/>
                  </w14:solidFill>
                </w14:textFill>
              </w:rPr>
              <w:t>项目有关的原有环境污染问题</w:t>
            </w:r>
            <w:r>
              <w:rPr>
                <w:rFonts w:hint="eastAsia"/>
                <w:color w:val="000000" w:themeColor="text1"/>
                <w:sz w:val="24"/>
                <w:szCs w:val="21"/>
                <w:highlight w:val="none"/>
                <w:lang w:eastAsia="zh-CN"/>
                <w14:textFill>
                  <w14:solidFill>
                    <w14:schemeClr w14:val="tx1"/>
                  </w14:solidFill>
                </w14:textFill>
              </w:rPr>
              <w:t>。</w:t>
            </w:r>
            <w:bookmarkEnd w:id="10"/>
          </w:p>
          <w:p w14:paraId="12F22D3D">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lang w:val="en-US" w:eastAsia="zh-CN"/>
                <w14:textFill>
                  <w14:solidFill>
                    <w14:schemeClr w14:val="tx1"/>
                  </w14:solidFill>
                </w14:textFill>
              </w:rPr>
              <w:t>现有工程环保设施后续要求：</w:t>
            </w:r>
            <w:r>
              <w:rPr>
                <w:rFonts w:hint="default"/>
                <w:bCs/>
                <w:color w:val="000000" w:themeColor="text1"/>
                <w:sz w:val="24"/>
                <w:szCs w:val="24"/>
                <w:highlight w:val="none"/>
                <w:u w:val="none"/>
                <w:lang w:val="en-US" w:eastAsia="zh-CN"/>
                <w14:textFill>
                  <w14:solidFill>
                    <w14:schemeClr w14:val="tx1"/>
                  </w14:solidFill>
                </w14:textFill>
              </w:rPr>
              <w:t>加强生产设备和环保设施的日常管理与监督检查工作，确保环保设施的正常运行，做到污染物能长期、稳定地达标排放</w:t>
            </w:r>
            <w:r>
              <w:rPr>
                <w:rFonts w:hint="eastAsia"/>
                <w:bCs/>
                <w:color w:val="000000" w:themeColor="text1"/>
                <w:sz w:val="24"/>
                <w:szCs w:val="24"/>
                <w:highlight w:val="none"/>
                <w:u w:val="none"/>
                <w:lang w:val="en-US" w:eastAsia="zh-CN"/>
                <w14:textFill>
                  <w14:solidFill>
                    <w14:schemeClr w14:val="tx1"/>
                  </w14:solidFill>
                </w14:textFill>
              </w:rPr>
              <w:t>；</w:t>
            </w:r>
            <w:r>
              <w:rPr>
                <w:rFonts w:hint="default"/>
                <w:bCs/>
                <w:color w:val="000000" w:themeColor="text1"/>
                <w:sz w:val="24"/>
                <w:szCs w:val="24"/>
                <w:highlight w:val="none"/>
                <w:u w:val="none"/>
                <w:lang w:val="en-US" w:eastAsia="zh-CN"/>
                <w14:textFill>
                  <w14:solidFill>
                    <w14:schemeClr w14:val="tx1"/>
                  </w14:solidFill>
                </w14:textFill>
              </w:rPr>
              <w:t>加强环境风险防范，进一步完善环保手续及相关环保制度</w:t>
            </w:r>
            <w:r>
              <w:rPr>
                <w:rFonts w:hint="eastAsia"/>
                <w:bCs/>
                <w:color w:val="000000" w:themeColor="text1"/>
                <w:sz w:val="24"/>
                <w:szCs w:val="24"/>
                <w:highlight w:val="none"/>
                <w:u w:val="none"/>
                <w:lang w:val="en-US" w:eastAsia="zh-CN"/>
                <w14:textFill>
                  <w14:solidFill>
                    <w14:schemeClr w14:val="tx1"/>
                  </w14:solidFill>
                </w14:textFill>
              </w:rPr>
              <w:t>；</w:t>
            </w:r>
            <w:r>
              <w:rPr>
                <w:rFonts w:hint="default"/>
                <w:bCs/>
                <w:color w:val="000000" w:themeColor="text1"/>
                <w:sz w:val="24"/>
                <w:szCs w:val="24"/>
                <w:highlight w:val="none"/>
                <w:u w:val="none"/>
                <w:lang w:val="en-US" w:eastAsia="zh-CN"/>
                <w14:textFill>
                  <w14:solidFill>
                    <w14:schemeClr w14:val="tx1"/>
                  </w14:solidFill>
                </w14:textFill>
              </w:rPr>
              <w:t>完善危险废物贮存间管理，做好相关台账及记录，明确标识及责任人。</w:t>
            </w:r>
          </w:p>
          <w:p w14:paraId="02B15D41">
            <w:pPr>
              <w:spacing w:line="360" w:lineRule="auto"/>
              <w:ind w:firstLine="480" w:firstLineChars="200"/>
              <w:rPr>
                <w:rFonts w:hint="eastAsia"/>
                <w:bCs/>
                <w:color w:val="000000" w:themeColor="text1"/>
                <w:sz w:val="24"/>
                <w:szCs w:val="24"/>
                <w:highlight w:val="none"/>
                <w:u w:val="none"/>
                <w:lang w:val="en-US" w:eastAsia="zh-CN"/>
                <w14:textFill>
                  <w14:solidFill>
                    <w14:schemeClr w14:val="tx1"/>
                  </w14:solidFill>
                </w14:textFill>
              </w:rPr>
            </w:pPr>
          </w:p>
        </w:tc>
      </w:tr>
    </w:tbl>
    <w:p w14:paraId="4E179582">
      <w:pPr>
        <w:pStyle w:val="26"/>
        <w:jc w:val="center"/>
        <w:rPr>
          <w:rFonts w:ascii="黑体" w:hAnsi="黑体" w:eastAsia="黑体"/>
          <w:snapToGrid w:val="0"/>
          <w:color w:val="000000" w:themeColor="text1"/>
          <w:sz w:val="36"/>
          <w:szCs w:val="36"/>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5E895F4">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11" w:name="_Toc483"/>
      <w:r>
        <w:rPr>
          <w:rFonts w:hint="eastAsia" w:ascii="黑体" w:hAnsi="黑体" w:eastAsia="黑体"/>
          <w:snapToGrid w:val="0"/>
          <w:color w:val="000000" w:themeColor="text1"/>
          <w:sz w:val="30"/>
          <w:szCs w:val="30"/>
          <w:highlight w:val="none"/>
          <w14:textFill>
            <w14:solidFill>
              <w14:schemeClr w14:val="tx1"/>
            </w14:solidFill>
          </w14:textFill>
        </w:rPr>
        <w:t>三、区域环境质量现状、环境保护目标及评价标准</w:t>
      </w:r>
      <w:bookmarkEnd w:id="11"/>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606"/>
        <w:gridCol w:w="32"/>
      </w:tblGrid>
      <w:tr w14:paraId="15246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423" w:type="dxa"/>
            <w:vAlign w:val="center"/>
          </w:tcPr>
          <w:p w14:paraId="46CD64D1">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区域</w:t>
            </w:r>
          </w:p>
          <w:p w14:paraId="50A18216">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14:paraId="5F086FDD">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质量</w:t>
            </w:r>
          </w:p>
          <w:p w14:paraId="61B86460">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现状</w:t>
            </w:r>
          </w:p>
        </w:tc>
        <w:tc>
          <w:tcPr>
            <w:tcW w:w="8638" w:type="dxa"/>
            <w:gridSpan w:val="2"/>
            <w:vAlign w:val="center"/>
          </w:tcPr>
          <w:p w14:paraId="768F8E26">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3.1</w:t>
            </w:r>
            <w:r>
              <w:rPr>
                <w:rFonts w:hint="eastAsia"/>
                <w:color w:val="000000" w:themeColor="text1"/>
                <w:sz w:val="24"/>
                <w:szCs w:val="21"/>
                <w:highlight w:val="none"/>
                <w14:textFill>
                  <w14:solidFill>
                    <w14:schemeClr w14:val="tx1"/>
                  </w14:solidFill>
                </w14:textFill>
              </w:rPr>
              <w:t>大气环境质量现状</w:t>
            </w:r>
          </w:p>
          <w:p w14:paraId="7C4D47B4">
            <w:pPr>
              <w:spacing w:line="360" w:lineRule="auto"/>
              <w:ind w:firstLine="480" w:firstLineChars="200"/>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一、</w:t>
            </w:r>
            <w:r>
              <w:rPr>
                <w:rFonts w:hint="eastAsia" w:cs="宋体"/>
                <w:color w:val="000000" w:themeColor="text1"/>
                <w:sz w:val="24"/>
                <w:szCs w:val="24"/>
                <w:highlight w:val="none"/>
                <w14:textFill>
                  <w14:solidFill>
                    <w14:schemeClr w14:val="tx1"/>
                  </w14:solidFill>
                </w14:textFill>
              </w:rPr>
              <w:t>区域环境质量达标分析</w:t>
            </w:r>
          </w:p>
          <w:p w14:paraId="31F71960">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项目位于</w:t>
            </w:r>
            <w:r>
              <w:rPr>
                <w:rFonts w:hint="eastAsia" w:cs="宋体"/>
                <w:color w:val="000000" w:themeColor="text1"/>
                <w:sz w:val="24"/>
                <w:szCs w:val="32"/>
                <w:highlight w:val="none"/>
                <w:lang w:val="en-US" w:eastAsia="zh-CN"/>
                <w14:textFill>
                  <w14:solidFill>
                    <w14:schemeClr w14:val="tx1"/>
                  </w14:solidFill>
                </w14:textFill>
              </w:rPr>
              <w:t>福州市</w:t>
            </w:r>
            <w:r>
              <w:rPr>
                <w:rFonts w:hint="eastAsia" w:cs="宋体"/>
                <w:color w:val="000000" w:themeColor="text1"/>
                <w:sz w:val="24"/>
                <w:szCs w:val="32"/>
                <w:highlight w:val="none"/>
                <w:lang w:eastAsia="zh-CN"/>
                <w14:textFill>
                  <w14:solidFill>
                    <w14:schemeClr w14:val="tx1"/>
                  </w14:solidFill>
                </w14:textFill>
              </w:rPr>
              <w:t>闽侯县</w:t>
            </w:r>
            <w:r>
              <w:rPr>
                <w:rFonts w:hint="eastAsia" w:cs="宋体"/>
                <w:color w:val="000000" w:themeColor="text1"/>
                <w:sz w:val="24"/>
                <w:szCs w:val="32"/>
                <w:highlight w:val="none"/>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位于环境空气二类区。</w:t>
            </w:r>
            <w:r>
              <w:rPr>
                <w:rFonts w:hint="eastAsia" w:cs="宋体"/>
                <w:color w:val="000000" w:themeColor="text1"/>
                <w:sz w:val="24"/>
                <w:szCs w:val="32"/>
                <w:highlight w:val="none"/>
                <w14:textFill>
                  <w14:solidFill>
                    <w14:schemeClr w14:val="tx1"/>
                  </w14:solidFill>
                </w14:textFill>
              </w:rPr>
              <w:t>为了解项目所在区域大气环境质量现状</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本次评价收集</w:t>
            </w:r>
            <w:r>
              <w:rPr>
                <w:rFonts w:hint="eastAsia" w:cs="宋体"/>
                <w:color w:val="000000" w:themeColor="text1"/>
                <w:sz w:val="24"/>
                <w:szCs w:val="32"/>
                <w:highlight w:val="none"/>
                <w:lang w:val="en-US" w:eastAsia="zh-CN"/>
                <w14:textFill>
                  <w14:solidFill>
                    <w14:schemeClr w14:val="tx1"/>
                  </w14:solidFill>
                </w14:textFill>
              </w:rPr>
              <w:t>福州高新技术产业开发区管委会发布的2024年1月~12月份</w:t>
            </w:r>
            <w:r>
              <w:rPr>
                <w:rFonts w:hint="eastAsia" w:cs="宋体"/>
                <w:color w:val="000000" w:themeColor="text1"/>
                <w:sz w:val="24"/>
                <w:szCs w:val="32"/>
                <w:highlight w:val="none"/>
                <w14:textFill>
                  <w14:solidFill>
                    <w14:schemeClr w14:val="tx1"/>
                  </w14:solidFill>
                </w14:textFill>
              </w:rPr>
              <w:t>福州高新区</w:t>
            </w:r>
            <w:r>
              <w:rPr>
                <w:rFonts w:hint="eastAsia" w:cs="宋体"/>
                <w:color w:val="000000" w:themeColor="text1"/>
                <w:sz w:val="24"/>
                <w:szCs w:val="32"/>
                <w:highlight w:val="none"/>
                <w:lang w:val="en-US" w:eastAsia="zh-CN"/>
                <w14:textFill>
                  <w14:solidFill>
                    <w14:schemeClr w14:val="tx1"/>
                  </w14:solidFill>
                </w14:textFill>
              </w:rPr>
              <w:t>环境空气质量月报，2024年连续1年的大气常规因子环境空气质量监测数据如下。</w:t>
            </w:r>
          </w:p>
          <w:p w14:paraId="37E0C21D">
            <w:pPr>
              <w:pStyle w:val="69"/>
              <w:spacing w:line="360" w:lineRule="auto"/>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宋体"/>
                <w:b/>
                <w:color w:val="000000" w:themeColor="text1"/>
                <w:kern w:val="2"/>
                <w:sz w:val="24"/>
                <w:szCs w:val="24"/>
                <w:highlight w:val="none"/>
                <w:lang w:val="zh-CN" w:eastAsia="zh-CN" w:bidi="ar-SA"/>
                <w14:textFill>
                  <w14:solidFill>
                    <w14:schemeClr w14:val="tx1"/>
                  </w14:solidFill>
                </w14:textFill>
              </w:rPr>
              <w:t>表3.1-</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1  </w:t>
            </w:r>
            <w:r>
              <w:rPr>
                <w:rFonts w:hint="eastAsia" w:ascii="Times New Roman" w:hAnsi="Times New Roman" w:eastAsia="宋体" w:cs="宋体"/>
                <w:b/>
                <w:color w:val="000000" w:themeColor="text1"/>
                <w:kern w:val="2"/>
                <w:sz w:val="24"/>
                <w:szCs w:val="24"/>
                <w:highlight w:val="none"/>
                <w:lang w:val="zh-CN" w:eastAsia="zh-CN" w:bidi="ar-SA"/>
                <w14:textFill>
                  <w14:solidFill>
                    <w14:schemeClr w14:val="tx1"/>
                  </w14:solidFill>
                </w14:textFill>
              </w:rPr>
              <w:t>福州高新区</w:t>
            </w:r>
            <w:r>
              <w:rPr>
                <w:rFonts w:hint="default" w:ascii="Times New Roman" w:hAnsi="Times New Roman" w:eastAsia="宋体" w:cs="宋体"/>
                <w:b/>
                <w:color w:val="000000" w:themeColor="text1"/>
                <w:kern w:val="2"/>
                <w:sz w:val="24"/>
                <w:szCs w:val="24"/>
                <w:highlight w:val="none"/>
                <w:lang w:val="zh-CN" w:eastAsia="zh-CN" w:bidi="ar-SA"/>
                <w14:textFill>
                  <w14:solidFill>
                    <w14:schemeClr w14:val="tx1"/>
                  </w14:solidFill>
                </w14:textFill>
              </w:rPr>
              <w:t>202</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宋体"/>
                <w:b/>
                <w:color w:val="000000" w:themeColor="text1"/>
                <w:kern w:val="2"/>
                <w:sz w:val="24"/>
                <w:szCs w:val="24"/>
                <w:highlight w:val="none"/>
                <w:lang w:val="zh-CN" w:eastAsia="zh-CN" w:bidi="ar-SA"/>
                <w14:textFill>
                  <w14:solidFill>
                    <w14:schemeClr w14:val="tx1"/>
                  </w14:solidFill>
                </w14:textFill>
              </w:rPr>
              <w:t>年1月~1</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宋体"/>
                <w:b/>
                <w:color w:val="000000" w:themeColor="text1"/>
                <w:kern w:val="2"/>
                <w:sz w:val="24"/>
                <w:szCs w:val="24"/>
                <w:highlight w:val="none"/>
                <w:lang w:val="zh-CN" w:eastAsia="zh-CN" w:bidi="ar-SA"/>
                <w14:textFill>
                  <w14:solidFill>
                    <w14:schemeClr w14:val="tx1"/>
                  </w14:solidFill>
                </w14:textFill>
              </w:rPr>
              <w:t>月环境空气质量统计</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情况一览表</w:t>
            </w:r>
          </w:p>
          <w:tbl>
            <w:tblPr>
              <w:tblStyle w:val="30"/>
              <w:tblW w:w="84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57" w:type="dxa"/>
                <w:bottom w:w="0" w:type="dxa"/>
                <w:right w:w="57" w:type="dxa"/>
              </w:tblCellMar>
            </w:tblPr>
            <w:tblGrid>
              <w:gridCol w:w="1435"/>
              <w:gridCol w:w="1164"/>
              <w:gridCol w:w="1164"/>
              <w:gridCol w:w="1164"/>
              <w:gridCol w:w="1164"/>
              <w:gridCol w:w="1164"/>
              <w:gridCol w:w="1167"/>
            </w:tblGrid>
            <w:tr w14:paraId="5DB1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473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时间</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802C">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SO</w:t>
                  </w:r>
                  <w:r>
                    <w:rPr>
                      <w:rFonts w:hint="eastAsia" w:ascii="Times New Roman" w:hAnsi="Times New Roman" w:eastAsia="宋体" w:cs="Times New Roman"/>
                      <w:b/>
                      <w:bCs/>
                      <w:i w:val="0"/>
                      <w:iCs w:val="0"/>
                      <w:color w:val="000000" w:themeColor="text1"/>
                      <w:kern w:val="0"/>
                      <w:sz w:val="21"/>
                      <w:szCs w:val="21"/>
                      <w:highlight w:val="none"/>
                      <w:u w:val="none"/>
                      <w:vertAlign w:val="subscript"/>
                      <w:lang w:val="en-US" w:eastAsia="zh-CN" w:bidi="ar"/>
                      <w14:textFill>
                        <w14:solidFill>
                          <w14:schemeClr w14:val="tx1"/>
                        </w14:solidFill>
                      </w14:textFill>
                    </w:rPr>
                    <w:t>2</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（μg/m</w:t>
                  </w:r>
                  <w:r>
                    <w:rPr>
                      <w:rFonts w:hint="eastAsia"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FB92">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NO</w:t>
                  </w:r>
                  <w:r>
                    <w:rPr>
                      <w:rFonts w:hint="eastAsia" w:ascii="Times New Roman" w:hAnsi="Times New Roman" w:eastAsia="宋体" w:cs="Times New Roman"/>
                      <w:b/>
                      <w:bCs/>
                      <w:i w:val="0"/>
                      <w:iCs w:val="0"/>
                      <w:color w:val="000000" w:themeColor="text1"/>
                      <w:kern w:val="0"/>
                      <w:sz w:val="21"/>
                      <w:szCs w:val="21"/>
                      <w:highlight w:val="none"/>
                      <w:u w:val="none"/>
                      <w:vertAlign w:val="subscript"/>
                      <w:lang w:val="en-US" w:eastAsia="zh-CN" w:bidi="ar"/>
                      <w14:textFill>
                        <w14:solidFill>
                          <w14:schemeClr w14:val="tx1"/>
                        </w14:solidFill>
                      </w14:textFill>
                    </w:rPr>
                    <w:t>2</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（μg/m</w:t>
                  </w:r>
                  <w:r>
                    <w:rPr>
                      <w:rFonts w:hint="eastAsia"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0C07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PM</w:t>
                  </w:r>
                  <w:r>
                    <w:rPr>
                      <w:rFonts w:hint="eastAsia" w:ascii="Times New Roman" w:hAnsi="Times New Roman" w:eastAsia="宋体" w:cs="Times New Roman"/>
                      <w:b/>
                      <w:bCs/>
                      <w:i w:val="0"/>
                      <w:iCs w:val="0"/>
                      <w:color w:val="000000" w:themeColor="text1"/>
                      <w:kern w:val="0"/>
                      <w:sz w:val="21"/>
                      <w:szCs w:val="21"/>
                      <w:highlight w:val="none"/>
                      <w:u w:val="none"/>
                      <w:vertAlign w:val="subscript"/>
                      <w:lang w:val="en-US" w:eastAsia="zh-CN" w:bidi="ar"/>
                      <w14:textFill>
                        <w14:solidFill>
                          <w14:schemeClr w14:val="tx1"/>
                        </w14:solidFill>
                      </w14:textFill>
                    </w:rPr>
                    <w:t>10</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（μg/m</w:t>
                  </w:r>
                  <w:r>
                    <w:rPr>
                      <w:rFonts w:hint="eastAsia"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9E54">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PM</w:t>
                  </w:r>
                  <w:r>
                    <w:rPr>
                      <w:rFonts w:hint="eastAsia" w:ascii="Times New Roman" w:hAnsi="Times New Roman" w:eastAsia="宋体" w:cs="Times New Roman"/>
                      <w:b/>
                      <w:bCs/>
                      <w:i w:val="0"/>
                      <w:iCs w:val="0"/>
                      <w:color w:val="000000" w:themeColor="text1"/>
                      <w:kern w:val="0"/>
                      <w:sz w:val="21"/>
                      <w:szCs w:val="21"/>
                      <w:highlight w:val="none"/>
                      <w:u w:val="none"/>
                      <w:vertAlign w:val="subscript"/>
                      <w:lang w:val="en-US" w:eastAsia="zh-CN" w:bidi="ar"/>
                      <w14:textFill>
                        <w14:solidFill>
                          <w14:schemeClr w14:val="tx1"/>
                        </w14:solidFill>
                      </w14:textFill>
                    </w:rPr>
                    <w:t>2.5</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（μg/m</w:t>
                  </w:r>
                  <w:r>
                    <w:rPr>
                      <w:rFonts w:hint="eastAsia"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DD1E">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CO（mg/m</w:t>
                  </w:r>
                  <w:r>
                    <w:rPr>
                      <w:rFonts w:hint="eastAsia"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8743">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O</w:t>
                  </w:r>
                  <w:r>
                    <w:rPr>
                      <w:rFonts w:hint="eastAsia" w:ascii="Times New Roman" w:hAnsi="Times New Roman" w:eastAsia="宋体" w:cs="Times New Roman"/>
                      <w:b/>
                      <w:bCs/>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（μg/m</w:t>
                  </w:r>
                  <w:r>
                    <w:rPr>
                      <w:rFonts w:hint="eastAsia"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r>
            <w:tr w14:paraId="1CDC5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31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2024年1月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21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878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38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2C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EC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AD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110</w:t>
                  </w:r>
                </w:p>
              </w:tc>
            </w:tr>
            <w:tr w14:paraId="78C30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B4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76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EE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9A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E8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5D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8F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87</w:t>
                  </w:r>
                </w:p>
              </w:tc>
            </w:tr>
            <w:tr w14:paraId="3DC1F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39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15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77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28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9C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30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AD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114</w:t>
                  </w:r>
                </w:p>
              </w:tc>
            </w:tr>
            <w:tr w14:paraId="0C883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9D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8B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70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21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35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57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D5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106</w:t>
                  </w:r>
                </w:p>
              </w:tc>
            </w:tr>
            <w:tr w14:paraId="6E23C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04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7B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B8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56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C9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F7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1F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142</w:t>
                  </w:r>
                </w:p>
              </w:tc>
            </w:tr>
            <w:tr w14:paraId="28CAE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97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7F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CC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D1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91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8A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3F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108</w:t>
                  </w:r>
                </w:p>
              </w:tc>
            </w:tr>
            <w:tr w14:paraId="64AF2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35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AF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54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AD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66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E5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4C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112</w:t>
                  </w:r>
                </w:p>
              </w:tc>
            </w:tr>
            <w:tr w14:paraId="6D591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EC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04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93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BE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5C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14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D4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140</w:t>
                  </w:r>
                </w:p>
              </w:tc>
            </w:tr>
            <w:tr w14:paraId="23B55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9A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96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D1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36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35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9B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26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105</w:t>
                  </w:r>
                </w:p>
              </w:tc>
            </w:tr>
            <w:tr w14:paraId="42BDC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59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BF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66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7C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0B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87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3A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118</w:t>
                  </w:r>
                </w:p>
              </w:tc>
            </w:tr>
            <w:tr w14:paraId="6C5CB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21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28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80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CC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17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43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03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w:t>
                  </w:r>
                </w:p>
              </w:tc>
            </w:tr>
            <w:tr w14:paraId="20ACF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18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2024年</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89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04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91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A0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10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7B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102</w:t>
                  </w:r>
                </w:p>
              </w:tc>
            </w:tr>
            <w:tr w14:paraId="324B6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31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环境空气质量标准</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（二级）</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69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00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9E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24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41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28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160</w:t>
                  </w:r>
                </w:p>
              </w:tc>
            </w:tr>
            <w:tr w14:paraId="333D4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21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达标情况</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21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0E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D3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F2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F6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4E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bl>
          <w:p w14:paraId="085B4416">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由上表可知，</w:t>
            </w:r>
            <w:r>
              <w:rPr>
                <w:rFonts w:hint="eastAsia" w:cs="宋体"/>
                <w:color w:val="000000" w:themeColor="text1"/>
                <w:sz w:val="24"/>
                <w:szCs w:val="32"/>
                <w:highlight w:val="none"/>
                <w14:textFill>
                  <w14:solidFill>
                    <w14:schemeClr w14:val="tx1"/>
                  </w14:solidFill>
                </w14:textFill>
              </w:rPr>
              <w:t>福州高新区</w:t>
            </w:r>
            <w:r>
              <w:rPr>
                <w:rFonts w:hint="eastAsia" w:cs="宋体"/>
                <w:color w:val="000000" w:themeColor="text1"/>
                <w:sz w:val="24"/>
                <w:szCs w:val="32"/>
                <w:highlight w:val="none"/>
                <w:lang w:val="en-US" w:eastAsia="zh-CN"/>
                <w14:textFill>
                  <w14:solidFill>
                    <w14:schemeClr w14:val="tx1"/>
                  </w14:solidFill>
                </w14:textFill>
              </w:rPr>
              <w:t>2024年1月~2024年12月份空气环境中SO</w:t>
            </w:r>
            <w:r>
              <w:rPr>
                <w:rFonts w:hint="eastAsia" w:cs="宋体"/>
                <w:color w:val="000000" w:themeColor="text1"/>
                <w:sz w:val="24"/>
                <w:szCs w:val="32"/>
                <w:highlight w:val="none"/>
                <w:vertAlign w:val="subscript"/>
                <w:lang w:val="en-US" w:eastAsia="zh-CN"/>
                <w14:textFill>
                  <w14:solidFill>
                    <w14:schemeClr w14:val="tx1"/>
                  </w14:solidFill>
                </w14:textFill>
              </w:rPr>
              <w:t>2</w:t>
            </w:r>
            <w:r>
              <w:rPr>
                <w:rFonts w:hint="eastAsia" w:cs="宋体"/>
                <w:color w:val="000000" w:themeColor="text1"/>
                <w:sz w:val="24"/>
                <w:szCs w:val="32"/>
                <w:highlight w:val="none"/>
                <w:lang w:val="en-US" w:eastAsia="zh-CN"/>
                <w14:textFill>
                  <w14:solidFill>
                    <w14:schemeClr w14:val="tx1"/>
                  </w14:solidFill>
                </w14:textFill>
              </w:rPr>
              <w:t>等6个基本污染物均未超过环境空气质量二级标准，福州高新区属于大气环境达标区。因此，项目所在区域属于大气环境达标区。</w:t>
            </w:r>
          </w:p>
          <w:p w14:paraId="30AEE864">
            <w:pPr>
              <w:spacing w:before="120" w:beforeLines="50" w:line="360" w:lineRule="auto"/>
              <w:ind w:firstLine="480" w:firstLineChars="200"/>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二、其他污染物</w:t>
            </w:r>
          </w:p>
          <w:p w14:paraId="72F8C75B">
            <w:pPr>
              <w:spacing w:line="360" w:lineRule="auto"/>
              <w:ind w:firstLine="480" w:firstLineChars="200"/>
              <w:rPr>
                <w:rFonts w:hint="eastAsia"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根据环境影响评价网(生态环境部环境工程评估中心)关于《建设项目环境影响报告表》内容、格式及编制技术指南常见问题解答</w:t>
            </w: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技术指南中提到“排放国家、地方环境空气质量标准中有标准限值要求的特征污染物”，其中环境空气质量标准指《环境空气质量标准》(GB3095)和地方的环境空气质量标准，不包括《环境影响评价技术导则 大气环境》(</w:t>
            </w:r>
            <w:r>
              <w:rPr>
                <w:rFonts w:hint="eastAsia" w:cs="宋体"/>
                <w:color w:val="000000" w:themeColor="text1"/>
                <w:sz w:val="24"/>
                <w:szCs w:val="24"/>
                <w:highlight w:val="none"/>
                <w:lang w:val="en-US" w:eastAsia="zh-CN"/>
                <w14:textFill>
                  <w14:solidFill>
                    <w14:schemeClr w14:val="tx1"/>
                  </w14:solidFill>
                </w14:textFill>
              </w:rPr>
              <w:t>HJ</w:t>
            </w:r>
            <w:r>
              <w:rPr>
                <w:rFonts w:hint="eastAsia" w:cs="宋体"/>
                <w:color w:val="000000" w:themeColor="text1"/>
                <w:sz w:val="24"/>
                <w:szCs w:val="24"/>
                <w:highlight w:val="none"/>
                <w14:textFill>
                  <w14:solidFill>
                    <w14:schemeClr w14:val="tx1"/>
                  </w14:solidFill>
                </w14:textFill>
              </w:rPr>
              <w:t>2.2-2018)附录 D、《工业企业设计卫生标准》(TJ36-97)、《前苏联居住区标准》(CH245-71)、《环境影响评价技术导则 制药建设项目》</w:t>
            </w:r>
            <w:r>
              <w:rPr>
                <w:rFonts w:hint="eastAsia" w:cs="宋体"/>
                <w:color w:val="000000" w:themeColor="text1"/>
                <w:sz w:val="24"/>
                <w:szCs w:val="24"/>
                <w:highlight w:val="none"/>
                <w:lang w:val="en-US" w:eastAsia="zh-CN"/>
                <w14:textFill>
                  <w14:solidFill>
                    <w14:schemeClr w14:val="tx1"/>
                  </w14:solidFill>
                </w14:textFill>
              </w:rPr>
              <w:t>(HJ</w:t>
            </w:r>
            <w:r>
              <w:rPr>
                <w:rFonts w:hint="eastAsia" w:cs="宋体"/>
                <w:color w:val="000000" w:themeColor="text1"/>
                <w:sz w:val="24"/>
                <w:szCs w:val="24"/>
                <w:highlight w:val="none"/>
                <w14:textFill>
                  <w14:solidFill>
                    <w14:schemeClr w14:val="tx1"/>
                  </w14:solidFill>
                </w14:textFill>
              </w:rPr>
              <w:t>611-2011)、《大气污染物综合排放标准详解》等导则或参考资料。排放的特征污染物需要在国家、地方环境空气质量标准中有限值要求才涉及现状监测，且优先引用现有监测数据”</w:t>
            </w:r>
            <w:r>
              <w:rPr>
                <w:rFonts w:hint="eastAsia" w:cs="宋体"/>
                <w:color w:val="000000" w:themeColor="text1"/>
                <w:sz w:val="24"/>
                <w:szCs w:val="24"/>
                <w:highlight w:val="none"/>
                <w:lang w:eastAsia="zh-CN"/>
                <w14:textFill>
                  <w14:solidFill>
                    <w14:schemeClr w14:val="tx1"/>
                  </w14:solidFill>
                </w14:textFill>
              </w:rPr>
              <w:t>。</w:t>
            </w:r>
          </w:p>
          <w:p w14:paraId="7147C2F9">
            <w:pPr>
              <w:spacing w:line="360" w:lineRule="auto"/>
              <w:ind w:firstLine="480" w:firstLineChars="200"/>
              <w:rPr>
                <w:rFonts w:hint="default"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本项目排放的其他</w:t>
            </w:r>
            <w:r>
              <w:rPr>
                <w:rFonts w:hint="eastAsia" w:cs="宋体"/>
                <w:color w:val="000000" w:themeColor="text1"/>
                <w:sz w:val="24"/>
                <w:szCs w:val="24"/>
                <w:highlight w:val="none"/>
                <w:lang w:eastAsia="zh-CN"/>
                <w14:textFill>
                  <w14:solidFill>
                    <w14:schemeClr w14:val="tx1"/>
                  </w14:solidFill>
                </w14:textFill>
              </w:rPr>
              <w:t>污染物</w:t>
            </w:r>
            <w:r>
              <w:rPr>
                <w:rFonts w:hint="eastAsia" w:cs="宋体"/>
                <w:color w:val="000000" w:themeColor="text1"/>
                <w:sz w:val="24"/>
                <w:szCs w:val="24"/>
                <w:highlight w:val="none"/>
                <w:lang w:val="en-US" w:eastAsia="zh-CN"/>
                <w14:textFill>
                  <w14:solidFill>
                    <w14:schemeClr w14:val="tx1"/>
                  </w14:solidFill>
                </w14:textFill>
              </w:rPr>
              <w:t>中，仅氟化物和TSP</w:t>
            </w:r>
            <w:r>
              <w:rPr>
                <w:rFonts w:hint="eastAsia" w:cs="宋体"/>
                <w:color w:val="000000" w:themeColor="text1"/>
                <w:sz w:val="24"/>
                <w:szCs w:val="24"/>
                <w:highlight w:val="none"/>
                <w14:textFill>
                  <w14:solidFill>
                    <w14:schemeClr w14:val="tx1"/>
                  </w14:solidFill>
                </w14:textFill>
              </w:rPr>
              <w:t>属于《环境空气质量标准》(GB3095-20</w:t>
            </w:r>
            <w:r>
              <w:rPr>
                <w:rFonts w:hint="eastAsia" w:cs="宋体"/>
                <w:color w:val="000000" w:themeColor="text1"/>
                <w:sz w:val="24"/>
                <w:szCs w:val="24"/>
                <w:highlight w:val="none"/>
                <w:lang w:val="en-US" w:eastAsia="zh-CN"/>
                <w14:textFill>
                  <w14:solidFill>
                    <w14:schemeClr w14:val="tx1"/>
                  </w14:solidFill>
                </w14:textFill>
              </w:rPr>
              <w:t>26</w:t>
            </w:r>
            <w:r>
              <w:rPr>
                <w:rFonts w:hint="eastAsia" w:cs="宋体"/>
                <w:color w:val="000000" w:themeColor="text1"/>
                <w:sz w:val="24"/>
                <w:szCs w:val="24"/>
                <w:highlight w:val="none"/>
                <w14:textFill>
                  <w14:solidFill>
                    <w14:schemeClr w14:val="tx1"/>
                  </w14:solidFill>
                </w14:textFill>
              </w:rPr>
              <w:t>)和地方的环境空气质量中有标准限值要求的污染物，因此，</w:t>
            </w:r>
            <w:r>
              <w:rPr>
                <w:rFonts w:hint="eastAsia" w:cs="宋体"/>
                <w:color w:val="000000" w:themeColor="text1"/>
                <w:sz w:val="24"/>
                <w:szCs w:val="24"/>
                <w:highlight w:val="none"/>
                <w:lang w:val="en-US" w:eastAsia="zh-CN"/>
                <w14:textFill>
                  <w14:solidFill>
                    <w14:schemeClr w14:val="tx1"/>
                  </w14:solidFill>
                </w14:textFill>
              </w:rPr>
              <w:t>本次评价引用本项目周边5km范围内近3年的监测数据进行现状评价。其中氟化物引用《福建兆元光电有限公司环境质量和污染源检测检测报告》中的监测数据，TSP引用《福建天昇新材料有限公司环境现状质量监测报告》的监测数据。</w:t>
            </w:r>
          </w:p>
          <w:p w14:paraId="3FA0B228">
            <w:pPr>
              <w:spacing w:line="360" w:lineRule="auto"/>
              <w:ind w:firstLine="480" w:firstLineChars="200"/>
              <w:rPr>
                <w:rFonts w:hint="default"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（一）氟化物</w:t>
            </w:r>
          </w:p>
          <w:p w14:paraId="2FBF835C">
            <w:pPr>
              <w:pStyle w:val="9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监测时间：2023年11月6日至13日</w:t>
            </w:r>
          </w:p>
          <w:p w14:paraId="44221225">
            <w:pPr>
              <w:pStyle w:val="9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监测单位：福建九五检测技术服务有限公司</w:t>
            </w:r>
          </w:p>
          <w:p w14:paraId="3605BCD6">
            <w:pPr>
              <w:pStyle w:val="98"/>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监测点位见下表，见图3.1-1。</w:t>
            </w:r>
          </w:p>
          <w:p w14:paraId="6C094013">
            <w:pPr>
              <w:spacing w:line="360" w:lineRule="auto"/>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lang w:val="en-US" w:eastAsia="zh-CN"/>
                <w14:textFill>
                  <w14:solidFill>
                    <w14:schemeClr w14:val="tx1"/>
                  </w14:solidFill>
                </w14:textFill>
              </w:rPr>
              <w:t>3.1</w:t>
            </w: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 xml:space="preserve">2 </w:t>
            </w:r>
            <w:r>
              <w:rPr>
                <w:b/>
                <w:bCs/>
                <w:color w:val="000000" w:themeColor="text1"/>
                <w:sz w:val="24"/>
                <w:szCs w:val="24"/>
                <w:highlight w:val="none"/>
                <w14:textFill>
                  <w14:solidFill>
                    <w14:schemeClr w14:val="tx1"/>
                  </w14:solidFill>
                </w14:textFill>
              </w:rPr>
              <w:t>大气监测点位表</w:t>
            </w:r>
          </w:p>
          <w:tbl>
            <w:tblPr>
              <w:tblStyle w:val="30"/>
              <w:tblW w:w="5000" w:type="pct"/>
              <w:tblInd w:w="11"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818"/>
              <w:gridCol w:w="1352"/>
              <w:gridCol w:w="2745"/>
              <w:gridCol w:w="1305"/>
              <w:gridCol w:w="2192"/>
            </w:tblGrid>
            <w:tr w14:paraId="7813BDE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86" w:type="pct"/>
                  <w:tcBorders>
                    <w:tl2br w:val="nil"/>
                    <w:tr2bl w:val="nil"/>
                  </w:tcBorders>
                  <w:noWrap/>
                  <w:vAlign w:val="center"/>
                </w:tcPr>
                <w:p w14:paraId="14318131">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803" w:type="pct"/>
                  <w:tcBorders>
                    <w:tl2br w:val="nil"/>
                    <w:tr2bl w:val="nil"/>
                  </w:tcBorders>
                  <w:vAlign w:val="center"/>
                </w:tcPr>
                <w:p w14:paraId="6B3CF82B">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监测点位置</w:t>
                  </w:r>
                </w:p>
              </w:tc>
              <w:tc>
                <w:tcPr>
                  <w:tcW w:w="1631" w:type="pct"/>
                  <w:tcBorders>
                    <w:tl2br w:val="nil"/>
                    <w:tr2bl w:val="nil"/>
                  </w:tcBorders>
                  <w:vAlign w:val="center"/>
                </w:tcPr>
                <w:p w14:paraId="72981A6F">
                  <w:pPr>
                    <w:pStyle w:val="11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经纬度</w:t>
                  </w:r>
                </w:p>
              </w:tc>
              <w:tc>
                <w:tcPr>
                  <w:tcW w:w="775" w:type="pct"/>
                  <w:tcBorders>
                    <w:tl2br w:val="nil"/>
                    <w:tr2bl w:val="nil"/>
                  </w:tcBorders>
                  <w:vAlign w:val="center"/>
                </w:tcPr>
                <w:p w14:paraId="35EE4DEF">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监测项目</w:t>
                  </w:r>
                </w:p>
              </w:tc>
              <w:tc>
                <w:tcPr>
                  <w:tcW w:w="1302" w:type="pct"/>
                  <w:tcBorders>
                    <w:tl2br w:val="nil"/>
                    <w:tr2bl w:val="nil"/>
                  </w:tcBorders>
                  <w:vAlign w:val="center"/>
                </w:tcPr>
                <w:p w14:paraId="3C423859">
                  <w:pPr>
                    <w:pStyle w:val="11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与项目</w:t>
                  </w:r>
                  <w:r>
                    <w:rPr>
                      <w:rFonts w:hint="eastAsia"/>
                      <w:color w:val="000000" w:themeColor="text1"/>
                      <w:highlight w:val="none"/>
                      <w:lang w:val="en-US" w:eastAsia="zh-CN"/>
                      <w14:textFill>
                        <w14:solidFill>
                          <w14:schemeClr w14:val="tx1"/>
                        </w14:solidFill>
                      </w14:textFill>
                    </w:rPr>
                    <w:t>的方位和距离</w:t>
                  </w:r>
                </w:p>
              </w:tc>
            </w:tr>
            <w:tr w14:paraId="2C87338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86" w:type="pct"/>
                  <w:tcBorders>
                    <w:tl2br w:val="nil"/>
                    <w:tr2bl w:val="nil"/>
                  </w:tcBorders>
                  <w:noWrap/>
                  <w:vAlign w:val="center"/>
                </w:tcPr>
                <w:p w14:paraId="38D56BD5">
                  <w:pPr>
                    <w:pStyle w:val="110"/>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G</w:t>
                  </w:r>
                  <w:r>
                    <w:rPr>
                      <w:rFonts w:hint="eastAsia"/>
                      <w:color w:val="000000" w:themeColor="text1"/>
                      <w:highlight w:val="none"/>
                      <w:lang w:val="en-US" w:eastAsia="zh-CN"/>
                      <w14:textFill>
                        <w14:solidFill>
                          <w14:schemeClr w14:val="tx1"/>
                        </w14:solidFill>
                      </w14:textFill>
                    </w:rPr>
                    <w:t>1</w:t>
                  </w:r>
                </w:p>
              </w:tc>
              <w:tc>
                <w:tcPr>
                  <w:tcW w:w="803" w:type="pct"/>
                  <w:tcBorders>
                    <w:tl2br w:val="nil"/>
                    <w:tr2bl w:val="nil"/>
                  </w:tcBorders>
                  <w:vAlign w:val="center"/>
                </w:tcPr>
                <w:p w14:paraId="4B6DF7B9">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尧沙村</w:t>
                  </w:r>
                </w:p>
              </w:tc>
              <w:tc>
                <w:tcPr>
                  <w:tcW w:w="1631" w:type="pct"/>
                  <w:tcBorders>
                    <w:tl2br w:val="nil"/>
                    <w:tr2bl w:val="nil"/>
                  </w:tcBorders>
                  <w:vAlign w:val="center"/>
                </w:tcPr>
                <w:p w14:paraId="6751944B">
                  <w:pPr>
                    <w:pStyle w:val="110"/>
                    <w:rPr>
                      <w:color w:val="000000" w:themeColor="text1"/>
                      <w:highlight w:val="none"/>
                      <w14:textFill>
                        <w14:solidFill>
                          <w14:schemeClr w14:val="tx1"/>
                        </w14:solidFill>
                      </w14:textFill>
                    </w:rPr>
                  </w:pPr>
                  <w:r>
                    <w:rPr>
                      <w:rFonts w:eastAsia="Times New Roman"/>
                      <w:color w:val="000000" w:themeColor="text1"/>
                      <w:highlight w:val="none"/>
                      <w14:textFill>
                        <w14:solidFill>
                          <w14:schemeClr w14:val="tx1"/>
                        </w14:solidFill>
                      </w14:textFill>
                    </w:rPr>
                    <w:t>E:119.691841°N:27.459451°</w:t>
                  </w:r>
                </w:p>
              </w:tc>
              <w:tc>
                <w:tcPr>
                  <w:tcW w:w="775" w:type="pct"/>
                  <w:tcBorders>
                    <w:tl2br w:val="nil"/>
                    <w:tr2bl w:val="nil"/>
                  </w:tcBorders>
                  <w:vAlign w:val="center"/>
                </w:tcPr>
                <w:p w14:paraId="3007404A">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氟化物</w:t>
                  </w:r>
                </w:p>
              </w:tc>
              <w:tc>
                <w:tcPr>
                  <w:tcW w:w="1302" w:type="pct"/>
                  <w:tcBorders>
                    <w:tl2br w:val="nil"/>
                    <w:tr2bl w:val="nil"/>
                  </w:tcBorders>
                  <w:vAlign w:val="center"/>
                </w:tcPr>
                <w:p w14:paraId="1D60DD3B">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r>
                    <w:rPr>
                      <w:color w:val="000000" w:themeColor="text1"/>
                      <w:highlight w:val="none"/>
                      <w14:textFill>
                        <w14:solidFill>
                          <w14:schemeClr w14:val="tx1"/>
                        </w14:solidFill>
                      </w14:textFill>
                    </w:rPr>
                    <w:t>北</w:t>
                  </w:r>
                  <w:r>
                    <w:rPr>
                      <w:rFonts w:hint="eastAsia"/>
                      <w:color w:val="000000" w:themeColor="text1"/>
                      <w:highlight w:val="none"/>
                      <w:lang w:val="en-US" w:eastAsia="zh-CN"/>
                      <w14:textFill>
                        <w14:solidFill>
                          <w14:schemeClr w14:val="tx1"/>
                        </w14:solidFill>
                      </w14:textFill>
                    </w:rPr>
                    <w:t>方向600m</w:t>
                  </w:r>
                </w:p>
              </w:tc>
            </w:tr>
          </w:tbl>
          <w:p w14:paraId="3084CC40">
            <w:pPr>
              <w:pStyle w:val="98"/>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）监测分析方法</w:t>
            </w:r>
            <w:r>
              <w:rPr>
                <w:rFonts w:hint="eastAsia"/>
                <w:color w:val="000000" w:themeColor="text1"/>
                <w:highlight w:val="none"/>
                <w:lang w:val="en-US" w:eastAsia="zh-CN"/>
                <w14:textFill>
                  <w14:solidFill>
                    <w14:schemeClr w14:val="tx1"/>
                  </w14:solidFill>
                </w14:textFill>
              </w:rPr>
              <w:t>见下表。</w:t>
            </w:r>
          </w:p>
          <w:p w14:paraId="1E44F1C3">
            <w:pPr>
              <w:spacing w:line="360" w:lineRule="auto"/>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lang w:val="en-US" w:eastAsia="zh-CN"/>
                <w14:textFill>
                  <w14:solidFill>
                    <w14:schemeClr w14:val="tx1"/>
                  </w14:solidFill>
                </w14:textFill>
              </w:rPr>
              <w:t>3.1</w:t>
            </w: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w:t>
            </w:r>
            <w:r>
              <w:rPr>
                <w:b/>
                <w:bCs/>
                <w:color w:val="000000" w:themeColor="text1"/>
                <w:sz w:val="24"/>
                <w:szCs w:val="24"/>
                <w:highlight w:val="none"/>
                <w14:textFill>
                  <w14:solidFill>
                    <w14:schemeClr w14:val="tx1"/>
                  </w14:solidFill>
                </w14:textFill>
              </w:rPr>
              <w:t xml:space="preserve"> 环境空气监测分析方法一览表</w:t>
            </w:r>
          </w:p>
          <w:tbl>
            <w:tblPr>
              <w:tblStyle w:val="3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2"/>
              <w:gridCol w:w="1194"/>
              <w:gridCol w:w="2827"/>
              <w:gridCol w:w="1970"/>
              <w:gridCol w:w="1770"/>
            </w:tblGrid>
            <w:tr w14:paraId="252E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7" w:type="pct"/>
                  <w:tcBorders>
                    <w:tl2br w:val="nil"/>
                    <w:tr2bl w:val="nil"/>
                  </w:tcBorders>
                  <w:vAlign w:val="center"/>
                </w:tcPr>
                <w:p w14:paraId="28464E1A">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709" w:type="pct"/>
                  <w:tcBorders>
                    <w:tl2br w:val="nil"/>
                    <w:tr2bl w:val="nil"/>
                  </w:tcBorders>
                  <w:vAlign w:val="center"/>
                </w:tcPr>
                <w:p w14:paraId="0B1048D4">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p>
              </w:tc>
              <w:tc>
                <w:tcPr>
                  <w:tcW w:w="1680" w:type="pct"/>
                  <w:tcBorders>
                    <w:tl2br w:val="nil"/>
                    <w:tr2bl w:val="nil"/>
                  </w:tcBorders>
                  <w:vAlign w:val="center"/>
                </w:tcPr>
                <w:p w14:paraId="58EB5796">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分析方法</w:t>
                  </w:r>
                </w:p>
              </w:tc>
              <w:tc>
                <w:tcPr>
                  <w:tcW w:w="1170" w:type="pct"/>
                  <w:tcBorders>
                    <w:tl2br w:val="nil"/>
                    <w:tr2bl w:val="nil"/>
                  </w:tcBorders>
                  <w:vAlign w:val="center"/>
                </w:tcPr>
                <w:p w14:paraId="74892813">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仪器名称型号及编号</w:t>
                  </w:r>
                </w:p>
              </w:tc>
              <w:tc>
                <w:tcPr>
                  <w:tcW w:w="1052" w:type="pct"/>
                  <w:tcBorders>
                    <w:tl2br w:val="nil"/>
                    <w:tr2bl w:val="nil"/>
                  </w:tcBorders>
                  <w:vAlign w:val="center"/>
                </w:tcPr>
                <w:p w14:paraId="5404BF41">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检出限</w:t>
                  </w:r>
                </w:p>
              </w:tc>
            </w:tr>
            <w:tr w14:paraId="7F7B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7" w:type="pct"/>
                  <w:tcBorders>
                    <w:tl2br w:val="nil"/>
                    <w:tr2bl w:val="nil"/>
                  </w:tcBorders>
                  <w:vAlign w:val="center"/>
                </w:tcPr>
                <w:p w14:paraId="307A0815">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空气和废气</w:t>
                  </w:r>
                </w:p>
              </w:tc>
              <w:tc>
                <w:tcPr>
                  <w:tcW w:w="709" w:type="pct"/>
                  <w:tcBorders>
                    <w:tl2br w:val="nil"/>
                    <w:tr2bl w:val="nil"/>
                  </w:tcBorders>
                  <w:vAlign w:val="center"/>
                </w:tcPr>
                <w:p w14:paraId="043EE283">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氟化物</w:t>
                  </w:r>
                </w:p>
              </w:tc>
              <w:tc>
                <w:tcPr>
                  <w:tcW w:w="1680" w:type="pct"/>
                  <w:tcBorders>
                    <w:tl2br w:val="nil"/>
                    <w:tr2bl w:val="nil"/>
                  </w:tcBorders>
                  <w:vAlign w:val="center"/>
                </w:tcPr>
                <w:p w14:paraId="5880E6AC">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《环境空气氟化物的测定滤膜</w:t>
                  </w:r>
                </w:p>
                <w:p w14:paraId="5F8DDB73">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采样</w:t>
                  </w:r>
                  <w:r>
                    <w:rPr>
                      <w:rFonts w:eastAsia="Times New Roman"/>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氟离子选择电极法》</w:t>
                  </w:r>
                </w:p>
                <w:p w14:paraId="450478D5">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eastAsia="Times New Roman"/>
                      <w:color w:val="000000" w:themeColor="text1"/>
                      <w:highlight w:val="none"/>
                      <w14:textFill>
                        <w14:solidFill>
                          <w14:schemeClr w14:val="tx1"/>
                        </w14:solidFill>
                      </w14:textFill>
                    </w:rPr>
                    <w:t>HJ955-2018</w:t>
                  </w:r>
                  <w:r>
                    <w:rPr>
                      <w:color w:val="000000" w:themeColor="text1"/>
                      <w:highlight w:val="none"/>
                      <w14:textFill>
                        <w14:solidFill>
                          <w14:schemeClr w14:val="tx1"/>
                        </w14:solidFill>
                      </w14:textFill>
                    </w:rPr>
                    <w:t>）</w:t>
                  </w:r>
                </w:p>
              </w:tc>
              <w:tc>
                <w:tcPr>
                  <w:tcW w:w="1170" w:type="pct"/>
                  <w:tcBorders>
                    <w:tl2br w:val="nil"/>
                    <w:tr2bl w:val="nil"/>
                  </w:tcBorders>
                  <w:vAlign w:val="center"/>
                </w:tcPr>
                <w:p w14:paraId="4ABBC0D5">
                  <w:pPr>
                    <w:pStyle w:val="110"/>
                    <w:rPr>
                      <w:rFonts w:eastAsia="Times New Roman"/>
                      <w:color w:val="000000" w:themeColor="text1"/>
                      <w:highlight w:val="none"/>
                      <w14:textFill>
                        <w14:solidFill>
                          <w14:schemeClr w14:val="tx1"/>
                        </w14:solidFill>
                      </w14:textFill>
                    </w:rPr>
                  </w:pPr>
                  <w:r>
                    <w:rPr>
                      <w:rFonts w:eastAsia="Times New Roman"/>
                      <w:color w:val="000000" w:themeColor="text1"/>
                      <w:highlight w:val="none"/>
                      <w14:textFill>
                        <w14:solidFill>
                          <w14:schemeClr w14:val="tx1"/>
                        </w14:solidFill>
                      </w14:textFill>
                    </w:rPr>
                    <w:t>PHS-3C</w:t>
                  </w:r>
                  <w:r>
                    <w:rPr>
                      <w:color w:val="000000" w:themeColor="text1"/>
                      <w:highlight w:val="none"/>
                      <w14:textFill>
                        <w14:solidFill>
                          <w14:schemeClr w14:val="tx1"/>
                        </w14:solidFill>
                      </w14:textFill>
                    </w:rPr>
                    <w:t>型</w:t>
                  </w:r>
                  <w:r>
                    <w:rPr>
                      <w:rFonts w:eastAsia="Times New Roman"/>
                      <w:color w:val="000000" w:themeColor="text1"/>
                      <w:highlight w:val="none"/>
                      <w14:textFill>
                        <w14:solidFill>
                          <w14:schemeClr w14:val="tx1"/>
                        </w14:solidFill>
                      </w14:textFill>
                    </w:rPr>
                    <w:t>pH</w:t>
                  </w:r>
                  <w:r>
                    <w:rPr>
                      <w:color w:val="000000" w:themeColor="text1"/>
                      <w:highlight w:val="none"/>
                      <w14:textFill>
                        <w14:solidFill>
                          <w14:schemeClr w14:val="tx1"/>
                        </w14:solidFill>
                      </w14:textFill>
                    </w:rPr>
                    <w:t>计</w:t>
                  </w:r>
                </w:p>
                <w:p w14:paraId="340E6836">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eastAsia="Times New Roman"/>
                      <w:color w:val="000000" w:themeColor="text1"/>
                      <w:highlight w:val="none"/>
                      <w14:textFill>
                        <w14:solidFill>
                          <w14:schemeClr w14:val="tx1"/>
                        </w14:solidFill>
                      </w14:textFill>
                    </w:rPr>
                    <w:t>JW-S-05</w:t>
                  </w:r>
                  <w:r>
                    <w:rPr>
                      <w:color w:val="000000" w:themeColor="text1"/>
                      <w:highlight w:val="none"/>
                      <w14:textFill>
                        <w14:solidFill>
                          <w14:schemeClr w14:val="tx1"/>
                        </w14:solidFill>
                      </w14:textFill>
                    </w:rPr>
                    <w:t>）</w:t>
                  </w:r>
                </w:p>
              </w:tc>
              <w:tc>
                <w:tcPr>
                  <w:tcW w:w="1052" w:type="pct"/>
                  <w:tcBorders>
                    <w:tl2br w:val="nil"/>
                    <w:tr2bl w:val="nil"/>
                  </w:tcBorders>
                  <w:vAlign w:val="center"/>
                </w:tcPr>
                <w:p w14:paraId="2A770095">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小时值</w:t>
                  </w:r>
                  <w:r>
                    <w:rPr>
                      <w:rFonts w:eastAsia="Times New Roman"/>
                      <w:color w:val="000000" w:themeColor="text1"/>
                      <w:highlight w:val="none"/>
                      <w14:textFill>
                        <w14:solidFill>
                          <w14:schemeClr w14:val="tx1"/>
                        </w14:solidFill>
                      </w14:textFill>
                    </w:rPr>
                    <w:t>0.5μg/</w:t>
                  </w:r>
                  <w:r>
                    <w:rPr>
                      <w:color w:val="000000" w:themeColor="text1"/>
                      <w:highlight w:val="none"/>
                      <w14:textFill>
                        <w14:solidFill>
                          <w14:schemeClr w14:val="tx1"/>
                        </w14:solidFill>
                      </w14:textFill>
                    </w:rPr>
                    <w:t>m³</w:t>
                  </w:r>
                </w:p>
                <w:p w14:paraId="4B16A3D4">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日均值</w:t>
                  </w:r>
                  <w:r>
                    <w:rPr>
                      <w:rFonts w:eastAsia="Times New Roman"/>
                      <w:color w:val="000000" w:themeColor="text1"/>
                      <w:highlight w:val="none"/>
                      <w14:textFill>
                        <w14:solidFill>
                          <w14:schemeClr w14:val="tx1"/>
                        </w14:solidFill>
                      </w14:textFill>
                    </w:rPr>
                    <w:t>0.06μg/</w:t>
                  </w:r>
                  <w:r>
                    <w:rPr>
                      <w:color w:val="000000" w:themeColor="text1"/>
                      <w:highlight w:val="none"/>
                      <w14:textFill>
                        <w14:solidFill>
                          <w14:schemeClr w14:val="tx1"/>
                        </w14:solidFill>
                      </w14:textFill>
                    </w:rPr>
                    <w:t>m³</w:t>
                  </w:r>
                </w:p>
              </w:tc>
            </w:tr>
          </w:tbl>
          <w:p w14:paraId="5B5C49FF">
            <w:pPr>
              <w:pStyle w:val="9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）评价标准</w:t>
            </w:r>
          </w:p>
          <w:p w14:paraId="3F576D7B">
            <w:pPr>
              <w:spacing w:line="360" w:lineRule="auto"/>
              <w:ind w:firstLine="480" w:firstLineChars="200"/>
              <w:rPr>
                <w:rFonts w:hint="eastAsia"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氟化物执行《环境空气质量标准》（GB3095-20</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26</w:t>
            </w:r>
            <w:r>
              <w:rPr>
                <w:rFonts w:hint="eastAsia" w:ascii="Times New Roman" w:hAnsi="Times New Roman" w:eastAsia="宋体" w:cs="宋体"/>
                <w:color w:val="000000" w:themeColor="text1"/>
                <w:sz w:val="24"/>
                <w:szCs w:val="24"/>
                <w:highlight w:val="none"/>
                <w14:textFill>
                  <w14:solidFill>
                    <w14:schemeClr w14:val="tx1"/>
                  </w14:solidFill>
                </w14:textFill>
              </w:rPr>
              <w:t>）</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中的</w:t>
            </w:r>
            <w:r>
              <w:rPr>
                <w:rFonts w:hint="eastAsia" w:ascii="Times New Roman" w:hAnsi="Times New Roman" w:eastAsia="宋体" w:cs="宋体"/>
                <w:color w:val="000000" w:themeColor="text1"/>
                <w:sz w:val="24"/>
                <w:szCs w:val="24"/>
                <w:highlight w:val="none"/>
                <w14:textFill>
                  <w14:solidFill>
                    <w14:schemeClr w14:val="tx1"/>
                  </w14:solidFill>
                </w14:textFill>
              </w:rPr>
              <w:t>标准。</w:t>
            </w:r>
          </w:p>
          <w:p w14:paraId="12A89168">
            <w:pPr>
              <w:spacing w:line="360" w:lineRule="auto"/>
              <w:jc w:val="center"/>
              <w:rPr>
                <w:b/>
                <w:bCs/>
                <w:color w:val="000000" w:themeColor="text1"/>
                <w:sz w:val="24"/>
                <w:szCs w:val="24"/>
                <w:highlight w:val="none"/>
                <w14:textFill>
                  <w14:solidFill>
                    <w14:schemeClr w14:val="tx1"/>
                  </w14:solidFill>
                </w14:textFill>
              </w:rPr>
            </w:pPr>
          </w:p>
          <w:p w14:paraId="1E9A5B43">
            <w:pPr>
              <w:spacing w:line="360" w:lineRule="auto"/>
              <w:jc w:val="center"/>
              <w:rPr>
                <w:b/>
                <w:bCs/>
                <w:color w:val="000000" w:themeColor="text1"/>
                <w:sz w:val="24"/>
                <w:szCs w:val="24"/>
                <w:highlight w:val="none"/>
                <w14:textFill>
                  <w14:solidFill>
                    <w14:schemeClr w14:val="tx1"/>
                  </w14:solidFill>
                </w14:textFill>
              </w:rPr>
            </w:pPr>
          </w:p>
          <w:p w14:paraId="2FC7A493">
            <w:pPr>
              <w:spacing w:line="360" w:lineRule="auto"/>
              <w:jc w:val="center"/>
              <w:rPr>
                <w:b/>
                <w:bCs/>
                <w:color w:val="000000" w:themeColor="text1"/>
                <w:sz w:val="24"/>
                <w:szCs w:val="24"/>
                <w:highlight w:val="none"/>
                <w14:textFill>
                  <w14:solidFill>
                    <w14:schemeClr w14:val="tx1"/>
                  </w14:solidFill>
                </w14:textFill>
              </w:rPr>
            </w:pPr>
          </w:p>
          <w:p w14:paraId="513B54F4">
            <w:pPr>
              <w:spacing w:line="360" w:lineRule="auto"/>
              <w:jc w:val="center"/>
              <w:rPr>
                <w:b/>
                <w:bCs/>
                <w:color w:val="000000" w:themeColor="text1"/>
                <w:sz w:val="24"/>
                <w:szCs w:val="24"/>
                <w:highlight w:val="none"/>
                <w14:textFill>
                  <w14:solidFill>
                    <w14:schemeClr w14:val="tx1"/>
                  </w14:solidFill>
                </w14:textFill>
              </w:rPr>
            </w:pPr>
          </w:p>
          <w:p w14:paraId="71A0DF9D">
            <w:pPr>
              <w:spacing w:line="360" w:lineRule="auto"/>
              <w:jc w:val="center"/>
              <w:rPr>
                <w:b/>
                <w:bCs/>
                <w:color w:val="000000" w:themeColor="text1"/>
                <w:sz w:val="24"/>
                <w:szCs w:val="24"/>
                <w:highlight w:val="none"/>
                <w14:textFill>
                  <w14:solidFill>
                    <w14:schemeClr w14:val="tx1"/>
                  </w14:solidFill>
                </w14:textFill>
              </w:rPr>
            </w:pPr>
          </w:p>
          <w:p w14:paraId="4D5F6595">
            <w:pPr>
              <w:pStyle w:val="11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242560" cy="3962400"/>
                  <wp:effectExtent l="0" t="0" r="0" b="0"/>
                  <wp:docPr id="46" name="图片 46" descr="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监测点位图"/>
                          <pic:cNvPicPr>
                            <a:picLocks noChangeAspect="1"/>
                          </pic:cNvPicPr>
                        </pic:nvPicPr>
                        <pic:blipFill>
                          <a:blip r:embed="rId13"/>
                          <a:srcRect t="1359"/>
                          <a:stretch>
                            <a:fillRect/>
                          </a:stretch>
                        </pic:blipFill>
                        <pic:spPr>
                          <a:xfrm>
                            <a:off x="0" y="0"/>
                            <a:ext cx="5242560" cy="3962400"/>
                          </a:xfrm>
                          <a:prstGeom prst="rect">
                            <a:avLst/>
                          </a:prstGeom>
                        </pic:spPr>
                      </pic:pic>
                    </a:graphicData>
                  </a:graphic>
                </wp:inline>
              </w:drawing>
            </w:r>
          </w:p>
          <w:p w14:paraId="630B9ADB">
            <w:pPr>
              <w:spacing w:line="360" w:lineRule="auto"/>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 xml:space="preserve">3.1-1 </w:t>
            </w:r>
            <w:r>
              <w:rPr>
                <w:rFonts w:hint="eastAsia"/>
                <w:b/>
                <w:bCs/>
                <w:color w:val="000000" w:themeColor="text1"/>
                <w:sz w:val="24"/>
                <w:szCs w:val="24"/>
                <w:highlight w:val="none"/>
                <w14:textFill>
                  <w14:solidFill>
                    <w14:schemeClr w14:val="tx1"/>
                  </w14:solidFill>
                </w14:textFill>
              </w:rPr>
              <w:t>大气监测点位图</w:t>
            </w:r>
          </w:p>
          <w:p w14:paraId="6F8A3827">
            <w:pPr>
              <w:pStyle w:val="9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）监测与评价结果</w:t>
            </w:r>
          </w:p>
          <w:p w14:paraId="6954EF01">
            <w:pPr>
              <w:spacing w:line="360" w:lineRule="auto"/>
              <w:ind w:firstLine="480" w:firstLineChars="200"/>
              <w:rPr>
                <w:color w:val="000000" w:themeColor="text1"/>
                <w:sz w:val="24"/>
                <w:szCs w:val="20"/>
                <w:highlight w:val="none"/>
                <w14:textFill>
                  <w14:solidFill>
                    <w14:schemeClr w14:val="tx1"/>
                  </w14:solidFill>
                </w14:textFill>
              </w:rPr>
            </w:pPr>
            <w:r>
              <w:rPr>
                <w:color w:val="000000" w:themeColor="text1"/>
                <w:sz w:val="24"/>
                <w:szCs w:val="20"/>
                <w:highlight w:val="none"/>
                <w14:textFill>
                  <w14:solidFill>
                    <w14:schemeClr w14:val="tx1"/>
                  </w14:solidFill>
                </w14:textFill>
              </w:rPr>
              <w:t>监测结果见</w:t>
            </w:r>
            <w:r>
              <w:rPr>
                <w:rFonts w:hint="eastAsia"/>
                <w:color w:val="000000" w:themeColor="text1"/>
                <w:sz w:val="24"/>
                <w:szCs w:val="20"/>
                <w:highlight w:val="none"/>
                <w:lang w:val="en-US" w:eastAsia="zh-CN"/>
                <w14:textFill>
                  <w14:solidFill>
                    <w14:schemeClr w14:val="tx1"/>
                  </w14:solidFill>
                </w14:textFill>
              </w:rPr>
              <w:t>下</w:t>
            </w:r>
            <w:r>
              <w:rPr>
                <w:color w:val="000000" w:themeColor="text1"/>
                <w:sz w:val="24"/>
                <w:szCs w:val="20"/>
                <w:highlight w:val="none"/>
                <w14:textFill>
                  <w14:solidFill>
                    <w14:schemeClr w14:val="tx1"/>
                  </w14:solidFill>
                </w14:textFill>
              </w:rPr>
              <w:t>表。</w:t>
            </w:r>
          </w:p>
          <w:p w14:paraId="402E45F6">
            <w:pPr>
              <w:spacing w:line="360" w:lineRule="auto"/>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lang w:val="en-US" w:eastAsia="zh-CN"/>
                <w14:textFill>
                  <w14:solidFill>
                    <w14:schemeClr w14:val="tx1"/>
                  </w14:solidFill>
                </w14:textFill>
              </w:rPr>
              <w:t>3.1</w:t>
            </w: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 xml:space="preserve">4  </w:t>
            </w:r>
            <w:r>
              <w:rPr>
                <w:b/>
                <w:bCs/>
                <w:color w:val="000000" w:themeColor="text1"/>
                <w:sz w:val="24"/>
                <w:szCs w:val="24"/>
                <w:highlight w:val="none"/>
                <w14:textFill>
                  <w14:solidFill>
                    <w14:schemeClr w14:val="tx1"/>
                  </w14:solidFill>
                </w14:textFill>
              </w:rPr>
              <w:t>日均值监测结果表</w:t>
            </w:r>
          </w:p>
          <w:tbl>
            <w:tblPr>
              <w:tblStyle w:val="30"/>
              <w:tblW w:w="5000" w:type="pct"/>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1"/>
              <w:gridCol w:w="2940"/>
              <w:gridCol w:w="4171"/>
            </w:tblGrid>
            <w:tr w14:paraId="6FFD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tcBorders>
                    <w:tl2br w:val="nil"/>
                    <w:tr2bl w:val="nil"/>
                  </w:tcBorders>
                  <w:vAlign w:val="center"/>
                </w:tcPr>
                <w:p w14:paraId="67636CF7">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检测点位</w:t>
                  </w:r>
                </w:p>
              </w:tc>
              <w:tc>
                <w:tcPr>
                  <w:tcW w:w="1747" w:type="pct"/>
                  <w:tcBorders>
                    <w:tl2br w:val="nil"/>
                    <w:tr2bl w:val="nil"/>
                  </w:tcBorders>
                  <w:vAlign w:val="center"/>
                </w:tcPr>
                <w:p w14:paraId="7FB7D5C9">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采样日期</w:t>
                  </w:r>
                </w:p>
              </w:tc>
              <w:tc>
                <w:tcPr>
                  <w:tcW w:w="2479" w:type="pct"/>
                  <w:tcBorders>
                    <w:tl2br w:val="nil"/>
                    <w:tr2bl w:val="nil"/>
                  </w:tcBorders>
                  <w:vAlign w:val="center"/>
                </w:tcPr>
                <w:p w14:paraId="0C1E27AB">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氟化物检测结果（</w:t>
                  </w:r>
                  <w:r>
                    <w:rPr>
                      <w:rFonts w:hint="default" w:ascii="Times New Roman" w:hAnsi="Times New Roman" w:cs="Times New Roman"/>
                      <w:color w:val="000000" w:themeColor="text1"/>
                      <w:highlight w:val="none"/>
                      <w:lang w:val="en-US" w:eastAsia="zh-CN"/>
                      <w14:textFill>
                        <w14:solidFill>
                          <w14:schemeClr w14:val="tx1"/>
                        </w14:solidFill>
                      </w14:textFill>
                    </w:rPr>
                    <w:t>μ</w:t>
                  </w:r>
                  <w:r>
                    <w:rPr>
                      <w:rFonts w:eastAsia="Times New Roman"/>
                      <w:color w:val="000000" w:themeColor="text1"/>
                      <w:highlight w:val="none"/>
                      <w14:textFill>
                        <w14:solidFill>
                          <w14:schemeClr w14:val="tx1"/>
                        </w14:solidFill>
                      </w14:textFill>
                    </w:rPr>
                    <w:t>g/</w:t>
                  </w:r>
                  <w:r>
                    <w:rPr>
                      <w:color w:val="000000" w:themeColor="text1"/>
                      <w:highlight w:val="none"/>
                      <w14:textFill>
                        <w14:solidFill>
                          <w14:schemeClr w14:val="tx1"/>
                        </w14:solidFill>
                      </w14:textFill>
                    </w:rPr>
                    <w:t>m³）</w:t>
                  </w:r>
                </w:p>
              </w:tc>
            </w:tr>
            <w:tr w14:paraId="52F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restart"/>
                  <w:tcBorders>
                    <w:tl2br w:val="nil"/>
                    <w:tr2bl w:val="nil"/>
                  </w:tcBorders>
                  <w:vAlign w:val="center"/>
                </w:tcPr>
                <w:p w14:paraId="41BC1CC9">
                  <w:pPr>
                    <w:pStyle w:val="110"/>
                    <w:rPr>
                      <w:rFonts w:eastAsia="Times New Roman"/>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G1</w:t>
                  </w:r>
                  <w:r>
                    <w:rPr>
                      <w:color w:val="000000" w:themeColor="text1"/>
                      <w:highlight w:val="none"/>
                      <w14:textFill>
                        <w14:solidFill>
                          <w14:schemeClr w14:val="tx1"/>
                        </w14:solidFill>
                      </w14:textFill>
                    </w:rPr>
                    <w:t>尧沙村</w:t>
                  </w:r>
                </w:p>
              </w:tc>
              <w:tc>
                <w:tcPr>
                  <w:tcW w:w="1747" w:type="pct"/>
                  <w:tcBorders>
                    <w:tl2br w:val="nil"/>
                    <w:tr2bl w:val="nil"/>
                  </w:tcBorders>
                  <w:vAlign w:val="center"/>
                </w:tcPr>
                <w:p w14:paraId="130DDAA2">
                  <w:pPr>
                    <w:pStyle w:val="110"/>
                    <w:rPr>
                      <w:rFonts w:hint="default" w:eastAsia="宋体"/>
                      <w:color w:val="000000" w:themeColor="text1"/>
                      <w:highlight w:val="none"/>
                      <w:lang w:val="en-US" w:eastAsia="zh-CN"/>
                      <w14:textFill>
                        <w14:solidFill>
                          <w14:schemeClr w14:val="tx1"/>
                        </w14:solidFill>
                      </w14:textFill>
                    </w:rPr>
                  </w:pPr>
                  <w:r>
                    <w:rPr>
                      <w:rFonts w:eastAsia="Times New Roman"/>
                      <w:color w:val="000000" w:themeColor="text1"/>
                      <w:highlight w:val="none"/>
                      <w14:textFill>
                        <w14:solidFill>
                          <w14:schemeClr w14:val="tx1"/>
                        </w14:solidFill>
                      </w14:textFill>
                    </w:rPr>
                    <w:t>2023</w:t>
                  </w:r>
                  <w:r>
                    <w:rPr>
                      <w:color w:val="000000" w:themeColor="text1"/>
                      <w:highlight w:val="none"/>
                      <w14:textFill>
                        <w14:solidFill>
                          <w14:schemeClr w14:val="tx1"/>
                        </w14:solidFill>
                      </w14:textFill>
                    </w:rPr>
                    <w:t>年</w:t>
                  </w:r>
                  <w:r>
                    <w:rPr>
                      <w:rFonts w:eastAsia="Times New Roman"/>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月</w:t>
                  </w:r>
                  <w:r>
                    <w:rPr>
                      <w:rFonts w:eastAsia="Times New Roman"/>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-7日</w:t>
                  </w:r>
                </w:p>
              </w:tc>
              <w:tc>
                <w:tcPr>
                  <w:tcW w:w="2479" w:type="pct"/>
                  <w:tcBorders>
                    <w:tl2br w:val="nil"/>
                    <w:tr2bl w:val="nil"/>
                  </w:tcBorders>
                  <w:shd w:val="clear"/>
                  <w:vAlign w:val="center"/>
                </w:tcPr>
                <w:p w14:paraId="0E9D1AC8">
                  <w:pPr>
                    <w:pStyle w:val="89"/>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2E64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continue"/>
                  <w:tcBorders>
                    <w:tl2br w:val="nil"/>
                    <w:tr2bl w:val="nil"/>
                  </w:tcBorders>
                  <w:vAlign w:val="center"/>
                </w:tcPr>
                <w:p w14:paraId="66918626">
                  <w:pPr>
                    <w:pStyle w:val="110"/>
                    <w:rPr>
                      <w:rFonts w:eastAsia="Times New Roman"/>
                      <w:color w:val="000000" w:themeColor="text1"/>
                      <w:highlight w:val="none"/>
                      <w14:textFill>
                        <w14:solidFill>
                          <w14:schemeClr w14:val="tx1"/>
                        </w14:solidFill>
                      </w14:textFill>
                    </w:rPr>
                  </w:pPr>
                </w:p>
              </w:tc>
              <w:tc>
                <w:tcPr>
                  <w:tcW w:w="1747" w:type="pct"/>
                  <w:tcBorders>
                    <w:tl2br w:val="nil"/>
                    <w:tr2bl w:val="nil"/>
                  </w:tcBorders>
                  <w:vAlign w:val="center"/>
                </w:tcPr>
                <w:p w14:paraId="4630F402">
                  <w:pPr>
                    <w:pStyle w:val="110"/>
                    <w:rPr>
                      <w:rFonts w:eastAsia="Times New Roman"/>
                      <w:color w:val="000000" w:themeColor="text1"/>
                      <w:highlight w:val="none"/>
                      <w14:textFill>
                        <w14:solidFill>
                          <w14:schemeClr w14:val="tx1"/>
                        </w14:solidFill>
                      </w14:textFill>
                    </w:rPr>
                  </w:pPr>
                  <w:r>
                    <w:rPr>
                      <w:rFonts w:eastAsia="Times New Roman"/>
                      <w:color w:val="000000" w:themeColor="text1"/>
                      <w:highlight w:val="none"/>
                      <w14:textFill>
                        <w14:solidFill>
                          <w14:schemeClr w14:val="tx1"/>
                        </w14:solidFill>
                      </w14:textFill>
                    </w:rPr>
                    <w:t>2023</w:t>
                  </w:r>
                  <w:r>
                    <w:rPr>
                      <w:color w:val="000000" w:themeColor="text1"/>
                      <w:highlight w:val="none"/>
                      <w14:textFill>
                        <w14:solidFill>
                          <w14:schemeClr w14:val="tx1"/>
                        </w14:solidFill>
                      </w14:textFill>
                    </w:rPr>
                    <w:t>年</w:t>
                  </w:r>
                  <w:r>
                    <w:rPr>
                      <w:rFonts w:eastAsia="Times New Roman"/>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月</w:t>
                  </w:r>
                  <w:r>
                    <w:rPr>
                      <w:rFonts w:eastAsia="Times New Roman"/>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-8日</w:t>
                  </w:r>
                </w:p>
              </w:tc>
              <w:tc>
                <w:tcPr>
                  <w:tcW w:w="2479" w:type="pct"/>
                  <w:tcBorders>
                    <w:tl2br w:val="nil"/>
                    <w:tr2bl w:val="nil"/>
                  </w:tcBorders>
                  <w:shd w:val="clear"/>
                  <w:vAlign w:val="center"/>
                </w:tcPr>
                <w:p w14:paraId="29385A57">
                  <w:pPr>
                    <w:pStyle w:val="89"/>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4997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continue"/>
                  <w:tcBorders>
                    <w:tl2br w:val="nil"/>
                    <w:tr2bl w:val="nil"/>
                  </w:tcBorders>
                  <w:vAlign w:val="center"/>
                </w:tcPr>
                <w:p w14:paraId="39BD1991">
                  <w:pPr>
                    <w:pStyle w:val="110"/>
                    <w:rPr>
                      <w:rFonts w:eastAsia="Times New Roman"/>
                      <w:color w:val="000000" w:themeColor="text1"/>
                      <w:highlight w:val="none"/>
                      <w14:textFill>
                        <w14:solidFill>
                          <w14:schemeClr w14:val="tx1"/>
                        </w14:solidFill>
                      </w14:textFill>
                    </w:rPr>
                  </w:pPr>
                </w:p>
              </w:tc>
              <w:tc>
                <w:tcPr>
                  <w:tcW w:w="1747" w:type="pct"/>
                  <w:tcBorders>
                    <w:tl2br w:val="nil"/>
                    <w:tr2bl w:val="nil"/>
                  </w:tcBorders>
                  <w:vAlign w:val="center"/>
                </w:tcPr>
                <w:p w14:paraId="74C39F49">
                  <w:pPr>
                    <w:pStyle w:val="110"/>
                    <w:rPr>
                      <w:rFonts w:eastAsia="Times New Roman"/>
                      <w:color w:val="000000" w:themeColor="text1"/>
                      <w:highlight w:val="none"/>
                      <w14:textFill>
                        <w14:solidFill>
                          <w14:schemeClr w14:val="tx1"/>
                        </w14:solidFill>
                      </w14:textFill>
                    </w:rPr>
                  </w:pPr>
                  <w:r>
                    <w:rPr>
                      <w:rFonts w:eastAsia="Times New Roman"/>
                      <w:color w:val="000000" w:themeColor="text1"/>
                      <w:highlight w:val="none"/>
                      <w14:textFill>
                        <w14:solidFill>
                          <w14:schemeClr w14:val="tx1"/>
                        </w14:solidFill>
                      </w14:textFill>
                    </w:rPr>
                    <w:t>2023</w:t>
                  </w:r>
                  <w:r>
                    <w:rPr>
                      <w:color w:val="000000" w:themeColor="text1"/>
                      <w:highlight w:val="none"/>
                      <w14:textFill>
                        <w14:solidFill>
                          <w14:schemeClr w14:val="tx1"/>
                        </w14:solidFill>
                      </w14:textFill>
                    </w:rPr>
                    <w:t>年</w:t>
                  </w:r>
                  <w:r>
                    <w:rPr>
                      <w:rFonts w:eastAsia="Times New Roman"/>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月</w:t>
                  </w:r>
                  <w:r>
                    <w:rPr>
                      <w:rFonts w:eastAsia="Times New Roman"/>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-9日</w:t>
                  </w:r>
                </w:p>
              </w:tc>
              <w:tc>
                <w:tcPr>
                  <w:tcW w:w="4171" w:type="dxa"/>
                  <w:tcBorders>
                    <w:tl2br w:val="nil"/>
                    <w:tr2bl w:val="nil"/>
                  </w:tcBorders>
                  <w:vAlign w:val="center"/>
                </w:tcPr>
                <w:p w14:paraId="2EC1C4C3">
                  <w:pPr>
                    <w:pStyle w:val="89"/>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2E34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continue"/>
                  <w:tcBorders>
                    <w:tl2br w:val="nil"/>
                    <w:tr2bl w:val="nil"/>
                  </w:tcBorders>
                  <w:vAlign w:val="center"/>
                </w:tcPr>
                <w:p w14:paraId="3C5A803E">
                  <w:pPr>
                    <w:pStyle w:val="110"/>
                    <w:rPr>
                      <w:rFonts w:eastAsia="Times New Roman"/>
                      <w:color w:val="000000" w:themeColor="text1"/>
                      <w:highlight w:val="none"/>
                      <w14:textFill>
                        <w14:solidFill>
                          <w14:schemeClr w14:val="tx1"/>
                        </w14:solidFill>
                      </w14:textFill>
                    </w:rPr>
                  </w:pPr>
                </w:p>
              </w:tc>
              <w:tc>
                <w:tcPr>
                  <w:tcW w:w="1747" w:type="pct"/>
                  <w:tcBorders>
                    <w:tl2br w:val="nil"/>
                    <w:tr2bl w:val="nil"/>
                  </w:tcBorders>
                  <w:vAlign w:val="center"/>
                </w:tcPr>
                <w:p w14:paraId="7D6A37F3">
                  <w:pPr>
                    <w:pStyle w:val="110"/>
                    <w:rPr>
                      <w:rFonts w:eastAsia="Times New Roman"/>
                      <w:color w:val="000000" w:themeColor="text1"/>
                      <w:highlight w:val="none"/>
                      <w14:textFill>
                        <w14:solidFill>
                          <w14:schemeClr w14:val="tx1"/>
                        </w14:solidFill>
                      </w14:textFill>
                    </w:rPr>
                  </w:pPr>
                  <w:r>
                    <w:rPr>
                      <w:rFonts w:eastAsia="Times New Roman"/>
                      <w:color w:val="000000" w:themeColor="text1"/>
                      <w:highlight w:val="none"/>
                      <w14:textFill>
                        <w14:solidFill>
                          <w14:schemeClr w14:val="tx1"/>
                        </w14:solidFill>
                      </w14:textFill>
                    </w:rPr>
                    <w:t>2023</w:t>
                  </w:r>
                  <w:r>
                    <w:rPr>
                      <w:color w:val="000000" w:themeColor="text1"/>
                      <w:highlight w:val="none"/>
                      <w14:textFill>
                        <w14:solidFill>
                          <w14:schemeClr w14:val="tx1"/>
                        </w14:solidFill>
                      </w14:textFill>
                    </w:rPr>
                    <w:t>年</w:t>
                  </w:r>
                  <w:r>
                    <w:rPr>
                      <w:rFonts w:eastAsia="Times New Roman"/>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月</w:t>
                  </w:r>
                  <w:r>
                    <w:rPr>
                      <w:rFonts w:eastAsia="Times New Roman"/>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-10日</w:t>
                  </w:r>
                </w:p>
              </w:tc>
              <w:tc>
                <w:tcPr>
                  <w:tcW w:w="4171" w:type="dxa"/>
                  <w:tcBorders>
                    <w:tl2br w:val="nil"/>
                    <w:tr2bl w:val="nil"/>
                  </w:tcBorders>
                  <w:vAlign w:val="center"/>
                </w:tcPr>
                <w:p w14:paraId="560BEE5D">
                  <w:pPr>
                    <w:pStyle w:val="89"/>
                    <w:jc w:val="center"/>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75A8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continue"/>
                  <w:tcBorders>
                    <w:tl2br w:val="nil"/>
                    <w:tr2bl w:val="nil"/>
                  </w:tcBorders>
                  <w:vAlign w:val="center"/>
                </w:tcPr>
                <w:p w14:paraId="25053475">
                  <w:pPr>
                    <w:pStyle w:val="110"/>
                    <w:rPr>
                      <w:rFonts w:eastAsia="Times New Roman"/>
                      <w:color w:val="000000" w:themeColor="text1"/>
                      <w:highlight w:val="none"/>
                      <w14:textFill>
                        <w14:solidFill>
                          <w14:schemeClr w14:val="tx1"/>
                        </w14:solidFill>
                      </w14:textFill>
                    </w:rPr>
                  </w:pPr>
                </w:p>
              </w:tc>
              <w:tc>
                <w:tcPr>
                  <w:tcW w:w="1747" w:type="pct"/>
                  <w:tcBorders>
                    <w:tl2br w:val="nil"/>
                    <w:tr2bl w:val="nil"/>
                  </w:tcBorders>
                  <w:vAlign w:val="center"/>
                </w:tcPr>
                <w:p w14:paraId="13AF28BB">
                  <w:pPr>
                    <w:pStyle w:val="110"/>
                    <w:rPr>
                      <w:rFonts w:eastAsia="Times New Roman"/>
                      <w:color w:val="000000" w:themeColor="text1"/>
                      <w:highlight w:val="none"/>
                      <w14:textFill>
                        <w14:solidFill>
                          <w14:schemeClr w14:val="tx1"/>
                        </w14:solidFill>
                      </w14:textFill>
                    </w:rPr>
                  </w:pPr>
                  <w:r>
                    <w:rPr>
                      <w:rFonts w:eastAsia="Times New Roman"/>
                      <w:color w:val="000000" w:themeColor="text1"/>
                      <w:highlight w:val="none"/>
                      <w14:textFill>
                        <w14:solidFill>
                          <w14:schemeClr w14:val="tx1"/>
                        </w14:solidFill>
                      </w14:textFill>
                    </w:rPr>
                    <w:t>2023</w:t>
                  </w:r>
                  <w:r>
                    <w:rPr>
                      <w:color w:val="000000" w:themeColor="text1"/>
                      <w:highlight w:val="none"/>
                      <w14:textFill>
                        <w14:solidFill>
                          <w14:schemeClr w14:val="tx1"/>
                        </w14:solidFill>
                      </w14:textFill>
                    </w:rPr>
                    <w:t>年</w:t>
                  </w:r>
                  <w:r>
                    <w:rPr>
                      <w:rFonts w:eastAsia="Times New Roman"/>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月</w:t>
                  </w:r>
                  <w:r>
                    <w:rPr>
                      <w:rFonts w:eastAsia="Times New Roman"/>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-11日</w:t>
                  </w:r>
                </w:p>
              </w:tc>
              <w:tc>
                <w:tcPr>
                  <w:tcW w:w="4171" w:type="dxa"/>
                  <w:tcBorders>
                    <w:tl2br w:val="nil"/>
                    <w:tr2bl w:val="nil"/>
                  </w:tcBorders>
                  <w:vAlign w:val="center"/>
                </w:tcPr>
                <w:p w14:paraId="55171DCA">
                  <w:pPr>
                    <w:pStyle w:val="89"/>
                    <w:jc w:val="center"/>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729C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continue"/>
                  <w:tcBorders>
                    <w:tl2br w:val="nil"/>
                    <w:tr2bl w:val="nil"/>
                  </w:tcBorders>
                  <w:vAlign w:val="center"/>
                </w:tcPr>
                <w:p w14:paraId="1CD0D31A">
                  <w:pPr>
                    <w:pStyle w:val="110"/>
                    <w:rPr>
                      <w:rFonts w:eastAsia="Times New Roman"/>
                      <w:color w:val="000000" w:themeColor="text1"/>
                      <w:highlight w:val="none"/>
                      <w14:textFill>
                        <w14:solidFill>
                          <w14:schemeClr w14:val="tx1"/>
                        </w14:solidFill>
                      </w14:textFill>
                    </w:rPr>
                  </w:pPr>
                </w:p>
              </w:tc>
              <w:tc>
                <w:tcPr>
                  <w:tcW w:w="1747" w:type="pct"/>
                  <w:tcBorders>
                    <w:tl2br w:val="nil"/>
                    <w:tr2bl w:val="nil"/>
                  </w:tcBorders>
                  <w:vAlign w:val="center"/>
                </w:tcPr>
                <w:p w14:paraId="0271D0C9">
                  <w:pPr>
                    <w:pStyle w:val="110"/>
                    <w:rPr>
                      <w:rFonts w:eastAsia="Times New Roman"/>
                      <w:color w:val="000000" w:themeColor="text1"/>
                      <w:highlight w:val="none"/>
                      <w14:textFill>
                        <w14:solidFill>
                          <w14:schemeClr w14:val="tx1"/>
                        </w14:solidFill>
                      </w14:textFill>
                    </w:rPr>
                  </w:pPr>
                  <w:r>
                    <w:rPr>
                      <w:rFonts w:eastAsia="Times New Roman"/>
                      <w:color w:val="000000" w:themeColor="text1"/>
                      <w:highlight w:val="none"/>
                      <w14:textFill>
                        <w14:solidFill>
                          <w14:schemeClr w14:val="tx1"/>
                        </w14:solidFill>
                      </w14:textFill>
                    </w:rPr>
                    <w:t>2023</w:t>
                  </w:r>
                  <w:r>
                    <w:rPr>
                      <w:color w:val="000000" w:themeColor="text1"/>
                      <w:highlight w:val="none"/>
                      <w14:textFill>
                        <w14:solidFill>
                          <w14:schemeClr w14:val="tx1"/>
                        </w14:solidFill>
                      </w14:textFill>
                    </w:rPr>
                    <w:t>年</w:t>
                  </w:r>
                  <w:r>
                    <w:rPr>
                      <w:rFonts w:eastAsia="Times New Roman"/>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月</w:t>
                  </w:r>
                  <w:r>
                    <w:rPr>
                      <w:rFonts w:eastAsia="Times New Roman"/>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-12日</w:t>
                  </w:r>
                </w:p>
              </w:tc>
              <w:tc>
                <w:tcPr>
                  <w:tcW w:w="4171" w:type="dxa"/>
                  <w:tcBorders>
                    <w:tl2br w:val="nil"/>
                    <w:tr2bl w:val="nil"/>
                  </w:tcBorders>
                  <w:vAlign w:val="center"/>
                </w:tcPr>
                <w:p w14:paraId="37BA7F4F">
                  <w:pPr>
                    <w:pStyle w:val="89"/>
                    <w:jc w:val="center"/>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710B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continue"/>
                  <w:tcBorders>
                    <w:tl2br w:val="nil"/>
                    <w:tr2bl w:val="nil"/>
                  </w:tcBorders>
                  <w:vAlign w:val="center"/>
                </w:tcPr>
                <w:p w14:paraId="10A2E8A5">
                  <w:pPr>
                    <w:pStyle w:val="110"/>
                    <w:rPr>
                      <w:rFonts w:eastAsia="Times New Roman"/>
                      <w:color w:val="000000" w:themeColor="text1"/>
                      <w:highlight w:val="none"/>
                      <w14:textFill>
                        <w14:solidFill>
                          <w14:schemeClr w14:val="tx1"/>
                        </w14:solidFill>
                      </w14:textFill>
                    </w:rPr>
                  </w:pPr>
                </w:p>
              </w:tc>
              <w:tc>
                <w:tcPr>
                  <w:tcW w:w="1747" w:type="pct"/>
                  <w:tcBorders>
                    <w:tl2br w:val="nil"/>
                    <w:tr2bl w:val="nil"/>
                  </w:tcBorders>
                  <w:vAlign w:val="center"/>
                </w:tcPr>
                <w:p w14:paraId="103B4917">
                  <w:pPr>
                    <w:pStyle w:val="110"/>
                    <w:rPr>
                      <w:rFonts w:eastAsia="Times New Roman"/>
                      <w:color w:val="000000" w:themeColor="text1"/>
                      <w:highlight w:val="none"/>
                      <w14:textFill>
                        <w14:solidFill>
                          <w14:schemeClr w14:val="tx1"/>
                        </w14:solidFill>
                      </w14:textFill>
                    </w:rPr>
                  </w:pPr>
                  <w:r>
                    <w:rPr>
                      <w:rFonts w:eastAsia="Times New Roman"/>
                      <w:color w:val="000000" w:themeColor="text1"/>
                      <w:highlight w:val="none"/>
                      <w14:textFill>
                        <w14:solidFill>
                          <w14:schemeClr w14:val="tx1"/>
                        </w14:solidFill>
                      </w14:textFill>
                    </w:rPr>
                    <w:t>2023</w:t>
                  </w:r>
                  <w:r>
                    <w:rPr>
                      <w:color w:val="000000" w:themeColor="text1"/>
                      <w:highlight w:val="none"/>
                      <w14:textFill>
                        <w14:solidFill>
                          <w14:schemeClr w14:val="tx1"/>
                        </w14:solidFill>
                      </w14:textFill>
                    </w:rPr>
                    <w:t>年</w:t>
                  </w:r>
                  <w:r>
                    <w:rPr>
                      <w:rFonts w:eastAsia="Times New Roman"/>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月</w:t>
                  </w:r>
                  <w:r>
                    <w:rPr>
                      <w:rFonts w:eastAsia="Times New Roman"/>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-13日</w:t>
                  </w:r>
                </w:p>
              </w:tc>
              <w:tc>
                <w:tcPr>
                  <w:tcW w:w="4171" w:type="dxa"/>
                  <w:tcBorders>
                    <w:tl2br w:val="nil"/>
                    <w:tr2bl w:val="nil"/>
                  </w:tcBorders>
                  <w:vAlign w:val="center"/>
                </w:tcPr>
                <w:p w14:paraId="5EC5F3FD">
                  <w:pPr>
                    <w:pStyle w:val="89"/>
                    <w:jc w:val="center"/>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24EC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520" w:type="pct"/>
                  <w:gridSpan w:val="2"/>
                  <w:tcBorders>
                    <w:tl2br w:val="nil"/>
                    <w:tr2bl w:val="nil"/>
                  </w:tcBorders>
                  <w:vAlign w:val="center"/>
                </w:tcPr>
                <w:p w14:paraId="2B087A7E">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标准限值（</w:t>
                  </w:r>
                  <w:r>
                    <w:rPr>
                      <w:rFonts w:hint="default" w:ascii="Times New Roman" w:hAnsi="Times New Roman" w:cs="Times New Roman"/>
                      <w:color w:val="000000" w:themeColor="text1"/>
                      <w:highlight w:val="none"/>
                      <w:lang w:val="en-US" w:eastAsia="zh-CN"/>
                      <w14:textFill>
                        <w14:solidFill>
                          <w14:schemeClr w14:val="tx1"/>
                        </w14:solidFill>
                      </w14:textFill>
                    </w:rPr>
                    <w:t>μ</w:t>
                  </w:r>
                  <w:r>
                    <w:rPr>
                      <w:color w:val="000000" w:themeColor="text1"/>
                      <w:highlight w:val="none"/>
                      <w14:textFill>
                        <w14:solidFill>
                          <w14:schemeClr w14:val="tx1"/>
                        </w14:solidFill>
                      </w14:textFill>
                    </w:rPr>
                    <w:t>g/m³）</w:t>
                  </w:r>
                </w:p>
              </w:tc>
              <w:tc>
                <w:tcPr>
                  <w:tcW w:w="2479" w:type="pct"/>
                  <w:tcBorders>
                    <w:tl2br w:val="nil"/>
                    <w:tr2bl w:val="nil"/>
                  </w:tcBorders>
                  <w:vAlign w:val="center"/>
                </w:tcPr>
                <w:p w14:paraId="1E0CC147">
                  <w:pPr>
                    <w:pStyle w:val="11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r>
          </w:tbl>
          <w:p w14:paraId="4C827452">
            <w:pPr>
              <w:spacing w:line="360" w:lineRule="auto"/>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lang w:val="en-US" w:eastAsia="zh-CN"/>
                <w14:textFill>
                  <w14:solidFill>
                    <w14:schemeClr w14:val="tx1"/>
                  </w14:solidFill>
                </w14:textFill>
              </w:rPr>
              <w:t xml:space="preserve">3.1-5 </w:t>
            </w:r>
            <w:r>
              <w:rPr>
                <w:b/>
                <w:bCs/>
                <w:color w:val="000000" w:themeColor="text1"/>
                <w:sz w:val="24"/>
                <w:szCs w:val="24"/>
                <w:highlight w:val="none"/>
                <w14:textFill>
                  <w14:solidFill>
                    <w14:schemeClr w14:val="tx1"/>
                  </w14:solidFill>
                </w14:textFill>
              </w:rPr>
              <w:t xml:space="preserve"> 小时均值监测结果表</w:t>
            </w:r>
          </w:p>
          <w:tbl>
            <w:tblPr>
              <w:tblStyle w:val="30"/>
              <w:tblW w:w="841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45"/>
              <w:gridCol w:w="1017"/>
              <w:gridCol w:w="1908"/>
              <w:gridCol w:w="892"/>
              <w:gridCol w:w="892"/>
              <w:gridCol w:w="892"/>
              <w:gridCol w:w="894"/>
              <w:gridCol w:w="1174"/>
            </w:tblGrid>
            <w:tr w14:paraId="7CF4B5D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745" w:type="dxa"/>
                  <w:vMerge w:val="restart"/>
                  <w:tcBorders>
                    <w:tl2br w:val="nil"/>
                    <w:tr2bl w:val="nil"/>
                  </w:tcBorders>
                  <w:vAlign w:val="center"/>
                </w:tcPr>
                <w:p w14:paraId="2744D765">
                  <w:pPr>
                    <w:pStyle w:val="11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检测项目</w:t>
                  </w:r>
                </w:p>
              </w:tc>
              <w:tc>
                <w:tcPr>
                  <w:tcW w:w="1017" w:type="dxa"/>
                  <w:vMerge w:val="restart"/>
                  <w:tcBorders>
                    <w:tl2br w:val="nil"/>
                    <w:tr2bl w:val="nil"/>
                  </w:tcBorders>
                  <w:vAlign w:val="center"/>
                </w:tcPr>
                <w:p w14:paraId="0DA1BF42">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检测点位</w:t>
                  </w:r>
                </w:p>
              </w:tc>
              <w:tc>
                <w:tcPr>
                  <w:tcW w:w="1908" w:type="dxa"/>
                  <w:vMerge w:val="restart"/>
                  <w:tcBorders>
                    <w:tl2br w:val="nil"/>
                    <w:tr2bl w:val="nil"/>
                  </w:tcBorders>
                  <w:vAlign w:val="center"/>
                </w:tcPr>
                <w:p w14:paraId="24266071">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采样日期</w:t>
                  </w:r>
                </w:p>
              </w:tc>
              <w:tc>
                <w:tcPr>
                  <w:tcW w:w="3570" w:type="dxa"/>
                  <w:gridSpan w:val="4"/>
                  <w:tcBorders>
                    <w:tl2br w:val="nil"/>
                    <w:tr2bl w:val="nil"/>
                  </w:tcBorders>
                  <w:vAlign w:val="center"/>
                </w:tcPr>
                <w:p w14:paraId="0FD4609B">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检测频次及结果（mg/m³）</w:t>
                  </w:r>
                </w:p>
              </w:tc>
              <w:tc>
                <w:tcPr>
                  <w:tcW w:w="1174" w:type="dxa"/>
                  <w:vMerge w:val="restart"/>
                  <w:tcBorders>
                    <w:tl2br w:val="nil"/>
                    <w:tr2bl w:val="nil"/>
                  </w:tcBorders>
                  <w:vAlign w:val="center"/>
                </w:tcPr>
                <w:p w14:paraId="5CDBC1FE">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标准限值（mg/m³）</w:t>
                  </w:r>
                </w:p>
              </w:tc>
            </w:tr>
            <w:tr w14:paraId="1AACF0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45" w:type="dxa"/>
                  <w:vMerge w:val="continue"/>
                  <w:tcBorders>
                    <w:tl2br w:val="nil"/>
                    <w:tr2bl w:val="nil"/>
                  </w:tcBorders>
                  <w:vAlign w:val="center"/>
                </w:tcPr>
                <w:p w14:paraId="6F8AF3E2">
                  <w:pPr>
                    <w:pStyle w:val="110"/>
                    <w:jc w:val="center"/>
                    <w:rPr>
                      <w:color w:val="000000" w:themeColor="text1"/>
                      <w:highlight w:val="none"/>
                      <w14:textFill>
                        <w14:solidFill>
                          <w14:schemeClr w14:val="tx1"/>
                        </w14:solidFill>
                      </w14:textFill>
                    </w:rPr>
                  </w:pPr>
                </w:p>
              </w:tc>
              <w:tc>
                <w:tcPr>
                  <w:tcW w:w="1017" w:type="dxa"/>
                  <w:vMerge w:val="continue"/>
                  <w:tcBorders>
                    <w:tl2br w:val="nil"/>
                    <w:tr2bl w:val="nil"/>
                  </w:tcBorders>
                  <w:vAlign w:val="center"/>
                </w:tcPr>
                <w:p w14:paraId="5AA0CDBC">
                  <w:pPr>
                    <w:pStyle w:val="110"/>
                    <w:jc w:val="center"/>
                    <w:rPr>
                      <w:color w:val="000000" w:themeColor="text1"/>
                      <w:highlight w:val="none"/>
                      <w14:textFill>
                        <w14:solidFill>
                          <w14:schemeClr w14:val="tx1"/>
                        </w14:solidFill>
                      </w14:textFill>
                    </w:rPr>
                  </w:pPr>
                </w:p>
              </w:tc>
              <w:tc>
                <w:tcPr>
                  <w:tcW w:w="1908" w:type="dxa"/>
                  <w:vMerge w:val="continue"/>
                  <w:tcBorders>
                    <w:tl2br w:val="nil"/>
                    <w:tr2bl w:val="nil"/>
                  </w:tcBorders>
                  <w:vAlign w:val="center"/>
                </w:tcPr>
                <w:p w14:paraId="6E7B58F3">
                  <w:pPr>
                    <w:pStyle w:val="110"/>
                    <w:jc w:val="center"/>
                    <w:rPr>
                      <w:color w:val="000000" w:themeColor="text1"/>
                      <w:highlight w:val="none"/>
                      <w14:textFill>
                        <w14:solidFill>
                          <w14:schemeClr w14:val="tx1"/>
                        </w14:solidFill>
                      </w14:textFill>
                    </w:rPr>
                  </w:pPr>
                </w:p>
              </w:tc>
              <w:tc>
                <w:tcPr>
                  <w:tcW w:w="892" w:type="dxa"/>
                  <w:tcBorders>
                    <w:tl2br w:val="nil"/>
                    <w:tr2bl w:val="nil"/>
                  </w:tcBorders>
                  <w:vAlign w:val="center"/>
                </w:tcPr>
                <w:p w14:paraId="2ACAD8E4">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892" w:type="dxa"/>
                  <w:tcBorders>
                    <w:tl2br w:val="nil"/>
                    <w:tr2bl w:val="nil"/>
                  </w:tcBorders>
                  <w:vAlign w:val="center"/>
                </w:tcPr>
                <w:p w14:paraId="2635C366">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892" w:type="dxa"/>
                  <w:tcBorders>
                    <w:tl2br w:val="nil"/>
                    <w:tr2bl w:val="nil"/>
                  </w:tcBorders>
                  <w:vAlign w:val="center"/>
                </w:tcPr>
                <w:p w14:paraId="3BE44E68">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894" w:type="dxa"/>
                  <w:tcBorders>
                    <w:tl2br w:val="nil"/>
                    <w:tr2bl w:val="nil"/>
                  </w:tcBorders>
                  <w:vAlign w:val="center"/>
                </w:tcPr>
                <w:p w14:paraId="737E05AA">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174" w:type="dxa"/>
                  <w:vMerge w:val="continue"/>
                  <w:tcBorders>
                    <w:tl2br w:val="nil"/>
                    <w:tr2bl w:val="nil"/>
                  </w:tcBorders>
                  <w:noWrap/>
                  <w:vAlign w:val="center"/>
                </w:tcPr>
                <w:p w14:paraId="29A7E648">
                  <w:pPr>
                    <w:pStyle w:val="110"/>
                    <w:jc w:val="center"/>
                    <w:rPr>
                      <w:rFonts w:hint="default" w:eastAsia="宋体"/>
                      <w:color w:val="000000" w:themeColor="text1"/>
                      <w:highlight w:val="none"/>
                      <w:lang w:val="en-US" w:eastAsia="zh-CN"/>
                      <w14:textFill>
                        <w14:solidFill>
                          <w14:schemeClr w14:val="tx1"/>
                        </w14:solidFill>
                      </w14:textFill>
                    </w:rPr>
                  </w:pPr>
                </w:p>
              </w:tc>
            </w:tr>
            <w:tr w14:paraId="527701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45" w:type="dxa"/>
                  <w:vMerge w:val="restart"/>
                  <w:tcBorders>
                    <w:tl2br w:val="nil"/>
                    <w:tr2bl w:val="nil"/>
                  </w:tcBorders>
                  <w:vAlign w:val="center"/>
                </w:tcPr>
                <w:p w14:paraId="40EEFEDD">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氟化物</w:t>
                  </w:r>
                </w:p>
              </w:tc>
              <w:tc>
                <w:tcPr>
                  <w:tcW w:w="1017" w:type="dxa"/>
                  <w:vMerge w:val="restart"/>
                  <w:tcBorders>
                    <w:tl2br w:val="nil"/>
                    <w:tr2bl w:val="nil"/>
                  </w:tcBorders>
                  <w:vAlign w:val="center"/>
                </w:tcPr>
                <w:p w14:paraId="6BD5475E">
                  <w:pPr>
                    <w:pStyle w:val="11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G1</w:t>
                  </w:r>
                  <w:r>
                    <w:rPr>
                      <w:color w:val="000000" w:themeColor="text1"/>
                      <w:highlight w:val="none"/>
                      <w14:textFill>
                        <w14:solidFill>
                          <w14:schemeClr w14:val="tx1"/>
                        </w14:solidFill>
                      </w14:textFill>
                    </w:rPr>
                    <w:t>尧沙村</w:t>
                  </w:r>
                </w:p>
              </w:tc>
              <w:tc>
                <w:tcPr>
                  <w:tcW w:w="1908" w:type="dxa"/>
                  <w:tcBorders>
                    <w:tl2br w:val="nil"/>
                    <w:tr2bl w:val="nil"/>
                  </w:tcBorders>
                  <w:vAlign w:val="center"/>
                </w:tcPr>
                <w:p w14:paraId="6E911239">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2023年11月6日</w:t>
                  </w:r>
                </w:p>
              </w:tc>
              <w:tc>
                <w:tcPr>
                  <w:tcW w:w="892" w:type="dxa"/>
                  <w:tcBorders>
                    <w:tl2br w:val="nil"/>
                    <w:tr2bl w:val="nil"/>
                  </w:tcBorders>
                  <w:vAlign w:val="center"/>
                </w:tcPr>
                <w:p w14:paraId="52EF03CF">
                  <w:pPr>
                    <w:pStyle w:val="89"/>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6A454107">
                  <w:pPr>
                    <w:pStyle w:val="89"/>
                    <w:jc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5E2C1835">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4" w:type="dxa"/>
                  <w:tcBorders>
                    <w:tl2br w:val="nil"/>
                    <w:tr2bl w:val="nil"/>
                  </w:tcBorders>
                  <w:vAlign w:val="center"/>
                </w:tcPr>
                <w:p w14:paraId="3A85E397">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1174" w:type="dxa"/>
                  <w:tcBorders>
                    <w:tl2br w:val="nil"/>
                    <w:tr2bl w:val="nil"/>
                  </w:tcBorders>
                  <w:noWrap/>
                  <w:vAlign w:val="center"/>
                </w:tcPr>
                <w:p w14:paraId="283E5735">
                  <w:pPr>
                    <w:pStyle w:val="11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r>
            <w:tr w14:paraId="2262B9D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45" w:type="dxa"/>
                  <w:vMerge w:val="continue"/>
                  <w:tcBorders>
                    <w:tl2br w:val="nil"/>
                    <w:tr2bl w:val="nil"/>
                  </w:tcBorders>
                  <w:vAlign w:val="center"/>
                </w:tcPr>
                <w:p w14:paraId="7514285C">
                  <w:pPr>
                    <w:pStyle w:val="110"/>
                    <w:jc w:val="center"/>
                    <w:rPr>
                      <w:color w:val="000000" w:themeColor="text1"/>
                      <w:highlight w:val="none"/>
                      <w14:textFill>
                        <w14:solidFill>
                          <w14:schemeClr w14:val="tx1"/>
                        </w14:solidFill>
                      </w14:textFill>
                    </w:rPr>
                  </w:pPr>
                </w:p>
              </w:tc>
              <w:tc>
                <w:tcPr>
                  <w:tcW w:w="1017" w:type="dxa"/>
                  <w:vMerge w:val="continue"/>
                  <w:tcBorders>
                    <w:tl2br w:val="nil"/>
                    <w:tr2bl w:val="nil"/>
                  </w:tcBorders>
                  <w:vAlign w:val="center"/>
                </w:tcPr>
                <w:p w14:paraId="04D9E1BE">
                  <w:pPr>
                    <w:pStyle w:val="110"/>
                    <w:jc w:val="center"/>
                    <w:rPr>
                      <w:rFonts w:hint="eastAsia"/>
                      <w:color w:val="000000" w:themeColor="text1"/>
                      <w:highlight w:val="none"/>
                      <w:lang w:val="en-US" w:eastAsia="zh-CN"/>
                      <w14:textFill>
                        <w14:solidFill>
                          <w14:schemeClr w14:val="tx1"/>
                        </w14:solidFill>
                      </w14:textFill>
                    </w:rPr>
                  </w:pPr>
                </w:p>
              </w:tc>
              <w:tc>
                <w:tcPr>
                  <w:tcW w:w="1908" w:type="dxa"/>
                  <w:tcBorders>
                    <w:tl2br w:val="nil"/>
                    <w:tr2bl w:val="nil"/>
                  </w:tcBorders>
                  <w:vAlign w:val="center"/>
                </w:tcPr>
                <w:p w14:paraId="0A367567">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2023年11月</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日</w:t>
                  </w:r>
                </w:p>
              </w:tc>
              <w:tc>
                <w:tcPr>
                  <w:tcW w:w="892" w:type="dxa"/>
                  <w:tcBorders>
                    <w:tl2br w:val="nil"/>
                    <w:tr2bl w:val="nil"/>
                  </w:tcBorders>
                  <w:vAlign w:val="center"/>
                </w:tcPr>
                <w:p w14:paraId="26E39E62">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0705A351">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775A5B87">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4" w:type="dxa"/>
                  <w:tcBorders>
                    <w:tl2br w:val="nil"/>
                    <w:tr2bl w:val="nil"/>
                  </w:tcBorders>
                  <w:vAlign w:val="center"/>
                </w:tcPr>
                <w:p w14:paraId="0269A248">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1174" w:type="dxa"/>
                  <w:tcBorders>
                    <w:tl2br w:val="nil"/>
                    <w:tr2bl w:val="nil"/>
                  </w:tcBorders>
                  <w:noWrap/>
                  <w:vAlign w:val="center"/>
                </w:tcPr>
                <w:p w14:paraId="6D048220">
                  <w:pPr>
                    <w:pStyle w:val="11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r>
            <w:tr w14:paraId="67AC0E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45" w:type="dxa"/>
                  <w:vMerge w:val="continue"/>
                  <w:tcBorders>
                    <w:tl2br w:val="nil"/>
                    <w:tr2bl w:val="nil"/>
                  </w:tcBorders>
                  <w:vAlign w:val="center"/>
                </w:tcPr>
                <w:p w14:paraId="14DA3E11">
                  <w:pPr>
                    <w:pStyle w:val="110"/>
                    <w:jc w:val="center"/>
                    <w:rPr>
                      <w:color w:val="000000" w:themeColor="text1"/>
                      <w:highlight w:val="none"/>
                      <w14:textFill>
                        <w14:solidFill>
                          <w14:schemeClr w14:val="tx1"/>
                        </w14:solidFill>
                      </w14:textFill>
                    </w:rPr>
                  </w:pPr>
                </w:p>
              </w:tc>
              <w:tc>
                <w:tcPr>
                  <w:tcW w:w="1017" w:type="dxa"/>
                  <w:vMerge w:val="continue"/>
                  <w:tcBorders>
                    <w:tl2br w:val="nil"/>
                    <w:tr2bl w:val="nil"/>
                  </w:tcBorders>
                  <w:vAlign w:val="center"/>
                </w:tcPr>
                <w:p w14:paraId="5D052859">
                  <w:pPr>
                    <w:pStyle w:val="110"/>
                    <w:jc w:val="center"/>
                    <w:rPr>
                      <w:rFonts w:hint="eastAsia"/>
                      <w:color w:val="000000" w:themeColor="text1"/>
                      <w:highlight w:val="none"/>
                      <w:lang w:val="en-US" w:eastAsia="zh-CN"/>
                      <w14:textFill>
                        <w14:solidFill>
                          <w14:schemeClr w14:val="tx1"/>
                        </w14:solidFill>
                      </w14:textFill>
                    </w:rPr>
                  </w:pPr>
                </w:p>
              </w:tc>
              <w:tc>
                <w:tcPr>
                  <w:tcW w:w="1908" w:type="dxa"/>
                  <w:tcBorders>
                    <w:tl2br w:val="nil"/>
                    <w:tr2bl w:val="nil"/>
                  </w:tcBorders>
                  <w:vAlign w:val="center"/>
                </w:tcPr>
                <w:p w14:paraId="75538A00">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2023年11月</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日</w:t>
                  </w:r>
                </w:p>
              </w:tc>
              <w:tc>
                <w:tcPr>
                  <w:tcW w:w="892" w:type="dxa"/>
                  <w:tcBorders>
                    <w:tl2br w:val="nil"/>
                    <w:tr2bl w:val="nil"/>
                  </w:tcBorders>
                  <w:vAlign w:val="center"/>
                </w:tcPr>
                <w:p w14:paraId="4C9F1F7A">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0BB45502">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10EDFE6A">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4" w:type="dxa"/>
                  <w:tcBorders>
                    <w:tl2br w:val="nil"/>
                    <w:tr2bl w:val="nil"/>
                  </w:tcBorders>
                  <w:vAlign w:val="center"/>
                </w:tcPr>
                <w:p w14:paraId="07B2CF68">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1174" w:type="dxa"/>
                  <w:tcBorders>
                    <w:tl2br w:val="nil"/>
                    <w:tr2bl w:val="nil"/>
                  </w:tcBorders>
                  <w:noWrap/>
                  <w:vAlign w:val="center"/>
                </w:tcPr>
                <w:p w14:paraId="6FECAF22">
                  <w:pPr>
                    <w:pStyle w:val="11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r>
            <w:tr w14:paraId="3CA37E0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45" w:type="dxa"/>
                  <w:vMerge w:val="continue"/>
                  <w:tcBorders>
                    <w:tl2br w:val="nil"/>
                    <w:tr2bl w:val="nil"/>
                  </w:tcBorders>
                  <w:vAlign w:val="center"/>
                </w:tcPr>
                <w:p w14:paraId="4AD5D9C6">
                  <w:pPr>
                    <w:pStyle w:val="110"/>
                    <w:jc w:val="center"/>
                    <w:rPr>
                      <w:color w:val="000000" w:themeColor="text1"/>
                      <w:highlight w:val="none"/>
                      <w14:textFill>
                        <w14:solidFill>
                          <w14:schemeClr w14:val="tx1"/>
                        </w14:solidFill>
                      </w14:textFill>
                    </w:rPr>
                  </w:pPr>
                </w:p>
              </w:tc>
              <w:tc>
                <w:tcPr>
                  <w:tcW w:w="1017" w:type="dxa"/>
                  <w:vMerge w:val="continue"/>
                  <w:tcBorders>
                    <w:tl2br w:val="nil"/>
                    <w:tr2bl w:val="nil"/>
                  </w:tcBorders>
                  <w:vAlign w:val="center"/>
                </w:tcPr>
                <w:p w14:paraId="30A210F2">
                  <w:pPr>
                    <w:pStyle w:val="110"/>
                    <w:jc w:val="center"/>
                    <w:rPr>
                      <w:rFonts w:hint="eastAsia"/>
                      <w:color w:val="000000" w:themeColor="text1"/>
                      <w:highlight w:val="none"/>
                      <w:lang w:val="en-US" w:eastAsia="zh-CN"/>
                      <w14:textFill>
                        <w14:solidFill>
                          <w14:schemeClr w14:val="tx1"/>
                        </w14:solidFill>
                      </w14:textFill>
                    </w:rPr>
                  </w:pPr>
                </w:p>
              </w:tc>
              <w:tc>
                <w:tcPr>
                  <w:tcW w:w="1908" w:type="dxa"/>
                  <w:tcBorders>
                    <w:tl2br w:val="nil"/>
                    <w:tr2bl w:val="nil"/>
                  </w:tcBorders>
                  <w:vAlign w:val="center"/>
                </w:tcPr>
                <w:p w14:paraId="541B76BC">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2023年11月</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日</w:t>
                  </w:r>
                </w:p>
              </w:tc>
              <w:tc>
                <w:tcPr>
                  <w:tcW w:w="892" w:type="dxa"/>
                  <w:tcBorders>
                    <w:tl2br w:val="nil"/>
                    <w:tr2bl w:val="nil"/>
                  </w:tcBorders>
                  <w:vAlign w:val="center"/>
                </w:tcPr>
                <w:p w14:paraId="6367FF36">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4639638A">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1D50F358">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4" w:type="dxa"/>
                  <w:tcBorders>
                    <w:tl2br w:val="nil"/>
                    <w:tr2bl w:val="nil"/>
                  </w:tcBorders>
                  <w:vAlign w:val="center"/>
                </w:tcPr>
                <w:p w14:paraId="33D3512F">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1174" w:type="dxa"/>
                  <w:tcBorders>
                    <w:tl2br w:val="nil"/>
                    <w:tr2bl w:val="nil"/>
                  </w:tcBorders>
                  <w:noWrap/>
                  <w:vAlign w:val="center"/>
                </w:tcPr>
                <w:p w14:paraId="170ACB86">
                  <w:pPr>
                    <w:pStyle w:val="11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r>
            <w:tr w14:paraId="04C88C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45" w:type="dxa"/>
                  <w:vMerge w:val="continue"/>
                  <w:tcBorders>
                    <w:tl2br w:val="nil"/>
                    <w:tr2bl w:val="nil"/>
                  </w:tcBorders>
                  <w:vAlign w:val="center"/>
                </w:tcPr>
                <w:p w14:paraId="1B8766A2">
                  <w:pPr>
                    <w:pStyle w:val="110"/>
                    <w:jc w:val="center"/>
                    <w:rPr>
                      <w:color w:val="000000" w:themeColor="text1"/>
                      <w:highlight w:val="none"/>
                      <w14:textFill>
                        <w14:solidFill>
                          <w14:schemeClr w14:val="tx1"/>
                        </w14:solidFill>
                      </w14:textFill>
                    </w:rPr>
                  </w:pPr>
                </w:p>
              </w:tc>
              <w:tc>
                <w:tcPr>
                  <w:tcW w:w="1017" w:type="dxa"/>
                  <w:vMerge w:val="continue"/>
                  <w:tcBorders>
                    <w:tl2br w:val="nil"/>
                    <w:tr2bl w:val="nil"/>
                  </w:tcBorders>
                  <w:vAlign w:val="center"/>
                </w:tcPr>
                <w:p w14:paraId="16AA6AFA">
                  <w:pPr>
                    <w:pStyle w:val="110"/>
                    <w:jc w:val="center"/>
                    <w:rPr>
                      <w:rFonts w:hint="eastAsia"/>
                      <w:color w:val="000000" w:themeColor="text1"/>
                      <w:highlight w:val="none"/>
                      <w:lang w:val="en-US" w:eastAsia="zh-CN"/>
                      <w14:textFill>
                        <w14:solidFill>
                          <w14:schemeClr w14:val="tx1"/>
                        </w14:solidFill>
                      </w14:textFill>
                    </w:rPr>
                  </w:pPr>
                </w:p>
              </w:tc>
              <w:tc>
                <w:tcPr>
                  <w:tcW w:w="1908" w:type="dxa"/>
                  <w:tcBorders>
                    <w:tl2br w:val="nil"/>
                    <w:tr2bl w:val="nil"/>
                  </w:tcBorders>
                  <w:vAlign w:val="center"/>
                </w:tcPr>
                <w:p w14:paraId="6858D2EF">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2023年11月</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日</w:t>
                  </w:r>
                </w:p>
              </w:tc>
              <w:tc>
                <w:tcPr>
                  <w:tcW w:w="892" w:type="dxa"/>
                  <w:tcBorders>
                    <w:tl2br w:val="nil"/>
                    <w:tr2bl w:val="nil"/>
                  </w:tcBorders>
                  <w:vAlign w:val="center"/>
                </w:tcPr>
                <w:p w14:paraId="37E8FA21">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39BFDE3C">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32E758DE">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4" w:type="dxa"/>
                  <w:tcBorders>
                    <w:tl2br w:val="nil"/>
                    <w:tr2bl w:val="nil"/>
                  </w:tcBorders>
                  <w:vAlign w:val="center"/>
                </w:tcPr>
                <w:p w14:paraId="18967EAD">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1174" w:type="dxa"/>
                  <w:tcBorders>
                    <w:tl2br w:val="nil"/>
                    <w:tr2bl w:val="nil"/>
                  </w:tcBorders>
                  <w:noWrap/>
                  <w:vAlign w:val="center"/>
                </w:tcPr>
                <w:p w14:paraId="5870FDD9">
                  <w:pPr>
                    <w:pStyle w:val="11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r>
            <w:tr w14:paraId="59D6FC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45" w:type="dxa"/>
                  <w:vMerge w:val="continue"/>
                  <w:tcBorders>
                    <w:tl2br w:val="nil"/>
                    <w:tr2bl w:val="nil"/>
                  </w:tcBorders>
                  <w:vAlign w:val="center"/>
                </w:tcPr>
                <w:p w14:paraId="325D6FAF">
                  <w:pPr>
                    <w:pStyle w:val="110"/>
                    <w:jc w:val="center"/>
                    <w:rPr>
                      <w:color w:val="000000" w:themeColor="text1"/>
                      <w:highlight w:val="none"/>
                      <w14:textFill>
                        <w14:solidFill>
                          <w14:schemeClr w14:val="tx1"/>
                        </w14:solidFill>
                      </w14:textFill>
                    </w:rPr>
                  </w:pPr>
                </w:p>
              </w:tc>
              <w:tc>
                <w:tcPr>
                  <w:tcW w:w="1017" w:type="dxa"/>
                  <w:vMerge w:val="continue"/>
                  <w:tcBorders>
                    <w:tl2br w:val="nil"/>
                    <w:tr2bl w:val="nil"/>
                  </w:tcBorders>
                  <w:vAlign w:val="center"/>
                </w:tcPr>
                <w:p w14:paraId="1F8CF93E">
                  <w:pPr>
                    <w:pStyle w:val="110"/>
                    <w:jc w:val="center"/>
                    <w:rPr>
                      <w:rFonts w:hint="eastAsia"/>
                      <w:color w:val="000000" w:themeColor="text1"/>
                      <w:highlight w:val="none"/>
                      <w:lang w:val="en-US" w:eastAsia="zh-CN"/>
                      <w14:textFill>
                        <w14:solidFill>
                          <w14:schemeClr w14:val="tx1"/>
                        </w14:solidFill>
                      </w14:textFill>
                    </w:rPr>
                  </w:pPr>
                </w:p>
              </w:tc>
              <w:tc>
                <w:tcPr>
                  <w:tcW w:w="1908" w:type="dxa"/>
                  <w:tcBorders>
                    <w:tl2br w:val="nil"/>
                    <w:tr2bl w:val="nil"/>
                  </w:tcBorders>
                  <w:vAlign w:val="center"/>
                </w:tcPr>
                <w:p w14:paraId="2FB090E4">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2023年11月</w:t>
                  </w:r>
                  <w:r>
                    <w:rPr>
                      <w:rFonts w:hint="eastAsia"/>
                      <w:color w:val="000000" w:themeColor="text1"/>
                      <w:highlight w:val="none"/>
                      <w:lang w:val="en-US" w:eastAsia="zh-CN"/>
                      <w14:textFill>
                        <w14:solidFill>
                          <w14:schemeClr w14:val="tx1"/>
                        </w14:solidFill>
                      </w14:textFill>
                    </w:rPr>
                    <w:t>11</w:t>
                  </w:r>
                  <w:r>
                    <w:rPr>
                      <w:color w:val="000000" w:themeColor="text1"/>
                      <w:highlight w:val="none"/>
                      <w14:textFill>
                        <w14:solidFill>
                          <w14:schemeClr w14:val="tx1"/>
                        </w14:solidFill>
                      </w14:textFill>
                    </w:rPr>
                    <w:t>日</w:t>
                  </w:r>
                </w:p>
              </w:tc>
              <w:tc>
                <w:tcPr>
                  <w:tcW w:w="892" w:type="dxa"/>
                  <w:tcBorders>
                    <w:tl2br w:val="nil"/>
                    <w:tr2bl w:val="nil"/>
                  </w:tcBorders>
                  <w:vAlign w:val="center"/>
                </w:tcPr>
                <w:p w14:paraId="7AA78A3D">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7B2EB2BB">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600AA972">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4" w:type="dxa"/>
                  <w:tcBorders>
                    <w:tl2br w:val="nil"/>
                    <w:tr2bl w:val="nil"/>
                  </w:tcBorders>
                  <w:vAlign w:val="center"/>
                </w:tcPr>
                <w:p w14:paraId="13A364A4">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1174" w:type="dxa"/>
                  <w:tcBorders>
                    <w:tl2br w:val="nil"/>
                    <w:tr2bl w:val="nil"/>
                  </w:tcBorders>
                  <w:noWrap/>
                  <w:vAlign w:val="center"/>
                </w:tcPr>
                <w:p w14:paraId="6C06E99D">
                  <w:pPr>
                    <w:pStyle w:val="11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r>
            <w:tr w14:paraId="185CEB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45" w:type="dxa"/>
                  <w:vMerge w:val="continue"/>
                  <w:tcBorders>
                    <w:tl2br w:val="nil"/>
                    <w:tr2bl w:val="nil"/>
                  </w:tcBorders>
                  <w:vAlign w:val="center"/>
                </w:tcPr>
                <w:p w14:paraId="515B6BD9">
                  <w:pPr>
                    <w:pStyle w:val="110"/>
                    <w:jc w:val="center"/>
                    <w:rPr>
                      <w:color w:val="000000" w:themeColor="text1"/>
                      <w:highlight w:val="none"/>
                      <w14:textFill>
                        <w14:solidFill>
                          <w14:schemeClr w14:val="tx1"/>
                        </w14:solidFill>
                      </w14:textFill>
                    </w:rPr>
                  </w:pPr>
                </w:p>
              </w:tc>
              <w:tc>
                <w:tcPr>
                  <w:tcW w:w="1017" w:type="dxa"/>
                  <w:vMerge w:val="continue"/>
                  <w:tcBorders>
                    <w:tl2br w:val="nil"/>
                    <w:tr2bl w:val="nil"/>
                  </w:tcBorders>
                  <w:vAlign w:val="center"/>
                </w:tcPr>
                <w:p w14:paraId="613CCE6C">
                  <w:pPr>
                    <w:pStyle w:val="110"/>
                    <w:jc w:val="center"/>
                    <w:rPr>
                      <w:rFonts w:hint="eastAsia"/>
                      <w:color w:val="000000" w:themeColor="text1"/>
                      <w:highlight w:val="none"/>
                      <w:lang w:val="en-US" w:eastAsia="zh-CN"/>
                      <w14:textFill>
                        <w14:solidFill>
                          <w14:schemeClr w14:val="tx1"/>
                        </w14:solidFill>
                      </w14:textFill>
                    </w:rPr>
                  </w:pPr>
                </w:p>
              </w:tc>
              <w:tc>
                <w:tcPr>
                  <w:tcW w:w="1908" w:type="dxa"/>
                  <w:tcBorders>
                    <w:tl2br w:val="nil"/>
                    <w:tr2bl w:val="nil"/>
                  </w:tcBorders>
                  <w:vAlign w:val="center"/>
                </w:tcPr>
                <w:p w14:paraId="488F9714">
                  <w:pPr>
                    <w:pStyle w:val="11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2023年11月</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日</w:t>
                  </w:r>
                </w:p>
              </w:tc>
              <w:tc>
                <w:tcPr>
                  <w:tcW w:w="892" w:type="dxa"/>
                  <w:tcBorders>
                    <w:tl2br w:val="nil"/>
                    <w:tr2bl w:val="nil"/>
                  </w:tcBorders>
                  <w:vAlign w:val="center"/>
                </w:tcPr>
                <w:p w14:paraId="437D86DE">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34B374A1">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2" w:type="dxa"/>
                  <w:tcBorders>
                    <w:tl2br w:val="nil"/>
                    <w:tr2bl w:val="nil"/>
                  </w:tcBorders>
                  <w:vAlign w:val="center"/>
                </w:tcPr>
                <w:p w14:paraId="7CCA8B65">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894" w:type="dxa"/>
                  <w:tcBorders>
                    <w:tl2br w:val="nil"/>
                    <w:tr2bl w:val="nil"/>
                  </w:tcBorders>
                  <w:vAlign w:val="center"/>
                </w:tcPr>
                <w:p w14:paraId="4683B46A">
                  <w:pPr>
                    <w:pStyle w:val="89"/>
                    <w:jc w:val="center"/>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c>
                <w:tcPr>
                  <w:tcW w:w="1174" w:type="dxa"/>
                  <w:tcBorders>
                    <w:tl2br w:val="nil"/>
                    <w:tr2bl w:val="nil"/>
                  </w:tcBorders>
                  <w:noWrap/>
                  <w:vAlign w:val="center"/>
                </w:tcPr>
                <w:p w14:paraId="13FDD282">
                  <w:pPr>
                    <w:pStyle w:val="11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r>
          </w:tbl>
          <w:p w14:paraId="32EDB4A0">
            <w:pPr>
              <w:spacing w:line="360" w:lineRule="auto"/>
              <w:ind w:firstLine="480" w:firstLineChars="200"/>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由上表可知，项目所在区域氟化物可满足《环境空气质量标准》（GB3095-20</w:t>
            </w:r>
            <w:r>
              <w:rPr>
                <w:rFonts w:hint="eastAsia" w:cs="Times New Roman"/>
                <w:color w:val="000000" w:themeColor="text1"/>
                <w:kern w:val="2"/>
                <w:sz w:val="24"/>
                <w:szCs w:val="24"/>
                <w:highlight w:val="none"/>
                <w:lang w:val="en-US" w:eastAsia="zh-CN" w:bidi="ar-SA"/>
                <w14:textFill>
                  <w14:solidFill>
                    <w14:schemeClr w14:val="tx1"/>
                  </w14:solidFill>
                </w14:textFill>
              </w:rPr>
              <w:t>26</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中的浓度限值</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。因此项目所在区域环境空气质量较好</w:t>
            </w:r>
            <w:r>
              <w:rPr>
                <w:rFonts w:hint="eastAsia" w:cs="Times New Roman"/>
                <w:color w:val="000000" w:themeColor="text1"/>
                <w:kern w:val="2"/>
                <w:sz w:val="24"/>
                <w:szCs w:val="24"/>
                <w:highlight w:val="none"/>
                <w:lang w:val="en-US" w:eastAsia="zh-CN" w:bidi="ar-SA"/>
                <w14:textFill>
                  <w14:solidFill>
                    <w14:schemeClr w14:val="tx1"/>
                  </w14:solidFill>
                </w14:textFill>
              </w:rPr>
              <w:t>。</w:t>
            </w:r>
          </w:p>
          <w:p w14:paraId="18F45E1C">
            <w:pPr>
              <w:spacing w:line="360" w:lineRule="auto"/>
              <w:ind w:firstLine="480" w:firstLineChars="200"/>
              <w:rPr>
                <w:rFonts w:hint="default"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（二）TSP</w:t>
            </w:r>
          </w:p>
          <w:p w14:paraId="6C2ED852">
            <w:pPr>
              <w:pStyle w:val="9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监测时间：2024年9月11日至14日</w:t>
            </w:r>
          </w:p>
          <w:p w14:paraId="01DDE42D">
            <w:pPr>
              <w:pStyle w:val="9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监测单位：安正计量检测有限公司</w:t>
            </w:r>
          </w:p>
          <w:p w14:paraId="1237C7B7">
            <w:pPr>
              <w:pStyle w:val="98"/>
              <w:rPr>
                <w:rFonts w:hint="default" w:eastAsia="宋体"/>
                <w:color w:val="000000" w:themeColor="text1"/>
                <w:highlight w:val="none"/>
                <w:lang w:val="en-US" w:eastAsia="zh-CN"/>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监测点位见下表，见图3.1-1。</w:t>
            </w:r>
          </w:p>
          <w:p w14:paraId="021F2FC3">
            <w:pPr>
              <w:spacing w:line="360" w:lineRule="auto"/>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lang w:val="en-US" w:eastAsia="zh-CN"/>
                <w14:textFill>
                  <w14:solidFill>
                    <w14:schemeClr w14:val="tx1"/>
                  </w14:solidFill>
                </w14:textFill>
              </w:rPr>
              <w:t>3.1</w:t>
            </w: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 xml:space="preserve">6 </w:t>
            </w:r>
            <w:r>
              <w:rPr>
                <w:b/>
                <w:bCs/>
                <w:color w:val="000000" w:themeColor="text1"/>
                <w:sz w:val="24"/>
                <w:szCs w:val="24"/>
                <w:highlight w:val="none"/>
                <w14:textFill>
                  <w14:solidFill>
                    <w14:schemeClr w14:val="tx1"/>
                  </w14:solidFill>
                </w14:textFill>
              </w:rPr>
              <w:t>大气监测点位表</w:t>
            </w:r>
          </w:p>
          <w:tbl>
            <w:tblPr>
              <w:tblStyle w:val="30"/>
              <w:tblW w:w="5000" w:type="pct"/>
              <w:tblInd w:w="11"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818"/>
              <w:gridCol w:w="2944"/>
              <w:gridCol w:w="1485"/>
              <w:gridCol w:w="3165"/>
            </w:tblGrid>
            <w:tr w14:paraId="262EBA5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86" w:type="pct"/>
                  <w:tcBorders>
                    <w:tl2br w:val="nil"/>
                    <w:tr2bl w:val="nil"/>
                  </w:tcBorders>
                  <w:noWrap/>
                  <w:vAlign w:val="center"/>
                </w:tcPr>
                <w:p w14:paraId="7BE0CB73">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749" w:type="pct"/>
                  <w:tcBorders>
                    <w:tl2br w:val="nil"/>
                    <w:tr2bl w:val="nil"/>
                  </w:tcBorders>
                  <w:vAlign w:val="center"/>
                </w:tcPr>
                <w:p w14:paraId="5C9FB205">
                  <w:pPr>
                    <w:pStyle w:val="110"/>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监测点位置</w:t>
                  </w:r>
                </w:p>
              </w:tc>
              <w:tc>
                <w:tcPr>
                  <w:tcW w:w="882" w:type="pct"/>
                  <w:tcBorders>
                    <w:tl2br w:val="nil"/>
                    <w:tr2bl w:val="nil"/>
                  </w:tcBorders>
                  <w:vAlign w:val="center"/>
                </w:tcPr>
                <w:p w14:paraId="22BDA0DD">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监测项目</w:t>
                  </w:r>
                </w:p>
              </w:tc>
              <w:tc>
                <w:tcPr>
                  <w:tcW w:w="1881" w:type="pct"/>
                  <w:tcBorders>
                    <w:tl2br w:val="nil"/>
                    <w:tr2bl w:val="nil"/>
                  </w:tcBorders>
                  <w:vAlign w:val="center"/>
                </w:tcPr>
                <w:p w14:paraId="62C63282">
                  <w:pPr>
                    <w:pStyle w:val="11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与项目</w:t>
                  </w:r>
                  <w:r>
                    <w:rPr>
                      <w:rFonts w:hint="eastAsia"/>
                      <w:color w:val="000000" w:themeColor="text1"/>
                      <w:highlight w:val="none"/>
                      <w:lang w:val="en-US" w:eastAsia="zh-CN"/>
                      <w14:textFill>
                        <w14:solidFill>
                          <w14:schemeClr w14:val="tx1"/>
                        </w14:solidFill>
                      </w14:textFill>
                    </w:rPr>
                    <w:t>的方位和距离</w:t>
                  </w:r>
                </w:p>
              </w:tc>
            </w:tr>
            <w:tr w14:paraId="59BEF22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86" w:type="pct"/>
                  <w:tcBorders>
                    <w:tl2br w:val="nil"/>
                    <w:tr2bl w:val="nil"/>
                  </w:tcBorders>
                  <w:noWrap/>
                  <w:vAlign w:val="center"/>
                </w:tcPr>
                <w:p w14:paraId="7A0129C4">
                  <w:pPr>
                    <w:pStyle w:val="110"/>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G</w:t>
                  </w:r>
                  <w:r>
                    <w:rPr>
                      <w:rFonts w:hint="eastAsia"/>
                      <w:color w:val="000000" w:themeColor="text1"/>
                      <w:highlight w:val="none"/>
                      <w:lang w:val="en-US" w:eastAsia="zh-CN"/>
                      <w14:textFill>
                        <w14:solidFill>
                          <w14:schemeClr w14:val="tx1"/>
                        </w14:solidFill>
                      </w14:textFill>
                    </w:rPr>
                    <w:t>2</w:t>
                  </w:r>
                </w:p>
              </w:tc>
              <w:tc>
                <w:tcPr>
                  <w:tcW w:w="1749" w:type="pct"/>
                  <w:tcBorders>
                    <w:tl2br w:val="nil"/>
                    <w:tr2bl w:val="nil"/>
                  </w:tcBorders>
                  <w:vAlign w:val="center"/>
                </w:tcPr>
                <w:p w14:paraId="130766D1">
                  <w:pPr>
                    <w:pStyle w:val="1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玉田村</w:t>
                  </w:r>
                </w:p>
              </w:tc>
              <w:tc>
                <w:tcPr>
                  <w:tcW w:w="882" w:type="pct"/>
                  <w:tcBorders>
                    <w:tl2br w:val="nil"/>
                    <w:tr2bl w:val="nil"/>
                  </w:tcBorders>
                  <w:vAlign w:val="center"/>
                </w:tcPr>
                <w:p w14:paraId="4BF28FCE">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TSP</w:t>
                  </w:r>
                </w:p>
              </w:tc>
              <w:tc>
                <w:tcPr>
                  <w:tcW w:w="1881" w:type="pct"/>
                  <w:tcBorders>
                    <w:tl2br w:val="nil"/>
                    <w:tr2bl w:val="nil"/>
                  </w:tcBorders>
                  <w:vAlign w:val="center"/>
                </w:tcPr>
                <w:p w14:paraId="7CCE574A">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r>
                    <w:rPr>
                      <w:color w:val="000000" w:themeColor="text1"/>
                      <w:highlight w:val="none"/>
                      <w14:textFill>
                        <w14:solidFill>
                          <w14:schemeClr w14:val="tx1"/>
                        </w14:solidFill>
                      </w14:textFill>
                    </w:rPr>
                    <w:t>北</w:t>
                  </w:r>
                  <w:r>
                    <w:rPr>
                      <w:rFonts w:hint="eastAsia"/>
                      <w:color w:val="000000" w:themeColor="text1"/>
                      <w:highlight w:val="none"/>
                      <w:lang w:val="en-US" w:eastAsia="zh-CN"/>
                      <w14:textFill>
                        <w14:solidFill>
                          <w14:schemeClr w14:val="tx1"/>
                        </w14:solidFill>
                      </w14:textFill>
                    </w:rPr>
                    <w:t>方向2.2km</w:t>
                  </w:r>
                </w:p>
              </w:tc>
            </w:tr>
          </w:tbl>
          <w:p w14:paraId="1ADD49E4">
            <w:pPr>
              <w:pStyle w:val="9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）评价标准</w:t>
            </w:r>
          </w:p>
          <w:p w14:paraId="4206F1FE">
            <w:pPr>
              <w:pStyle w:val="98"/>
              <w:ind w:firstLine="468"/>
              <w:rPr>
                <w:color w:val="000000" w:themeColor="text1"/>
                <w:szCs w:val="24"/>
                <w:highlight w:val="none"/>
                <w14:textFill>
                  <w14:solidFill>
                    <w14:schemeClr w14:val="tx1"/>
                  </w14:solidFill>
                </w14:textFill>
              </w:rPr>
            </w:pPr>
            <w:r>
              <w:rPr>
                <w:rFonts w:hint="eastAsia"/>
                <w:color w:val="000000" w:themeColor="text1"/>
                <w:spacing w:val="-3"/>
                <w:szCs w:val="24"/>
                <w:highlight w:val="none"/>
                <w:lang w:val="en-US" w:eastAsia="zh-CN"/>
                <w14:textFill>
                  <w14:solidFill>
                    <w14:schemeClr w14:val="tx1"/>
                  </w14:solidFill>
                </w14:textFill>
              </w:rPr>
              <w:t>TSP</w:t>
            </w:r>
            <w:r>
              <w:rPr>
                <w:color w:val="000000" w:themeColor="text1"/>
                <w:spacing w:val="-3"/>
                <w:szCs w:val="24"/>
                <w:highlight w:val="none"/>
                <w14:textFill>
                  <w14:solidFill>
                    <w14:schemeClr w14:val="tx1"/>
                  </w14:solidFill>
                </w14:textFill>
              </w:rPr>
              <w:t>执行《环境空气质量标准》（</w:t>
            </w:r>
            <w:r>
              <w:rPr>
                <w:rFonts w:eastAsia="Times New Roman"/>
                <w:color w:val="000000" w:themeColor="text1"/>
                <w:spacing w:val="-3"/>
                <w:szCs w:val="24"/>
                <w:highlight w:val="none"/>
                <w14:textFill>
                  <w14:solidFill>
                    <w14:schemeClr w14:val="tx1"/>
                  </w14:solidFill>
                </w14:textFill>
              </w:rPr>
              <w:t>GB3095-20</w:t>
            </w:r>
            <w:r>
              <w:rPr>
                <w:rFonts w:hint="eastAsia" w:eastAsia="宋体"/>
                <w:color w:val="000000" w:themeColor="text1"/>
                <w:spacing w:val="-3"/>
                <w:szCs w:val="24"/>
                <w:highlight w:val="none"/>
                <w:lang w:val="en-US" w:eastAsia="zh-CN"/>
                <w14:textFill>
                  <w14:solidFill>
                    <w14:schemeClr w14:val="tx1"/>
                  </w14:solidFill>
                </w14:textFill>
              </w:rPr>
              <w:t>26</w:t>
            </w:r>
            <w:r>
              <w:rPr>
                <w:color w:val="000000" w:themeColor="text1"/>
                <w:spacing w:val="-3"/>
                <w:szCs w:val="24"/>
                <w:highlight w:val="none"/>
                <w14:textFill>
                  <w14:solidFill>
                    <w14:schemeClr w14:val="tx1"/>
                  </w14:solidFill>
                </w14:textFill>
              </w:rPr>
              <w:t>）</w:t>
            </w:r>
            <w:r>
              <w:rPr>
                <w:rFonts w:hint="eastAsia"/>
                <w:color w:val="000000" w:themeColor="text1"/>
                <w:spacing w:val="-3"/>
                <w:szCs w:val="24"/>
                <w:highlight w:val="none"/>
                <w:lang w:val="en-US" w:eastAsia="zh-CN"/>
                <w14:textFill>
                  <w14:solidFill>
                    <w14:schemeClr w14:val="tx1"/>
                  </w14:solidFill>
                </w14:textFill>
              </w:rPr>
              <w:t>中的二级</w:t>
            </w:r>
            <w:r>
              <w:rPr>
                <w:color w:val="000000" w:themeColor="text1"/>
                <w:spacing w:val="-3"/>
                <w:szCs w:val="24"/>
                <w:highlight w:val="none"/>
                <w14:textFill>
                  <w14:solidFill>
                    <w14:schemeClr w14:val="tx1"/>
                  </w14:solidFill>
                </w14:textFill>
              </w:rPr>
              <w:t>标准</w:t>
            </w:r>
            <w:r>
              <w:rPr>
                <w:color w:val="000000" w:themeColor="text1"/>
                <w:spacing w:val="1"/>
                <w:szCs w:val="24"/>
                <w:highlight w:val="none"/>
                <w14:textFill>
                  <w14:solidFill>
                    <w14:schemeClr w14:val="tx1"/>
                  </w14:solidFill>
                </w14:textFill>
              </w:rPr>
              <w:t>。</w:t>
            </w:r>
          </w:p>
          <w:p w14:paraId="4D843994">
            <w:pPr>
              <w:pStyle w:val="9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）监测与评价结果</w:t>
            </w:r>
          </w:p>
          <w:p w14:paraId="772D2652">
            <w:pPr>
              <w:spacing w:line="360" w:lineRule="auto"/>
              <w:ind w:firstLine="480" w:firstLineChars="200"/>
              <w:rPr>
                <w:color w:val="000000" w:themeColor="text1"/>
                <w:sz w:val="24"/>
                <w:szCs w:val="20"/>
                <w:highlight w:val="none"/>
                <w14:textFill>
                  <w14:solidFill>
                    <w14:schemeClr w14:val="tx1"/>
                  </w14:solidFill>
                </w14:textFill>
              </w:rPr>
            </w:pPr>
            <w:r>
              <w:rPr>
                <w:color w:val="000000" w:themeColor="text1"/>
                <w:sz w:val="24"/>
                <w:szCs w:val="20"/>
                <w:highlight w:val="none"/>
                <w14:textFill>
                  <w14:solidFill>
                    <w14:schemeClr w14:val="tx1"/>
                  </w14:solidFill>
                </w14:textFill>
              </w:rPr>
              <w:t>监测结果见</w:t>
            </w:r>
            <w:r>
              <w:rPr>
                <w:rFonts w:hint="eastAsia"/>
                <w:color w:val="000000" w:themeColor="text1"/>
                <w:sz w:val="24"/>
                <w:szCs w:val="20"/>
                <w:highlight w:val="none"/>
                <w:lang w:val="en-US" w:eastAsia="zh-CN"/>
                <w14:textFill>
                  <w14:solidFill>
                    <w14:schemeClr w14:val="tx1"/>
                  </w14:solidFill>
                </w14:textFill>
              </w:rPr>
              <w:t>下</w:t>
            </w:r>
            <w:r>
              <w:rPr>
                <w:color w:val="000000" w:themeColor="text1"/>
                <w:sz w:val="24"/>
                <w:szCs w:val="20"/>
                <w:highlight w:val="none"/>
                <w14:textFill>
                  <w14:solidFill>
                    <w14:schemeClr w14:val="tx1"/>
                  </w14:solidFill>
                </w14:textFill>
              </w:rPr>
              <w:t>表。</w:t>
            </w:r>
          </w:p>
          <w:p w14:paraId="387ED043">
            <w:pPr>
              <w:spacing w:line="360" w:lineRule="auto"/>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lang w:val="en-US" w:eastAsia="zh-CN"/>
                <w14:textFill>
                  <w14:solidFill>
                    <w14:schemeClr w14:val="tx1"/>
                  </w14:solidFill>
                </w14:textFill>
              </w:rPr>
              <w:t>3.1</w:t>
            </w: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 xml:space="preserve">7  </w:t>
            </w:r>
            <w:r>
              <w:rPr>
                <w:b/>
                <w:bCs/>
                <w:color w:val="000000" w:themeColor="text1"/>
                <w:sz w:val="24"/>
                <w:szCs w:val="24"/>
                <w:highlight w:val="none"/>
                <w14:textFill>
                  <w14:solidFill>
                    <w14:schemeClr w14:val="tx1"/>
                  </w14:solidFill>
                </w14:textFill>
              </w:rPr>
              <w:t>日均值监测结果表</w:t>
            </w:r>
          </w:p>
          <w:tbl>
            <w:tblPr>
              <w:tblStyle w:val="30"/>
              <w:tblW w:w="5000" w:type="pct"/>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1"/>
              <w:gridCol w:w="2940"/>
              <w:gridCol w:w="4171"/>
            </w:tblGrid>
            <w:tr w14:paraId="06A5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tcBorders>
                    <w:tl2br w:val="nil"/>
                    <w:tr2bl w:val="nil"/>
                  </w:tcBorders>
                  <w:vAlign w:val="center"/>
                </w:tcPr>
                <w:p w14:paraId="4FF29926">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检测点位</w:t>
                  </w:r>
                </w:p>
              </w:tc>
              <w:tc>
                <w:tcPr>
                  <w:tcW w:w="1747" w:type="pct"/>
                  <w:tcBorders>
                    <w:tl2br w:val="nil"/>
                    <w:tr2bl w:val="nil"/>
                  </w:tcBorders>
                  <w:vAlign w:val="center"/>
                </w:tcPr>
                <w:p w14:paraId="38C19344">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采样日期</w:t>
                  </w:r>
                </w:p>
              </w:tc>
              <w:tc>
                <w:tcPr>
                  <w:tcW w:w="2479" w:type="pct"/>
                  <w:tcBorders>
                    <w:tl2br w:val="nil"/>
                    <w:tr2bl w:val="nil"/>
                  </w:tcBorders>
                  <w:vAlign w:val="center"/>
                </w:tcPr>
                <w:p w14:paraId="0404E6DB">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氟化物检测结果（</w:t>
                  </w:r>
                  <w:r>
                    <w:rPr>
                      <w:rFonts w:hint="default" w:ascii="Times New Roman" w:hAnsi="Times New Roman" w:cs="Times New Roman"/>
                      <w:color w:val="000000" w:themeColor="text1"/>
                      <w:highlight w:val="none"/>
                      <w:lang w:val="en-US" w:eastAsia="zh-CN"/>
                      <w14:textFill>
                        <w14:solidFill>
                          <w14:schemeClr w14:val="tx1"/>
                        </w14:solidFill>
                      </w14:textFill>
                    </w:rPr>
                    <w:t>μ</w:t>
                  </w:r>
                  <w:r>
                    <w:rPr>
                      <w:rFonts w:eastAsia="Times New Roman"/>
                      <w:color w:val="000000" w:themeColor="text1"/>
                      <w:highlight w:val="none"/>
                      <w14:textFill>
                        <w14:solidFill>
                          <w14:schemeClr w14:val="tx1"/>
                        </w14:solidFill>
                      </w14:textFill>
                    </w:rPr>
                    <w:t>g/</w:t>
                  </w:r>
                  <w:r>
                    <w:rPr>
                      <w:color w:val="000000" w:themeColor="text1"/>
                      <w:highlight w:val="none"/>
                      <w14:textFill>
                        <w14:solidFill>
                          <w14:schemeClr w14:val="tx1"/>
                        </w14:solidFill>
                      </w14:textFill>
                    </w:rPr>
                    <w:t>m³）</w:t>
                  </w:r>
                </w:p>
              </w:tc>
            </w:tr>
            <w:tr w14:paraId="70FC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restart"/>
                  <w:tcBorders>
                    <w:tl2br w:val="nil"/>
                    <w:tr2bl w:val="nil"/>
                  </w:tcBorders>
                  <w:vAlign w:val="center"/>
                </w:tcPr>
                <w:p w14:paraId="3EAA3695">
                  <w:pPr>
                    <w:pStyle w:val="110"/>
                    <w:rPr>
                      <w:rFonts w:eastAsia="Times New Roman"/>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G</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玉田村</w:t>
                  </w:r>
                </w:p>
              </w:tc>
              <w:tc>
                <w:tcPr>
                  <w:tcW w:w="2940" w:type="dxa"/>
                  <w:tcBorders>
                    <w:tl2br w:val="nil"/>
                    <w:tr2bl w:val="nil"/>
                  </w:tcBorders>
                  <w:vAlign w:val="top"/>
                </w:tcPr>
                <w:p w14:paraId="07FA4BE9">
                  <w:pPr>
                    <w:pStyle w:val="110"/>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2024年9月11日</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12日</w:t>
                  </w:r>
                </w:p>
              </w:tc>
              <w:tc>
                <w:tcPr>
                  <w:tcW w:w="4171" w:type="dxa"/>
                  <w:tcBorders>
                    <w:tl2br w:val="nil"/>
                    <w:tr2bl w:val="nil"/>
                  </w:tcBorders>
                  <w:vAlign w:val="center"/>
                </w:tcPr>
                <w:p w14:paraId="3F773645">
                  <w:pPr>
                    <w:pStyle w:val="89"/>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3A3E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continue"/>
                  <w:tcBorders>
                    <w:tl2br w:val="nil"/>
                    <w:tr2bl w:val="nil"/>
                  </w:tcBorders>
                  <w:vAlign w:val="center"/>
                </w:tcPr>
                <w:p w14:paraId="0DD9B9CA">
                  <w:pPr>
                    <w:pStyle w:val="110"/>
                    <w:rPr>
                      <w:rFonts w:eastAsia="Times New Roman"/>
                      <w:color w:val="000000" w:themeColor="text1"/>
                      <w:highlight w:val="none"/>
                      <w14:textFill>
                        <w14:solidFill>
                          <w14:schemeClr w14:val="tx1"/>
                        </w14:solidFill>
                      </w14:textFill>
                    </w:rPr>
                  </w:pPr>
                </w:p>
              </w:tc>
              <w:tc>
                <w:tcPr>
                  <w:tcW w:w="2940" w:type="dxa"/>
                  <w:tcBorders>
                    <w:tl2br w:val="nil"/>
                    <w:tr2bl w:val="nil"/>
                  </w:tcBorders>
                  <w:vAlign w:val="top"/>
                </w:tcPr>
                <w:p w14:paraId="2F845024">
                  <w:pPr>
                    <w:pStyle w:val="110"/>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2024年9月1</w:t>
                  </w:r>
                  <w:r>
                    <w:rPr>
                      <w:rFonts w:hint="eastAsia"/>
                      <w:color w:val="000000" w:themeColor="text1"/>
                      <w:highlight w:val="none"/>
                      <w:lang w:val="en-US" w:eastAsia="zh-CN"/>
                      <w14:textFill>
                        <w14:solidFill>
                          <w14:schemeClr w14:val="tx1"/>
                        </w14:solidFill>
                      </w14:textFill>
                    </w:rPr>
                    <w:t>2</w:t>
                  </w:r>
                  <w:r>
                    <w:rPr>
                      <w:rFonts w:hint="eastAsia"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rFonts w:hint="eastAsia" w:eastAsia="宋体"/>
                      <w:color w:val="000000" w:themeColor="text1"/>
                      <w:highlight w:val="none"/>
                      <w:lang w:val="en-US" w:eastAsia="zh-CN"/>
                      <w14:textFill>
                        <w14:solidFill>
                          <w14:schemeClr w14:val="tx1"/>
                        </w14:solidFill>
                      </w14:textFill>
                    </w:rPr>
                    <w:t>日</w:t>
                  </w:r>
                </w:p>
              </w:tc>
              <w:tc>
                <w:tcPr>
                  <w:tcW w:w="4171" w:type="dxa"/>
                  <w:tcBorders>
                    <w:tl2br w:val="nil"/>
                    <w:tr2bl w:val="nil"/>
                  </w:tcBorders>
                  <w:vAlign w:val="center"/>
                </w:tcPr>
                <w:p w14:paraId="65E689D1">
                  <w:pPr>
                    <w:pStyle w:val="89"/>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38F1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 w:type="pct"/>
                  <w:vMerge w:val="continue"/>
                  <w:tcBorders>
                    <w:tl2br w:val="nil"/>
                    <w:tr2bl w:val="nil"/>
                  </w:tcBorders>
                  <w:vAlign w:val="center"/>
                </w:tcPr>
                <w:p w14:paraId="017FC545">
                  <w:pPr>
                    <w:pStyle w:val="110"/>
                    <w:rPr>
                      <w:rFonts w:eastAsia="Times New Roman"/>
                      <w:color w:val="000000" w:themeColor="text1"/>
                      <w:highlight w:val="none"/>
                      <w14:textFill>
                        <w14:solidFill>
                          <w14:schemeClr w14:val="tx1"/>
                        </w14:solidFill>
                      </w14:textFill>
                    </w:rPr>
                  </w:pPr>
                </w:p>
              </w:tc>
              <w:tc>
                <w:tcPr>
                  <w:tcW w:w="2940" w:type="dxa"/>
                  <w:tcBorders>
                    <w:tl2br w:val="nil"/>
                    <w:tr2bl w:val="nil"/>
                  </w:tcBorders>
                  <w:vAlign w:val="top"/>
                </w:tcPr>
                <w:p w14:paraId="6098D552">
                  <w:pPr>
                    <w:pStyle w:val="110"/>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2024年9月1</w:t>
                  </w:r>
                  <w:r>
                    <w:rPr>
                      <w:rFonts w:hint="eastAsia"/>
                      <w:color w:val="000000" w:themeColor="text1"/>
                      <w:highlight w:val="none"/>
                      <w:lang w:val="en-US" w:eastAsia="zh-CN"/>
                      <w14:textFill>
                        <w14:solidFill>
                          <w14:schemeClr w14:val="tx1"/>
                        </w14:solidFill>
                      </w14:textFill>
                    </w:rPr>
                    <w:t>3</w:t>
                  </w:r>
                  <w:r>
                    <w:rPr>
                      <w:rFonts w:hint="eastAsia"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rFonts w:hint="eastAsia" w:eastAsia="宋体"/>
                      <w:color w:val="000000" w:themeColor="text1"/>
                      <w:highlight w:val="none"/>
                      <w:lang w:val="en-US" w:eastAsia="zh-CN"/>
                      <w14:textFill>
                        <w14:solidFill>
                          <w14:schemeClr w14:val="tx1"/>
                        </w14:solidFill>
                      </w14:textFill>
                    </w:rPr>
                    <w:t>日</w:t>
                  </w:r>
                </w:p>
              </w:tc>
              <w:tc>
                <w:tcPr>
                  <w:tcW w:w="4171" w:type="dxa"/>
                  <w:tcBorders>
                    <w:tl2br w:val="nil"/>
                    <w:tr2bl w:val="nil"/>
                  </w:tcBorders>
                  <w:vAlign w:val="center"/>
                </w:tcPr>
                <w:p w14:paraId="6241C98C">
                  <w:pPr>
                    <w:pStyle w:val="89"/>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62D2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520" w:type="pct"/>
                  <w:gridSpan w:val="2"/>
                  <w:tcBorders>
                    <w:tl2br w:val="nil"/>
                    <w:tr2bl w:val="nil"/>
                  </w:tcBorders>
                  <w:vAlign w:val="center"/>
                </w:tcPr>
                <w:p w14:paraId="6D6CE763">
                  <w:pPr>
                    <w:pStyle w:val="110"/>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标准限值（</w:t>
                  </w:r>
                  <w:r>
                    <w:rPr>
                      <w:rFonts w:hint="default" w:ascii="Times New Roman" w:hAnsi="Times New Roman" w:cs="Times New Roman"/>
                      <w:color w:val="000000" w:themeColor="text1"/>
                      <w:highlight w:val="none"/>
                      <w:lang w:val="en-US" w:eastAsia="zh-CN"/>
                      <w14:textFill>
                        <w14:solidFill>
                          <w14:schemeClr w14:val="tx1"/>
                        </w14:solidFill>
                      </w14:textFill>
                    </w:rPr>
                    <w:t>μ</w:t>
                  </w:r>
                  <w:r>
                    <w:rPr>
                      <w:color w:val="000000" w:themeColor="text1"/>
                      <w:highlight w:val="none"/>
                      <w14:textFill>
                        <w14:solidFill>
                          <w14:schemeClr w14:val="tx1"/>
                        </w14:solidFill>
                      </w14:textFill>
                    </w:rPr>
                    <w:t>g/m³）</w:t>
                  </w:r>
                </w:p>
              </w:tc>
              <w:tc>
                <w:tcPr>
                  <w:tcW w:w="2479" w:type="pct"/>
                  <w:tcBorders>
                    <w:tl2br w:val="nil"/>
                    <w:tr2bl w:val="nil"/>
                  </w:tcBorders>
                  <w:vAlign w:val="center"/>
                </w:tcPr>
                <w:p w14:paraId="03225F25">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300</w:t>
                  </w:r>
                </w:p>
              </w:tc>
            </w:tr>
          </w:tbl>
          <w:p w14:paraId="407A9920">
            <w:pPr>
              <w:spacing w:line="360" w:lineRule="auto"/>
              <w:ind w:firstLine="480" w:firstLineChars="200"/>
              <w:rPr>
                <w:rFonts w:hint="default"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由上表可知，项目所在区域</w:t>
            </w:r>
            <w:r>
              <w:rPr>
                <w:rFonts w:hint="eastAsia" w:cs="Times New Roman"/>
                <w:color w:val="000000" w:themeColor="text1"/>
                <w:kern w:val="2"/>
                <w:sz w:val="24"/>
                <w:szCs w:val="24"/>
                <w:highlight w:val="none"/>
                <w:lang w:val="en-US" w:eastAsia="zh-CN" w:bidi="ar-SA"/>
                <w14:textFill>
                  <w14:solidFill>
                    <w14:schemeClr w14:val="tx1"/>
                  </w14:solidFill>
                </w14:textFill>
              </w:rPr>
              <w:t>TSP</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可满足《环境空气质量标准》（GB3095-20</w:t>
            </w:r>
            <w:r>
              <w:rPr>
                <w:rFonts w:hint="eastAsia" w:cs="Times New Roman"/>
                <w:color w:val="000000" w:themeColor="text1"/>
                <w:kern w:val="2"/>
                <w:sz w:val="24"/>
                <w:szCs w:val="24"/>
                <w:highlight w:val="none"/>
                <w:lang w:val="en-US" w:eastAsia="zh-CN" w:bidi="ar-SA"/>
                <w14:textFill>
                  <w14:solidFill>
                    <w14:schemeClr w14:val="tx1"/>
                  </w14:solidFill>
                </w14:textFill>
              </w:rPr>
              <w:t>26</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中的二级浓度限值</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。因此项目所在区域环境空气质量较好</w:t>
            </w:r>
            <w:r>
              <w:rPr>
                <w:rFonts w:hint="eastAsia" w:cs="Times New Roman"/>
                <w:color w:val="000000" w:themeColor="text1"/>
                <w:kern w:val="2"/>
                <w:sz w:val="24"/>
                <w:szCs w:val="24"/>
                <w:highlight w:val="none"/>
                <w:lang w:val="en-US" w:eastAsia="zh-CN" w:bidi="ar-SA"/>
                <w14:textFill>
                  <w14:solidFill>
                    <w14:schemeClr w14:val="tx1"/>
                  </w14:solidFill>
                </w14:textFill>
              </w:rPr>
              <w:t>。</w:t>
            </w:r>
          </w:p>
          <w:p w14:paraId="04623665">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3.2</w:t>
            </w:r>
            <w:r>
              <w:rPr>
                <w:rFonts w:hint="eastAsia"/>
                <w:color w:val="000000" w:themeColor="text1"/>
                <w:sz w:val="24"/>
                <w:szCs w:val="21"/>
                <w:highlight w:val="none"/>
                <w14:textFill>
                  <w14:solidFill>
                    <w14:schemeClr w14:val="tx1"/>
                  </w14:solidFill>
                </w14:textFill>
              </w:rPr>
              <w:t>地表水环境质量现状</w:t>
            </w:r>
          </w:p>
          <w:p w14:paraId="2B4AEFA7">
            <w:pPr>
              <w:spacing w:line="360" w:lineRule="auto"/>
              <w:ind w:firstLine="480" w:firstLineChars="200"/>
              <w:rPr>
                <w:rFonts w:hint="default"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1</w:t>
            </w: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水环境功能区划</w:t>
            </w:r>
          </w:p>
          <w:p w14:paraId="3B16761F">
            <w:pPr>
              <w:spacing w:line="360" w:lineRule="auto"/>
              <w:ind w:firstLine="480" w:firstLineChars="200"/>
              <w:rPr>
                <w:rFonts w:hint="eastAsia" w:cs="宋体"/>
                <w:color w:val="000000" w:themeColor="text1"/>
                <w:sz w:val="24"/>
                <w:szCs w:val="24"/>
                <w:highlight w:val="none"/>
                <w:lang w:eastAsia="zh-CN"/>
                <w14:textFill>
                  <w14:solidFill>
                    <w14:schemeClr w14:val="tx1"/>
                  </w14:solidFill>
                </w14:textFill>
              </w:rPr>
            </w:pPr>
            <w:r>
              <w:rPr>
                <w:rFonts w:hint="eastAsia" w:cs="宋体"/>
                <w:color w:val="000000" w:themeColor="text1"/>
                <w:sz w:val="24"/>
                <w:szCs w:val="24"/>
                <w:highlight w:val="none"/>
                <w:lang w:eastAsia="zh-CN"/>
                <w14:textFill>
                  <w14:solidFill>
                    <w14:schemeClr w14:val="tx1"/>
                  </w14:solidFill>
                </w14:textFill>
              </w:rPr>
              <w:t>本项目附近的水域为东侧约1</w:t>
            </w:r>
            <w:r>
              <w:rPr>
                <w:rFonts w:hint="eastAsia" w:cs="宋体"/>
                <w:color w:val="000000" w:themeColor="text1"/>
                <w:sz w:val="24"/>
                <w:szCs w:val="24"/>
                <w:highlight w:val="none"/>
                <w:lang w:val="en-US" w:eastAsia="zh-CN"/>
                <w14:textFill>
                  <w14:solidFill>
                    <w14:schemeClr w14:val="tx1"/>
                  </w14:solidFill>
                </w14:textFill>
              </w:rPr>
              <w:t>14</w:t>
            </w:r>
            <w:r>
              <w:rPr>
                <w:rFonts w:hint="eastAsia" w:cs="宋体"/>
                <w:color w:val="000000" w:themeColor="text1"/>
                <w:sz w:val="24"/>
                <w:szCs w:val="24"/>
                <w:highlight w:val="none"/>
                <w:lang w:eastAsia="zh-CN"/>
                <w14:textFill>
                  <w14:solidFill>
                    <w14:schemeClr w14:val="tx1"/>
                  </w14:solidFill>
                </w14:textFill>
              </w:rPr>
              <w:t>0m处的大樟溪，根据福州市人民政府榕政综[2019]316号批准《福州市水功能区划》，项目区域</w:t>
            </w:r>
            <w:r>
              <w:rPr>
                <w:rFonts w:hint="eastAsia" w:cs="宋体"/>
                <w:color w:val="000000" w:themeColor="text1"/>
                <w:sz w:val="24"/>
                <w:szCs w:val="24"/>
                <w:highlight w:val="none"/>
                <w:lang w:val="en-US" w:eastAsia="zh-CN"/>
                <w14:textFill>
                  <w14:solidFill>
                    <w14:schemeClr w14:val="tx1"/>
                  </w14:solidFill>
                </w14:textFill>
              </w:rPr>
              <w:t>周边</w:t>
            </w:r>
            <w:r>
              <w:rPr>
                <w:rFonts w:hint="eastAsia" w:cs="宋体"/>
                <w:color w:val="000000" w:themeColor="text1"/>
                <w:sz w:val="24"/>
                <w:szCs w:val="24"/>
                <w:highlight w:val="none"/>
                <w:lang w:eastAsia="zh-CN"/>
                <w14:textFill>
                  <w14:solidFill>
                    <w14:schemeClr w14:val="tx1"/>
                  </w14:solidFill>
                </w14:textFill>
              </w:rPr>
              <w:t>大樟溪水体功能为渔业用水、农业用水，水环境质量执行《地表水环境质量标准》（GB3838-2002）中的Ⅲ类标准。</w:t>
            </w:r>
          </w:p>
          <w:p w14:paraId="51292547">
            <w:pPr>
              <w:spacing w:line="360" w:lineRule="auto"/>
              <w:ind w:firstLine="480" w:firstLineChars="200"/>
              <w:rPr>
                <w:rFonts w:hint="eastAsia" w:eastAsia="宋体" w:cs="宋体"/>
                <w:color w:val="000000" w:themeColor="text1"/>
                <w:sz w:val="24"/>
                <w:szCs w:val="24"/>
                <w:highlight w:val="none"/>
                <w:lang w:eastAsia="zh-CN"/>
                <w14:textFill>
                  <w14:solidFill>
                    <w14:schemeClr w14:val="tx1"/>
                  </w14:solidFill>
                </w14:textFill>
              </w:rPr>
            </w:pP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2</w:t>
            </w:r>
            <w:r>
              <w:rPr>
                <w:rFonts w:hint="eastAsia" w:cs="宋体"/>
                <w:color w:val="000000" w:themeColor="text1"/>
                <w:sz w:val="24"/>
                <w:szCs w:val="24"/>
                <w:highlight w:val="none"/>
                <w:lang w:eastAsia="zh-CN"/>
                <w14:textFill>
                  <w14:solidFill>
                    <w14:schemeClr w14:val="tx1"/>
                  </w14:solidFill>
                </w14:textFill>
              </w:rPr>
              <w:t>）地表水环境质量现状</w:t>
            </w:r>
          </w:p>
          <w:p w14:paraId="728E32E8">
            <w:pPr>
              <w:spacing w:line="360" w:lineRule="auto"/>
              <w:ind w:firstLine="480" w:firstLineChars="200"/>
              <w:rPr>
                <w:rFonts w:hint="eastAsia" w:eastAsia="宋体" w:cs="宋体"/>
                <w:color w:val="000000" w:themeColor="text1"/>
                <w:sz w:val="24"/>
                <w:szCs w:val="24"/>
                <w:highlight w:val="none"/>
                <w:lang w:eastAsia="zh-CN"/>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为了解项目地表水水质环境质量现状，根据福州市人民政府网站发布的《2024年福州市环境状况公报》</w:t>
            </w: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2024年，福州市主要流域总体水质为优的水平。主要流域国省控断面和小流域省控断面优良水质比例、集中式饮用水水源地水质达标率保持100%，闽江干流4个国控断面“十四五”以来首次实现优质水比例100%</w:t>
            </w:r>
            <w:r>
              <w:rPr>
                <w:rFonts w:hint="eastAsia" w:cs="宋体"/>
                <w:color w:val="000000" w:themeColor="text1"/>
                <w:sz w:val="24"/>
                <w:szCs w:val="24"/>
                <w:highlight w:val="none"/>
                <w:lang w:eastAsia="zh-CN"/>
                <w14:textFill>
                  <w14:solidFill>
                    <w14:schemeClr w14:val="tx1"/>
                  </w14:solidFill>
                </w14:textFill>
              </w:rPr>
              <w:t>。由此可知大樟溪水质可达到《地表水环境质量标准》（GB3838-2002）Ⅲ类</w:t>
            </w:r>
            <w:r>
              <w:rPr>
                <w:rFonts w:hint="eastAsia" w:cs="宋体"/>
                <w:color w:val="000000" w:themeColor="text1"/>
                <w:sz w:val="24"/>
                <w:szCs w:val="24"/>
                <w:highlight w:val="none"/>
                <w:lang w:val="en-US" w:eastAsia="zh-CN"/>
                <w14:textFill>
                  <w14:solidFill>
                    <w14:schemeClr w14:val="tx1"/>
                  </w14:solidFill>
                </w14:textFill>
              </w:rPr>
              <w:t>水质</w:t>
            </w:r>
            <w:r>
              <w:rPr>
                <w:rFonts w:hint="eastAsia" w:cs="宋体"/>
                <w:color w:val="000000" w:themeColor="text1"/>
                <w:sz w:val="24"/>
                <w:szCs w:val="24"/>
                <w:highlight w:val="none"/>
                <w:lang w:eastAsia="zh-CN"/>
                <w14:textFill>
                  <w14:solidFill>
                    <w14:schemeClr w14:val="tx1"/>
                  </w14:solidFill>
                </w14:textFill>
              </w:rPr>
              <w:t>标准。</w:t>
            </w:r>
          </w:p>
          <w:p w14:paraId="0D1AD6A3">
            <w:pPr>
              <w:spacing w:line="360" w:lineRule="auto"/>
              <w:ind w:firstLine="480" w:firstLineChars="200"/>
              <w:rPr>
                <w:rFonts w:hint="eastAsia" w:cs="宋体"/>
                <w:color w:val="000000" w:themeColor="text1"/>
                <w:sz w:val="24"/>
                <w:szCs w:val="24"/>
                <w:highlight w:val="none"/>
                <w:lang w:eastAsia="zh-CN"/>
                <w14:textFill>
                  <w14:solidFill>
                    <w14:schemeClr w14:val="tx1"/>
                  </w14:solidFill>
                </w14:textFill>
              </w:rPr>
            </w:pP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3</w:t>
            </w:r>
            <w:r>
              <w:rPr>
                <w:rFonts w:hint="eastAsia" w:cs="宋体"/>
                <w:color w:val="000000" w:themeColor="text1"/>
                <w:sz w:val="24"/>
                <w:szCs w:val="24"/>
                <w:highlight w:val="none"/>
                <w:lang w:eastAsia="zh-CN"/>
                <w14:textFill>
                  <w14:solidFill>
                    <w14:schemeClr w14:val="tx1"/>
                  </w14:solidFill>
                </w14:textFill>
              </w:rPr>
              <w:t>）引用资料的有效性分析</w:t>
            </w:r>
          </w:p>
          <w:p w14:paraId="4CF272B2">
            <w:pPr>
              <w:spacing w:line="360" w:lineRule="auto"/>
              <w:ind w:firstLine="480" w:firstLineChars="200"/>
              <w:rPr>
                <w:rFonts w:hint="eastAsia"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根据《建设项目环境影响报告表编制技术指南(污染影响类)(试行)》(环办环评</w:t>
            </w:r>
            <w:r>
              <w:rPr>
                <w:rFonts w:hint="eastAsia"/>
                <w:color w:val="000000" w:themeColor="text1"/>
                <w:sz w:val="24"/>
                <w:szCs w:val="24"/>
                <w:highlight w:val="none"/>
                <w:lang w:eastAsia="zh-CN"/>
                <w14:textFill>
                  <w14:solidFill>
                    <w14:schemeClr w14:val="tx1"/>
                  </w14:solidFill>
                </w14:textFill>
              </w:rPr>
              <w:t>〔20</w:t>
            </w:r>
            <w:r>
              <w:rPr>
                <w:rFonts w:hint="eastAsia"/>
                <w:color w:val="000000" w:themeColor="text1"/>
                <w:sz w:val="24"/>
                <w:szCs w:val="24"/>
                <w:highlight w:val="none"/>
                <w:lang w:val="en-US" w:eastAsia="zh-CN"/>
                <w14:textFill>
                  <w14:solidFill>
                    <w14:schemeClr w14:val="tx1"/>
                  </w14:solidFill>
                </w14:textFill>
              </w:rPr>
              <w:t>20</w:t>
            </w:r>
            <w:r>
              <w:rPr>
                <w:rFonts w:hint="eastAsia"/>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33号)的要求</w:t>
            </w: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州市人民政府发布的近3年内的水环境质量状况，符合《建设项目环境影响报告表编制技术指南(污染影响类)(试行)》(环办环评</w:t>
            </w:r>
            <w:r>
              <w:rPr>
                <w:rFonts w:hint="eastAsia"/>
                <w:color w:val="000000" w:themeColor="text1"/>
                <w:sz w:val="24"/>
                <w:szCs w:val="24"/>
                <w:highlight w:val="none"/>
                <w:lang w:eastAsia="zh-CN"/>
                <w14:textFill>
                  <w14:solidFill>
                    <w14:schemeClr w14:val="tx1"/>
                  </w14:solidFill>
                </w14:textFill>
              </w:rPr>
              <w:t>〔20</w:t>
            </w:r>
            <w:r>
              <w:rPr>
                <w:rFonts w:hint="eastAsia"/>
                <w:color w:val="000000" w:themeColor="text1"/>
                <w:sz w:val="24"/>
                <w:szCs w:val="24"/>
                <w:highlight w:val="none"/>
                <w:lang w:val="en-US" w:eastAsia="zh-CN"/>
                <w14:textFill>
                  <w14:solidFill>
                    <w14:schemeClr w14:val="tx1"/>
                  </w14:solidFill>
                </w14:textFill>
              </w:rPr>
              <w:t>20</w:t>
            </w:r>
            <w:r>
              <w:rPr>
                <w:rFonts w:hint="eastAsia"/>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33号)的要求。</w:t>
            </w:r>
          </w:p>
          <w:p w14:paraId="3A48C124">
            <w:pPr>
              <w:spacing w:line="360" w:lineRule="auto"/>
              <w:jc w:val="center"/>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drawing>
                <wp:inline distT="0" distB="0" distL="114300" distR="114300">
                  <wp:extent cx="5362575" cy="3388995"/>
                  <wp:effectExtent l="0" t="0" r="9525"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4"/>
                          <a:srcRect r="5466"/>
                          <a:stretch>
                            <a:fillRect/>
                          </a:stretch>
                        </pic:blipFill>
                        <pic:spPr>
                          <a:xfrm>
                            <a:off x="0" y="0"/>
                            <a:ext cx="5362575" cy="3388995"/>
                          </a:xfrm>
                          <a:prstGeom prst="rect">
                            <a:avLst/>
                          </a:prstGeom>
                          <a:noFill/>
                          <a:ln>
                            <a:noFill/>
                          </a:ln>
                        </pic:spPr>
                      </pic:pic>
                    </a:graphicData>
                  </a:graphic>
                </wp:inline>
              </w:drawing>
            </w:r>
          </w:p>
          <w:p w14:paraId="237797CB">
            <w:pPr>
              <w:spacing w:line="360" w:lineRule="auto"/>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3.2-1 《2024年福州市环境状况公报》</w:t>
            </w:r>
            <w:r>
              <w:rPr>
                <w:rFonts w:hint="eastAsia"/>
                <w:b/>
                <w:bCs/>
                <w:color w:val="000000" w:themeColor="text1"/>
                <w:sz w:val="24"/>
                <w:szCs w:val="24"/>
                <w:highlight w:val="none"/>
                <w14:textFill>
                  <w14:solidFill>
                    <w14:schemeClr w14:val="tx1"/>
                  </w14:solidFill>
                </w14:textFill>
              </w:rPr>
              <w:t>截图</w:t>
            </w:r>
          </w:p>
          <w:p w14:paraId="73B04D35">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3.</w:t>
            </w:r>
            <w:r>
              <w:rPr>
                <w:rFonts w:hint="eastAsia"/>
                <w:color w:val="000000" w:themeColor="text1"/>
                <w:sz w:val="24"/>
                <w:szCs w:val="21"/>
                <w:highlight w:val="none"/>
                <w:lang w:val="en-US" w:eastAsia="zh-CN"/>
                <w14:textFill>
                  <w14:solidFill>
                    <w14:schemeClr w14:val="tx1"/>
                  </w14:solidFill>
                </w14:textFill>
              </w:rPr>
              <w:t>3</w:t>
            </w:r>
            <w:r>
              <w:rPr>
                <w:color w:val="000000" w:themeColor="text1"/>
                <w:sz w:val="24"/>
                <w:szCs w:val="21"/>
                <w:highlight w:val="none"/>
                <w14:textFill>
                  <w14:solidFill>
                    <w14:schemeClr w14:val="tx1"/>
                  </w14:solidFill>
                </w14:textFill>
              </w:rPr>
              <w:t xml:space="preserve"> 声环境质量现状</w:t>
            </w:r>
          </w:p>
          <w:p w14:paraId="0E4E581F">
            <w:pPr>
              <w:spacing w:line="360" w:lineRule="auto"/>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位于福建省福州市高新区南屿镇窗厦村尧溪路3号1#楼一层，项目周边以工业生产为主，项目所在区域声环境为3类功能区，声环境执行《声环境质量标准》（GB3096-2008）中的3类标准。村庄声环境执行《声环境质量标准》（GB3096-2008）中的2类标准，执行详见下表。</w:t>
            </w:r>
          </w:p>
          <w:p w14:paraId="57A37F17">
            <w:pPr>
              <w:spacing w:line="360" w:lineRule="auto"/>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表3</w:t>
            </w:r>
            <w:r>
              <w:rPr>
                <w:rFonts w:hint="eastAsia"/>
                <w:b/>
                <w:bCs/>
                <w:color w:val="000000" w:themeColor="text1"/>
                <w:sz w:val="24"/>
                <w:szCs w:val="24"/>
                <w:highlight w:val="none"/>
                <w:lang w:val="en-US" w:eastAsia="zh-CN"/>
                <w14:textFill>
                  <w14:solidFill>
                    <w14:schemeClr w14:val="tx1"/>
                  </w14:solidFill>
                </w14:textFill>
              </w:rPr>
              <w:t xml:space="preserve">.3-1  </w:t>
            </w:r>
            <w:r>
              <w:rPr>
                <w:b/>
                <w:bCs/>
                <w:color w:val="000000" w:themeColor="text1"/>
                <w:sz w:val="24"/>
                <w:szCs w:val="24"/>
                <w:highlight w:val="none"/>
                <w14:textFill>
                  <w14:solidFill>
                    <w14:schemeClr w14:val="tx1"/>
                  </w14:solidFill>
                </w14:textFill>
              </w:rPr>
              <w:t>声环境质量标准单位：dB（A）</w:t>
            </w:r>
          </w:p>
          <w:tbl>
            <w:tblPr>
              <w:tblStyle w:val="30"/>
              <w:tblW w:w="5000" w:type="pct"/>
              <w:tblInd w:w="11"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3746"/>
              <w:gridCol w:w="2284"/>
              <w:gridCol w:w="2382"/>
            </w:tblGrid>
            <w:tr w14:paraId="6C1A00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226" w:type="pct"/>
                  <w:tcBorders>
                    <w:tl2br w:val="nil"/>
                    <w:tr2bl w:val="nil"/>
                  </w:tcBorders>
                  <w:noWrap/>
                  <w:vAlign w:val="center"/>
                </w:tcPr>
                <w:p w14:paraId="192A3641">
                  <w:pPr>
                    <w:pStyle w:val="110"/>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声环境功能区类别</w:t>
                  </w:r>
                </w:p>
              </w:tc>
              <w:tc>
                <w:tcPr>
                  <w:tcW w:w="1357" w:type="pct"/>
                  <w:tcBorders>
                    <w:tl2br w:val="nil"/>
                    <w:tr2bl w:val="nil"/>
                  </w:tcBorders>
                  <w:vAlign w:val="center"/>
                </w:tcPr>
                <w:p w14:paraId="61BEDA86">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1415" w:type="pct"/>
                  <w:tcBorders>
                    <w:tl2br w:val="nil"/>
                    <w:tr2bl w:val="nil"/>
                  </w:tcBorders>
                  <w:vAlign w:val="center"/>
                </w:tcPr>
                <w:p w14:paraId="191FD8F0">
                  <w:pPr>
                    <w:pStyle w:val="11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夜间</w:t>
                  </w:r>
                </w:p>
              </w:tc>
            </w:tr>
            <w:tr w14:paraId="4BEA3CB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226" w:type="pct"/>
                  <w:tcBorders>
                    <w:tl2br w:val="nil"/>
                    <w:tr2bl w:val="nil"/>
                  </w:tcBorders>
                  <w:noWrap/>
                  <w:vAlign w:val="center"/>
                </w:tcPr>
                <w:p w14:paraId="72E3BD5E">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2类</w:t>
                  </w:r>
                </w:p>
              </w:tc>
              <w:tc>
                <w:tcPr>
                  <w:tcW w:w="1357" w:type="pct"/>
                  <w:tcBorders>
                    <w:tl2br w:val="nil"/>
                    <w:tr2bl w:val="nil"/>
                  </w:tcBorders>
                  <w:vAlign w:val="center"/>
                </w:tcPr>
                <w:p w14:paraId="35822BA6">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1415" w:type="pct"/>
                  <w:tcBorders>
                    <w:tl2br w:val="nil"/>
                    <w:tr2bl w:val="nil"/>
                  </w:tcBorders>
                  <w:vAlign w:val="center"/>
                </w:tcPr>
                <w:p w14:paraId="3BBEC953">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w:t>
                  </w:r>
                </w:p>
              </w:tc>
            </w:tr>
            <w:tr w14:paraId="3FC4E93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226" w:type="pct"/>
                  <w:tcBorders>
                    <w:tl2br w:val="nil"/>
                    <w:tr2bl w:val="nil"/>
                  </w:tcBorders>
                  <w:noWrap/>
                  <w:vAlign w:val="center"/>
                </w:tcPr>
                <w:p w14:paraId="39CFDD50">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3类</w:t>
                  </w:r>
                </w:p>
              </w:tc>
              <w:tc>
                <w:tcPr>
                  <w:tcW w:w="1357" w:type="pct"/>
                  <w:tcBorders>
                    <w:tl2br w:val="nil"/>
                    <w:tr2bl w:val="nil"/>
                  </w:tcBorders>
                  <w:vAlign w:val="center"/>
                </w:tcPr>
                <w:p w14:paraId="383F3C2D">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65</w:t>
                  </w:r>
                </w:p>
              </w:tc>
              <w:tc>
                <w:tcPr>
                  <w:tcW w:w="1415" w:type="pct"/>
                  <w:tcBorders>
                    <w:tl2br w:val="nil"/>
                    <w:tr2bl w:val="nil"/>
                  </w:tcBorders>
                  <w:vAlign w:val="center"/>
                </w:tcPr>
                <w:p w14:paraId="6A342F7B">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55</w:t>
                  </w:r>
                </w:p>
              </w:tc>
            </w:tr>
          </w:tbl>
          <w:p w14:paraId="76A9E1C6">
            <w:pPr>
              <w:spacing w:line="360" w:lineRule="auto"/>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根据</w:t>
            </w:r>
            <w:r>
              <w:rPr>
                <w:rFonts w:hint="eastAsia"/>
                <w:color w:val="000000" w:themeColor="text1"/>
                <w:sz w:val="24"/>
                <w:highlight w:val="none"/>
                <w14:textFill>
                  <w14:solidFill>
                    <w14:schemeClr w14:val="tx1"/>
                  </w14:solidFill>
                </w14:textFill>
              </w:rPr>
              <w:t>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r>
              <w:rPr>
                <w:bCs/>
                <w:color w:val="000000" w:themeColor="text1"/>
                <w:sz w:val="24"/>
                <w:szCs w:val="32"/>
                <w:highlight w:val="none"/>
                <w14:textFill>
                  <w14:solidFill>
                    <w14:schemeClr w14:val="tx1"/>
                  </w14:solidFill>
                </w14:textFill>
              </w:rPr>
              <w:t>本项目厂界外50m范围内不存在声环境保护目标，不进行声环境质量现状监测。</w:t>
            </w:r>
          </w:p>
          <w:p w14:paraId="39EE47AD">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3.</w:t>
            </w:r>
            <w:r>
              <w:rPr>
                <w:rFonts w:hint="eastAsia"/>
                <w:color w:val="000000" w:themeColor="text1"/>
                <w:sz w:val="24"/>
                <w:szCs w:val="21"/>
                <w:highlight w:val="none"/>
                <w:lang w:val="en-US" w:eastAsia="zh-CN"/>
                <w14:textFill>
                  <w14:solidFill>
                    <w14:schemeClr w14:val="tx1"/>
                  </w14:solidFill>
                </w14:textFill>
              </w:rPr>
              <w:t>4</w:t>
            </w:r>
            <w:r>
              <w:rPr>
                <w:color w:val="000000" w:themeColor="text1"/>
                <w:sz w:val="24"/>
                <w:szCs w:val="21"/>
                <w:highlight w:val="none"/>
                <w14:textFill>
                  <w14:solidFill>
                    <w14:schemeClr w14:val="tx1"/>
                  </w14:solidFill>
                </w14:textFill>
              </w:rPr>
              <w:t xml:space="preserve"> </w:t>
            </w:r>
            <w:r>
              <w:rPr>
                <w:rFonts w:hint="eastAsia"/>
                <w:color w:val="000000" w:themeColor="text1"/>
                <w:sz w:val="24"/>
                <w:szCs w:val="21"/>
                <w:highlight w:val="none"/>
                <w:lang w:val="en-US" w:eastAsia="zh-CN"/>
                <w14:textFill>
                  <w14:solidFill>
                    <w14:schemeClr w14:val="tx1"/>
                  </w14:solidFill>
                </w14:textFill>
              </w:rPr>
              <w:t>地下水、土壤</w:t>
            </w:r>
            <w:r>
              <w:rPr>
                <w:color w:val="000000" w:themeColor="text1"/>
                <w:sz w:val="24"/>
                <w:szCs w:val="21"/>
                <w:highlight w:val="none"/>
                <w14:textFill>
                  <w14:solidFill>
                    <w14:schemeClr w14:val="tx1"/>
                  </w14:solidFill>
                </w14:textFill>
              </w:rPr>
              <w:t>环境质量现状</w:t>
            </w:r>
          </w:p>
          <w:p w14:paraId="5AF7A745">
            <w:pPr>
              <w:spacing w:line="360" w:lineRule="auto"/>
              <w:ind w:firstLine="480" w:firstLineChars="200"/>
              <w:rPr>
                <w:rFonts w:hint="eastAsia"/>
                <w:bCs/>
                <w:color w:val="000000" w:themeColor="text1"/>
                <w:sz w:val="24"/>
                <w:szCs w:val="32"/>
                <w:highlight w:val="none"/>
                <w14:textFill>
                  <w14:solidFill>
                    <w14:schemeClr w14:val="tx1"/>
                  </w14:solidFill>
                </w14:textFill>
              </w:rPr>
            </w:pPr>
            <w:r>
              <w:rPr>
                <w:rFonts w:hint="eastAsia"/>
                <w:bCs/>
                <w:color w:val="000000" w:themeColor="text1"/>
                <w:sz w:val="24"/>
                <w:szCs w:val="32"/>
                <w:highlight w:val="none"/>
                <w14:textFill>
                  <w14:solidFill>
                    <w14:schemeClr w14:val="tx1"/>
                  </w14:solidFill>
                </w14:textFill>
              </w:rPr>
              <w:t>根据《建设项目环境影响报告表编制技术指南(污染影响类)(试行)》(环办环评</w:t>
            </w:r>
            <w:r>
              <w:rPr>
                <w:rFonts w:hint="eastAsia"/>
                <w:color w:val="000000" w:themeColor="text1"/>
                <w:sz w:val="24"/>
                <w:szCs w:val="24"/>
                <w:highlight w:val="none"/>
                <w:lang w:eastAsia="zh-CN"/>
                <w14:textFill>
                  <w14:solidFill>
                    <w14:schemeClr w14:val="tx1"/>
                  </w14:solidFill>
                </w14:textFill>
              </w:rPr>
              <w:t>〔20</w:t>
            </w:r>
            <w:r>
              <w:rPr>
                <w:rFonts w:hint="eastAsia"/>
                <w:color w:val="000000" w:themeColor="text1"/>
                <w:sz w:val="24"/>
                <w:szCs w:val="24"/>
                <w:highlight w:val="none"/>
                <w:lang w:val="en-US" w:eastAsia="zh-CN"/>
                <w14:textFill>
                  <w14:solidFill>
                    <w14:schemeClr w14:val="tx1"/>
                  </w14:solidFill>
                </w14:textFill>
              </w:rPr>
              <w:t>20</w:t>
            </w:r>
            <w:r>
              <w:rPr>
                <w:rFonts w:hint="eastAsia"/>
                <w:color w:val="000000" w:themeColor="text1"/>
                <w:sz w:val="24"/>
                <w:szCs w:val="24"/>
                <w:highlight w:val="none"/>
                <w:lang w:eastAsia="zh-CN"/>
                <w14:textFill>
                  <w14:solidFill>
                    <w14:schemeClr w14:val="tx1"/>
                  </w14:solidFill>
                </w14:textFill>
              </w:rPr>
              <w:t>〕</w:t>
            </w:r>
            <w:r>
              <w:rPr>
                <w:rFonts w:hint="eastAsia"/>
                <w:bCs/>
                <w:color w:val="000000" w:themeColor="text1"/>
                <w:sz w:val="24"/>
                <w:szCs w:val="32"/>
                <w:highlight w:val="none"/>
                <w14:textFill>
                  <w14:solidFill>
                    <w14:schemeClr w14:val="tx1"/>
                  </w14:solidFill>
                </w14:textFill>
              </w:rPr>
              <w:t>33 号)规定，“原则上不开展环境质量现状调查。建设项目存在土壤、地下水环境污染途径的，应结合污染源、保护目标分布情况开展现状调查以留作背景值。</w:t>
            </w:r>
          </w:p>
          <w:p w14:paraId="353101FD">
            <w:pPr>
              <w:spacing w:line="360" w:lineRule="auto"/>
              <w:ind w:firstLine="480" w:firstLineChars="200"/>
              <w:rPr>
                <w:bCs/>
                <w:color w:val="000000" w:themeColor="text1"/>
                <w:sz w:val="24"/>
                <w:szCs w:val="32"/>
                <w:highlight w:val="none"/>
                <w14:textFill>
                  <w14:solidFill>
                    <w14:schemeClr w14:val="tx1"/>
                  </w14:solidFill>
                </w14:textFill>
              </w:rPr>
            </w:pPr>
            <w:r>
              <w:rPr>
                <w:rFonts w:hint="eastAsia"/>
                <w:bCs/>
                <w:color w:val="000000" w:themeColor="text1"/>
                <w:sz w:val="24"/>
                <w:szCs w:val="32"/>
                <w:highlight w:val="none"/>
                <w14:textFill>
                  <w14:solidFill>
                    <w14:schemeClr w14:val="tx1"/>
                  </w14:solidFill>
                </w14:textFill>
              </w:rPr>
              <w:t>根据现场勘查，周边以工业企业为主</w:t>
            </w:r>
            <w:r>
              <w:rPr>
                <w:rFonts w:hint="eastAsia"/>
                <w:bCs/>
                <w:color w:val="000000" w:themeColor="text1"/>
                <w:sz w:val="24"/>
                <w:szCs w:val="32"/>
                <w:highlight w:val="none"/>
                <w:lang w:eastAsia="zh-CN"/>
                <w14:textFill>
                  <w14:solidFill>
                    <w14:schemeClr w14:val="tx1"/>
                  </w14:solidFill>
                </w14:textFill>
              </w:rPr>
              <w:t>；</w:t>
            </w:r>
            <w:r>
              <w:rPr>
                <w:rFonts w:hint="eastAsia"/>
                <w:bCs/>
                <w:color w:val="000000" w:themeColor="text1"/>
                <w:sz w:val="24"/>
                <w:szCs w:val="32"/>
                <w:highlight w:val="none"/>
                <w14:textFill>
                  <w14:solidFill>
                    <w14:schemeClr w14:val="tx1"/>
                  </w14:solidFill>
                </w14:textFill>
              </w:rPr>
              <w:t>项目周边地下水、土壤环境相对不敏感，采取有效的防渗措施后，项目对地下水、土壤环境影响很小，基本不存在</w:t>
            </w:r>
            <w:r>
              <w:rPr>
                <w:rFonts w:hint="eastAsia"/>
                <w:bCs/>
                <w:color w:val="000000" w:themeColor="text1"/>
                <w:sz w:val="24"/>
                <w:szCs w:val="32"/>
                <w:highlight w:val="none"/>
                <w:lang w:eastAsia="zh-CN"/>
                <w14:textFill>
                  <w14:solidFill>
                    <w14:schemeClr w14:val="tx1"/>
                  </w14:solidFill>
                </w14:textFill>
              </w:rPr>
              <w:t>土壤</w:t>
            </w:r>
            <w:r>
              <w:rPr>
                <w:rFonts w:hint="eastAsia"/>
                <w:bCs/>
                <w:color w:val="000000" w:themeColor="text1"/>
                <w:sz w:val="24"/>
                <w:szCs w:val="32"/>
                <w:highlight w:val="none"/>
                <w14:textFill>
                  <w14:solidFill>
                    <w14:schemeClr w14:val="tx1"/>
                  </w14:solidFill>
                </w14:textFill>
              </w:rPr>
              <w:t>、地下水环境污染途径，因此，本评价不对项目地下水、土壤环境质量进行补充监测。</w:t>
            </w:r>
          </w:p>
          <w:p w14:paraId="73C28103">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3.</w:t>
            </w:r>
            <w:r>
              <w:rPr>
                <w:rFonts w:hint="eastAsia"/>
                <w:color w:val="000000" w:themeColor="text1"/>
                <w:sz w:val="24"/>
                <w:szCs w:val="21"/>
                <w:highlight w:val="none"/>
                <w:lang w:val="en-US" w:eastAsia="zh-CN"/>
                <w14:textFill>
                  <w14:solidFill>
                    <w14:schemeClr w14:val="tx1"/>
                  </w14:solidFill>
                </w14:textFill>
              </w:rPr>
              <w:t>5</w:t>
            </w:r>
            <w:r>
              <w:rPr>
                <w:color w:val="000000" w:themeColor="text1"/>
                <w:sz w:val="24"/>
                <w:szCs w:val="21"/>
                <w:highlight w:val="none"/>
                <w14:textFill>
                  <w14:solidFill>
                    <w14:schemeClr w14:val="tx1"/>
                  </w14:solidFill>
                </w14:textFill>
              </w:rPr>
              <w:t xml:space="preserve"> </w:t>
            </w:r>
            <w:r>
              <w:rPr>
                <w:rFonts w:hint="eastAsia"/>
                <w:color w:val="000000" w:themeColor="text1"/>
                <w:sz w:val="24"/>
                <w:szCs w:val="21"/>
                <w:highlight w:val="none"/>
                <w:lang w:val="en-US" w:eastAsia="zh-CN"/>
                <w14:textFill>
                  <w14:solidFill>
                    <w14:schemeClr w14:val="tx1"/>
                  </w14:solidFill>
                </w14:textFill>
              </w:rPr>
              <w:t>生态</w:t>
            </w:r>
            <w:r>
              <w:rPr>
                <w:color w:val="000000" w:themeColor="text1"/>
                <w:sz w:val="24"/>
                <w:szCs w:val="21"/>
                <w:highlight w:val="none"/>
                <w14:textFill>
                  <w14:solidFill>
                    <w14:schemeClr w14:val="tx1"/>
                  </w14:solidFill>
                </w14:textFill>
              </w:rPr>
              <w:t>环境</w:t>
            </w:r>
            <w:r>
              <w:rPr>
                <w:rFonts w:hint="eastAsia"/>
                <w:color w:val="000000" w:themeColor="text1"/>
                <w:sz w:val="24"/>
                <w:szCs w:val="21"/>
                <w:highlight w:val="none"/>
                <w:lang w:val="en-US" w:eastAsia="zh-CN"/>
                <w14:textFill>
                  <w14:solidFill>
                    <w14:schemeClr w14:val="tx1"/>
                  </w14:solidFill>
                </w14:textFill>
              </w:rPr>
              <w:t>现状调查</w:t>
            </w:r>
          </w:p>
          <w:p w14:paraId="2ED4AFDB">
            <w:pPr>
              <w:spacing w:line="360" w:lineRule="auto"/>
              <w:ind w:firstLine="480" w:firstLineChars="200"/>
              <w:rPr>
                <w:rFonts w:hint="eastAsia"/>
                <w:bCs/>
                <w:color w:val="000000" w:themeColor="text1"/>
                <w:sz w:val="24"/>
                <w:szCs w:val="32"/>
                <w:highlight w:val="none"/>
                <w14:textFill>
                  <w14:solidFill>
                    <w14:schemeClr w14:val="tx1"/>
                  </w14:solidFill>
                </w14:textFill>
              </w:rPr>
            </w:pPr>
            <w:r>
              <w:rPr>
                <w:rFonts w:hint="eastAsia"/>
                <w:bCs/>
                <w:color w:val="000000" w:themeColor="text1"/>
                <w:sz w:val="24"/>
                <w:szCs w:val="32"/>
                <w:highlight w:val="none"/>
                <w14:textFill>
                  <w14:solidFill>
                    <w14:schemeClr w14:val="tx1"/>
                  </w14:solidFill>
                </w14:textFill>
              </w:rPr>
              <w:t>本项目租用位于福州市高新区南屿镇窗厦村尧溪路3号</w:t>
            </w:r>
            <w:r>
              <w:rPr>
                <w:rFonts w:hint="eastAsia"/>
                <w:bCs/>
                <w:color w:val="000000" w:themeColor="text1"/>
                <w:sz w:val="24"/>
                <w:szCs w:val="32"/>
                <w:highlight w:val="none"/>
                <w:lang w:val="en-US" w:eastAsia="zh-CN"/>
                <w14:textFill>
                  <w14:solidFill>
                    <w14:schemeClr w14:val="tx1"/>
                  </w14:solidFill>
                </w14:textFill>
              </w:rPr>
              <w:t>1</w:t>
            </w:r>
            <w:r>
              <w:rPr>
                <w:rFonts w:hint="eastAsia"/>
                <w:bCs/>
                <w:color w:val="000000" w:themeColor="text1"/>
                <w:sz w:val="24"/>
                <w:szCs w:val="32"/>
                <w:highlight w:val="none"/>
                <w14:textFill>
                  <w14:solidFill>
                    <w14:schemeClr w14:val="tx1"/>
                  </w14:solidFill>
                </w14:textFill>
              </w:rPr>
              <w:t>#厂房</w:t>
            </w:r>
            <w:r>
              <w:rPr>
                <w:rFonts w:hint="eastAsia"/>
                <w:bCs/>
                <w:color w:val="000000" w:themeColor="text1"/>
                <w:sz w:val="24"/>
                <w:szCs w:val="32"/>
                <w:highlight w:val="none"/>
                <w:lang w:val="en-US" w:eastAsia="zh-CN"/>
                <w14:textFill>
                  <w14:solidFill>
                    <w14:schemeClr w14:val="tx1"/>
                  </w14:solidFill>
                </w14:textFill>
              </w:rPr>
              <w:t>1</w:t>
            </w:r>
            <w:r>
              <w:rPr>
                <w:rFonts w:hint="eastAsia"/>
                <w:bCs/>
                <w:color w:val="000000" w:themeColor="text1"/>
                <w:sz w:val="24"/>
                <w:szCs w:val="32"/>
                <w:highlight w:val="none"/>
                <w14:textFill>
                  <w14:solidFill>
                    <w14:schemeClr w14:val="tx1"/>
                  </w14:solidFill>
                </w14:textFill>
              </w:rPr>
              <w:t>层的工业厂房，项目厂房主体均已建成；根据调查，项目用地周边为城市道路、其他企业及居住用地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tc>
      </w:tr>
      <w:tr w14:paraId="231BF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155" w:hRule="atLeast"/>
          <w:jc w:val="center"/>
        </w:trPr>
        <w:tc>
          <w:tcPr>
            <w:tcW w:w="423" w:type="dxa"/>
            <w:tcMar>
              <w:left w:w="28" w:type="dxa"/>
              <w:right w:w="28" w:type="dxa"/>
            </w:tcMar>
            <w:vAlign w:val="center"/>
          </w:tcPr>
          <w:p w14:paraId="1B6E7101">
            <w:pPr>
              <w:pStyle w:val="26"/>
              <w:adjustRightInd w:val="0"/>
              <w:snapToGrid w:val="0"/>
              <w:spacing w:before="0" w:beforeAutospacing="0" w:after="0" w:afterAutospacing="0"/>
              <w:jc w:val="center"/>
              <w:rPr>
                <w:rFonts w:cs="宋体"/>
                <w:bCs/>
                <w:color w:val="000000" w:themeColor="text1"/>
                <w:kern w:val="2"/>
                <w:sz w:val="21"/>
                <w:szCs w:val="21"/>
                <w:highlight w:val="none"/>
                <w14:textFill>
                  <w14:solidFill>
                    <w14:schemeClr w14:val="tx1"/>
                  </w14:solidFill>
                </w14:textFill>
              </w:rPr>
            </w:pPr>
            <w:r>
              <w:rPr>
                <w:rFonts w:hint="eastAsia" w:cs="宋体"/>
                <w:bCs/>
                <w:color w:val="000000" w:themeColor="text1"/>
                <w:kern w:val="2"/>
                <w:sz w:val="21"/>
                <w:szCs w:val="21"/>
                <w:highlight w:val="none"/>
                <w14:textFill>
                  <w14:solidFill>
                    <w14:schemeClr w14:val="tx1"/>
                  </w14:solidFill>
                </w14:textFill>
              </w:rPr>
              <w:t>环境保护目标</w:t>
            </w:r>
          </w:p>
        </w:tc>
        <w:tc>
          <w:tcPr>
            <w:tcW w:w="8606" w:type="dxa"/>
            <w:vAlign w:val="center"/>
          </w:tcPr>
          <w:p w14:paraId="76F202EF">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 xml:space="preserve">3.6 </w:t>
            </w:r>
            <w:r>
              <w:rPr>
                <w:rFonts w:hint="eastAsia"/>
                <w:color w:val="000000" w:themeColor="text1"/>
                <w:sz w:val="24"/>
                <w:szCs w:val="21"/>
                <w:highlight w:val="none"/>
                <w14:textFill>
                  <w14:solidFill>
                    <w14:schemeClr w14:val="tx1"/>
                  </w14:solidFill>
                </w14:textFill>
              </w:rPr>
              <w:t>环境保护目标</w:t>
            </w:r>
          </w:p>
          <w:p w14:paraId="3D678748">
            <w:pPr>
              <w:spacing w:line="360" w:lineRule="auto"/>
              <w:ind w:firstLine="480" w:firstLineChars="200"/>
              <w:rPr>
                <w:rFonts w:hint="default"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根据</w:t>
            </w:r>
            <w:r>
              <w:rPr>
                <w:rFonts w:hint="eastAsia" w:cs="宋体"/>
                <w:color w:val="000000" w:themeColor="text1"/>
                <w:sz w:val="24"/>
                <w:szCs w:val="24"/>
                <w:highlight w:val="none"/>
                <w:lang w:eastAsia="zh-CN"/>
                <w14:textFill>
                  <w14:solidFill>
                    <w14:schemeClr w14:val="tx1"/>
                  </w14:solidFill>
                </w14:textFill>
              </w:rPr>
              <w:t>现场勘查</w:t>
            </w:r>
            <w:r>
              <w:rPr>
                <w:rFonts w:hint="eastAsia" w:cs="宋体"/>
                <w:color w:val="000000" w:themeColor="text1"/>
                <w:sz w:val="24"/>
                <w:szCs w:val="24"/>
                <w:highlight w:val="none"/>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项目北侧为尧溪路，东侧约20m为信创产业园3号楼，楼里主要是福州华创职培基地等产业孵化基地，南侧为至期光子现有工程，西侧为甬莞高速。</w:t>
            </w:r>
            <w:r>
              <w:rPr>
                <w:rFonts w:hint="eastAsia" w:cs="宋体"/>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val="en-US" w:eastAsia="zh-CN"/>
                <w14:textFill>
                  <w14:solidFill>
                    <w14:schemeClr w14:val="tx1"/>
                  </w14:solidFill>
                </w14:textFill>
              </w:rPr>
              <w:t>周边</w:t>
            </w:r>
            <w:r>
              <w:rPr>
                <w:rFonts w:hint="eastAsia" w:cs="宋体"/>
                <w:color w:val="000000" w:themeColor="text1"/>
                <w:sz w:val="24"/>
                <w:szCs w:val="24"/>
                <w:highlight w:val="none"/>
                <w14:textFill>
                  <w14:solidFill>
                    <w14:schemeClr w14:val="tx1"/>
                  </w14:solidFill>
                </w14:textFill>
              </w:rPr>
              <w:t>涉及的环境保护目标见</w:t>
            </w:r>
            <w:r>
              <w:rPr>
                <w:rFonts w:hint="eastAsia" w:cs="宋体"/>
                <w:color w:val="000000" w:themeColor="text1"/>
                <w:sz w:val="24"/>
                <w:szCs w:val="24"/>
                <w:highlight w:val="none"/>
                <w:lang w:val="en-US" w:eastAsia="zh-CN"/>
                <w14:textFill>
                  <w14:solidFill>
                    <w14:schemeClr w14:val="tx1"/>
                  </w14:solidFill>
                </w14:textFill>
              </w:rPr>
              <w:t>下</w:t>
            </w:r>
            <w:r>
              <w:rPr>
                <w:rFonts w:hint="eastAsia" w:cs="宋体"/>
                <w:color w:val="000000" w:themeColor="text1"/>
                <w:sz w:val="24"/>
                <w:szCs w:val="24"/>
                <w:highlight w:val="none"/>
                <w14:textFill>
                  <w14:solidFill>
                    <w14:schemeClr w14:val="tx1"/>
                  </w14:solidFill>
                </w14:textFill>
              </w:rPr>
              <w:t>表</w:t>
            </w: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环保目标图见附图5。</w:t>
            </w:r>
          </w:p>
          <w:p w14:paraId="47BDA3C2">
            <w:pPr>
              <w:spacing w:line="360" w:lineRule="auto"/>
              <w:jc w:val="center"/>
              <w:rPr>
                <w:b/>
                <w:color w:val="000000" w:themeColor="text1"/>
                <w:sz w:val="24"/>
                <w:szCs w:val="24"/>
                <w:highlight w:val="none"/>
                <w14:textFill>
                  <w14:solidFill>
                    <w14:schemeClr w14:val="tx1"/>
                  </w14:solidFill>
                </w14:textFill>
              </w:rPr>
            </w:pPr>
            <w:r>
              <w:rPr>
                <w:rFonts w:hint="eastAsia" w:cs="宋体"/>
                <w:b/>
                <w:color w:val="000000" w:themeColor="text1"/>
                <w:sz w:val="24"/>
                <w:szCs w:val="24"/>
                <w:highlight w:val="none"/>
                <w14:textFill>
                  <w14:solidFill>
                    <w14:schemeClr w14:val="tx1"/>
                  </w14:solidFill>
                </w14:textFill>
              </w:rPr>
              <w:t>表</w:t>
            </w:r>
            <w:r>
              <w:rPr>
                <w:b/>
                <w:color w:val="000000" w:themeColor="text1"/>
                <w:sz w:val="24"/>
                <w:szCs w:val="24"/>
                <w:highlight w:val="none"/>
                <w14:textFill>
                  <w14:solidFill>
                    <w14:schemeClr w14:val="tx1"/>
                  </w14:solidFill>
                </w14:textFill>
              </w:rPr>
              <w:t>3</w:t>
            </w:r>
            <w:r>
              <w:rPr>
                <w:rFonts w:hint="eastAsia"/>
                <w:b/>
                <w:color w:val="000000" w:themeColor="text1"/>
                <w:sz w:val="24"/>
                <w:szCs w:val="24"/>
                <w:highlight w:val="none"/>
                <w:lang w:val="en-US" w:eastAsia="zh-CN"/>
                <w14:textFill>
                  <w14:solidFill>
                    <w14:schemeClr w14:val="tx1"/>
                  </w14:solidFill>
                </w14:textFill>
              </w:rPr>
              <w:t>.6</w:t>
            </w:r>
            <w:r>
              <w:rPr>
                <w:b/>
                <w:color w:val="000000" w:themeColor="text1"/>
                <w:sz w:val="24"/>
                <w:szCs w:val="24"/>
                <w:highlight w:val="none"/>
                <w14:textFill>
                  <w14:solidFill>
                    <w14:schemeClr w14:val="tx1"/>
                  </w14:solidFill>
                </w14:textFill>
              </w:rPr>
              <w:t>-</w:t>
            </w:r>
            <w:r>
              <w:rPr>
                <w:rFonts w:hint="eastAsia"/>
                <w:b/>
                <w:color w:val="000000" w:themeColor="text1"/>
                <w:sz w:val="24"/>
                <w:szCs w:val="24"/>
                <w:highlight w:val="none"/>
                <w:lang w:val="en-US" w:eastAsia="zh-CN"/>
                <w14:textFill>
                  <w14:solidFill>
                    <w14:schemeClr w14:val="tx1"/>
                  </w14:solidFill>
                </w14:textFill>
              </w:rPr>
              <w:t>1</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14:textFill>
                  <w14:solidFill>
                    <w14:schemeClr w14:val="tx1"/>
                  </w14:solidFill>
                </w14:textFill>
              </w:rPr>
              <w:t>本项目环境保护目标</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21"/>
              <w:gridCol w:w="990"/>
              <w:gridCol w:w="1607"/>
              <w:gridCol w:w="1633"/>
              <w:gridCol w:w="2929"/>
            </w:tblGrid>
            <w:tr w14:paraId="0935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221" w:type="dxa"/>
                  <w:shd w:val="clear" w:color="auto" w:fill="auto"/>
                  <w:vAlign w:val="center"/>
                </w:tcPr>
                <w:p w14:paraId="514011B5">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环境要素</w:t>
                  </w:r>
                </w:p>
              </w:tc>
              <w:tc>
                <w:tcPr>
                  <w:tcW w:w="990" w:type="dxa"/>
                  <w:shd w:val="clear" w:color="auto" w:fill="auto"/>
                  <w:vAlign w:val="center"/>
                </w:tcPr>
                <w:p w14:paraId="21F42A7E">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名称</w:t>
                  </w:r>
                </w:p>
              </w:tc>
              <w:tc>
                <w:tcPr>
                  <w:tcW w:w="1607" w:type="dxa"/>
                  <w:shd w:val="clear" w:color="auto" w:fill="auto"/>
                  <w:vAlign w:val="center"/>
                </w:tcPr>
                <w:p w14:paraId="68BA9488">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与项目厂界的方位和最近距离</w:t>
                  </w:r>
                </w:p>
              </w:tc>
              <w:tc>
                <w:tcPr>
                  <w:tcW w:w="1633" w:type="dxa"/>
                  <w:shd w:val="clear" w:color="auto" w:fill="auto"/>
                  <w:vAlign w:val="center"/>
                </w:tcPr>
                <w:p w14:paraId="58E1071D">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保护对象</w:t>
                  </w:r>
                </w:p>
              </w:tc>
              <w:tc>
                <w:tcPr>
                  <w:tcW w:w="2929" w:type="dxa"/>
                  <w:shd w:val="clear" w:color="auto" w:fill="auto"/>
                  <w:vAlign w:val="center"/>
                </w:tcPr>
                <w:p w14:paraId="4BDAB7FB">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环境保护要求</w:t>
                  </w:r>
                </w:p>
              </w:tc>
            </w:tr>
            <w:tr w14:paraId="04DD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221" w:type="dxa"/>
                  <w:vMerge w:val="restart"/>
                  <w:shd w:val="clear" w:color="auto" w:fill="auto"/>
                  <w:vAlign w:val="center"/>
                </w:tcPr>
                <w:p w14:paraId="18264E98">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环境空气</w:t>
                  </w:r>
                </w:p>
              </w:tc>
              <w:tc>
                <w:tcPr>
                  <w:tcW w:w="990" w:type="dxa"/>
                  <w:shd w:val="clear" w:color="auto" w:fill="auto"/>
                  <w:vAlign w:val="center"/>
                </w:tcPr>
                <w:p w14:paraId="2EF79E7D">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南湖公寓</w:t>
                  </w:r>
                </w:p>
              </w:tc>
              <w:tc>
                <w:tcPr>
                  <w:tcW w:w="1607" w:type="dxa"/>
                  <w:shd w:val="clear" w:color="auto" w:fill="auto"/>
                  <w:vAlign w:val="center"/>
                </w:tcPr>
                <w:p w14:paraId="33634A1A">
                  <w:pPr>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西侧，220m</w:t>
                  </w:r>
                </w:p>
              </w:tc>
              <w:tc>
                <w:tcPr>
                  <w:tcW w:w="1633" w:type="dxa"/>
                  <w:shd w:val="clear" w:color="auto" w:fill="auto"/>
                  <w:vAlign w:val="center"/>
                </w:tcPr>
                <w:p w14:paraId="031E94B3">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居民，约3500人</w:t>
                  </w:r>
                </w:p>
              </w:tc>
              <w:tc>
                <w:tcPr>
                  <w:tcW w:w="2929" w:type="dxa"/>
                  <w:vMerge w:val="restart"/>
                  <w:shd w:val="clear" w:color="auto" w:fill="auto"/>
                  <w:vAlign w:val="center"/>
                </w:tcPr>
                <w:p w14:paraId="473B54EB">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《环境空气质量标准》</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GB3095-20</w:t>
                  </w:r>
                  <w:r>
                    <w:rPr>
                      <w:rFonts w:hint="eastAsia"/>
                      <w:color w:val="000000" w:themeColor="text1"/>
                      <w:sz w:val="21"/>
                      <w:szCs w:val="21"/>
                      <w:highlight w:val="none"/>
                      <w:lang w:val="en-US" w:eastAsia="zh-CN"/>
                      <w14:textFill>
                        <w14:solidFill>
                          <w14:schemeClr w14:val="tx1"/>
                        </w14:solidFill>
                      </w14:textFill>
                    </w:rPr>
                    <w:t>26</w:t>
                  </w:r>
                  <w:r>
                    <w:rPr>
                      <w:rFonts w:hint="eastAsia"/>
                      <w:color w:val="000000" w:themeColor="text1"/>
                      <w:sz w:val="21"/>
                      <w:szCs w:val="21"/>
                      <w:highlight w:val="none"/>
                      <w14:textFill>
                        <w14:solidFill>
                          <w14:schemeClr w14:val="tx1"/>
                        </w14:solidFill>
                      </w14:textFill>
                    </w:rPr>
                    <w:t>）中的二级标准</w:t>
                  </w:r>
                </w:p>
              </w:tc>
            </w:tr>
            <w:tr w14:paraId="71E7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221" w:type="dxa"/>
                  <w:vMerge w:val="continue"/>
                  <w:shd w:val="clear" w:color="auto" w:fill="auto"/>
                  <w:vAlign w:val="center"/>
                </w:tcPr>
                <w:p w14:paraId="47620F82">
                  <w:pPr>
                    <w:jc w:val="center"/>
                    <w:rPr>
                      <w:rFonts w:hint="eastAsia"/>
                      <w:color w:val="000000" w:themeColor="text1"/>
                      <w:sz w:val="21"/>
                      <w:szCs w:val="21"/>
                      <w:highlight w:val="none"/>
                      <w:lang w:val="en-US" w:eastAsia="zh-CN"/>
                      <w14:textFill>
                        <w14:solidFill>
                          <w14:schemeClr w14:val="tx1"/>
                        </w14:solidFill>
                      </w14:textFill>
                    </w:rPr>
                  </w:pPr>
                </w:p>
              </w:tc>
              <w:tc>
                <w:tcPr>
                  <w:tcW w:w="990" w:type="dxa"/>
                  <w:shd w:val="clear" w:color="auto" w:fill="auto"/>
                  <w:vAlign w:val="center"/>
                </w:tcPr>
                <w:p w14:paraId="12593E4E">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阳光城丽景湾</w:t>
                  </w:r>
                </w:p>
              </w:tc>
              <w:tc>
                <w:tcPr>
                  <w:tcW w:w="1607" w:type="dxa"/>
                  <w:shd w:val="clear" w:color="auto" w:fill="auto"/>
                  <w:vAlign w:val="center"/>
                </w:tcPr>
                <w:p w14:paraId="0601F7B5">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东南侧，390m</w:t>
                  </w:r>
                </w:p>
              </w:tc>
              <w:tc>
                <w:tcPr>
                  <w:tcW w:w="1633" w:type="dxa"/>
                  <w:shd w:val="clear" w:color="auto" w:fill="auto"/>
                  <w:vAlign w:val="center"/>
                </w:tcPr>
                <w:p w14:paraId="32312BD2">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居民，约2000人</w:t>
                  </w:r>
                </w:p>
              </w:tc>
              <w:tc>
                <w:tcPr>
                  <w:tcW w:w="2929" w:type="dxa"/>
                  <w:vMerge w:val="continue"/>
                  <w:shd w:val="clear" w:color="auto" w:fill="auto"/>
                  <w:vAlign w:val="center"/>
                </w:tcPr>
                <w:p w14:paraId="30472573">
                  <w:pPr>
                    <w:jc w:val="center"/>
                    <w:rPr>
                      <w:rFonts w:hint="eastAsia"/>
                      <w:color w:val="000000" w:themeColor="text1"/>
                      <w:sz w:val="21"/>
                      <w:szCs w:val="21"/>
                      <w:highlight w:val="none"/>
                      <w14:textFill>
                        <w14:solidFill>
                          <w14:schemeClr w14:val="tx1"/>
                        </w14:solidFill>
                      </w14:textFill>
                    </w:rPr>
                  </w:pPr>
                </w:p>
              </w:tc>
            </w:tr>
            <w:tr w14:paraId="219B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221" w:type="dxa"/>
                  <w:shd w:val="clear" w:color="auto" w:fill="auto"/>
                  <w:vAlign w:val="center"/>
                </w:tcPr>
                <w:p w14:paraId="3AC1F611">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地表水</w:t>
                  </w:r>
                </w:p>
              </w:tc>
              <w:tc>
                <w:tcPr>
                  <w:tcW w:w="990" w:type="dxa"/>
                  <w:shd w:val="clear" w:color="auto" w:fill="auto"/>
                  <w:vAlign w:val="center"/>
                </w:tcPr>
                <w:p w14:paraId="4C9C0293">
                  <w:pPr>
                    <w:jc w:val="center"/>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大樟溪</w:t>
                  </w:r>
                </w:p>
              </w:tc>
              <w:tc>
                <w:tcPr>
                  <w:tcW w:w="1607" w:type="dxa"/>
                  <w:shd w:val="clear" w:color="auto" w:fill="auto"/>
                  <w:vAlign w:val="center"/>
                </w:tcPr>
                <w:p w14:paraId="41422902">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东</w:t>
                  </w:r>
                  <w:r>
                    <w:rPr>
                      <w:rFonts w:hint="eastAsia"/>
                      <w:color w:val="000000" w:themeColor="text1"/>
                      <w:sz w:val="21"/>
                      <w:szCs w:val="21"/>
                      <w:highlight w:val="none"/>
                      <w:lang w:val="en-US" w:eastAsia="zh-CN"/>
                      <w14:textFill>
                        <w14:solidFill>
                          <w14:schemeClr w14:val="tx1"/>
                        </w14:solidFill>
                      </w14:textFill>
                    </w:rPr>
                    <w:t>侧，1140m</w:t>
                  </w:r>
                </w:p>
              </w:tc>
              <w:tc>
                <w:tcPr>
                  <w:tcW w:w="1633" w:type="dxa"/>
                  <w:shd w:val="clear" w:color="auto" w:fill="auto"/>
                  <w:vAlign w:val="center"/>
                </w:tcPr>
                <w:p w14:paraId="0F6A0E8D">
                  <w:pPr>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大樟溪水质</w:t>
                  </w:r>
                </w:p>
              </w:tc>
              <w:tc>
                <w:tcPr>
                  <w:tcW w:w="2929" w:type="dxa"/>
                  <w:shd w:val="clear" w:color="auto" w:fill="auto"/>
                  <w:vAlign w:val="center"/>
                </w:tcPr>
                <w:p w14:paraId="7BC97574">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《地表水环境质量标准》(GB3838-2002)</w:t>
                  </w:r>
                  <w:r>
                    <w:rPr>
                      <w:rFonts w:hint="eastAsia"/>
                      <w:color w:val="000000" w:themeColor="text1"/>
                      <w:sz w:val="21"/>
                      <w:szCs w:val="21"/>
                      <w:highlight w:val="none"/>
                      <w:lang w:val="en-US" w:eastAsia="zh-CN"/>
                      <w14:textFill>
                        <w14:solidFill>
                          <w14:schemeClr w14:val="tx1"/>
                        </w14:solidFill>
                      </w14:textFill>
                    </w:rPr>
                    <w:t>Ⅲ</w:t>
                  </w:r>
                  <w:r>
                    <w:rPr>
                      <w:rFonts w:hint="eastAsia"/>
                      <w:color w:val="000000" w:themeColor="text1"/>
                      <w:sz w:val="21"/>
                      <w:szCs w:val="21"/>
                      <w:highlight w:val="none"/>
                      <w:lang w:eastAsia="zh-CN"/>
                      <w14:textFill>
                        <w14:solidFill>
                          <w14:schemeClr w14:val="tx1"/>
                        </w14:solidFill>
                      </w14:textFill>
                    </w:rPr>
                    <w:t>类标准</w:t>
                  </w:r>
                </w:p>
              </w:tc>
            </w:tr>
            <w:tr w14:paraId="48D9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221" w:type="dxa"/>
                  <w:shd w:val="clear" w:color="auto" w:fill="auto"/>
                  <w:vAlign w:val="center"/>
                </w:tcPr>
                <w:p w14:paraId="30FD69E3">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声环境</w:t>
                  </w:r>
                </w:p>
              </w:tc>
              <w:tc>
                <w:tcPr>
                  <w:tcW w:w="7159" w:type="dxa"/>
                  <w:gridSpan w:val="4"/>
                  <w:shd w:val="clear" w:color="auto" w:fill="auto"/>
                  <w:vAlign w:val="center"/>
                </w:tcPr>
                <w:p w14:paraId="19E753BA">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项目厂界外</w:t>
                  </w:r>
                  <w:r>
                    <w:rPr>
                      <w:rFonts w:hint="eastAsia"/>
                      <w:color w:val="000000" w:themeColor="text1"/>
                      <w:sz w:val="21"/>
                      <w:szCs w:val="21"/>
                      <w:highlight w:val="none"/>
                      <w:lang w:eastAsia="zh-CN"/>
                      <w14:textFill>
                        <w14:solidFill>
                          <w14:schemeClr w14:val="tx1"/>
                        </w14:solidFill>
                      </w14:textFill>
                    </w:rPr>
                    <w:t>50m范围内</w:t>
                  </w:r>
                  <w:r>
                    <w:rPr>
                      <w:rFonts w:hint="eastAsia"/>
                      <w:color w:val="000000" w:themeColor="text1"/>
                      <w:sz w:val="21"/>
                      <w:szCs w:val="21"/>
                      <w:highlight w:val="none"/>
                      <w:lang w:val="en-US" w:eastAsia="zh-CN"/>
                      <w14:textFill>
                        <w14:solidFill>
                          <w14:schemeClr w14:val="tx1"/>
                        </w14:solidFill>
                      </w14:textFill>
                    </w:rPr>
                    <w:t>声环境保护目标。</w:t>
                  </w:r>
                </w:p>
              </w:tc>
            </w:tr>
            <w:tr w14:paraId="4FFE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221" w:type="dxa"/>
                  <w:shd w:val="clear" w:color="auto" w:fill="auto"/>
                  <w:vAlign w:val="center"/>
                </w:tcPr>
                <w:p w14:paraId="54DCA2C2">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地下水环境</w:t>
                  </w:r>
                </w:p>
              </w:tc>
              <w:tc>
                <w:tcPr>
                  <w:tcW w:w="7159" w:type="dxa"/>
                  <w:gridSpan w:val="4"/>
                  <w:shd w:val="clear" w:color="auto" w:fill="auto"/>
                  <w:vAlign w:val="center"/>
                </w:tcPr>
                <w:p w14:paraId="0A03F486">
                  <w:pPr>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项目厂界外500m范围内无特殊地下水资源。</w:t>
                  </w:r>
                </w:p>
              </w:tc>
            </w:tr>
            <w:tr w14:paraId="469C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221" w:type="dxa"/>
                  <w:shd w:val="clear" w:color="auto" w:fill="auto"/>
                  <w:vAlign w:val="center"/>
                </w:tcPr>
                <w:p w14:paraId="4C8AAD2C">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生态环境</w:t>
                  </w:r>
                </w:p>
              </w:tc>
              <w:tc>
                <w:tcPr>
                  <w:tcW w:w="7159" w:type="dxa"/>
                  <w:gridSpan w:val="4"/>
                  <w:shd w:val="clear" w:color="auto" w:fill="auto"/>
                  <w:vAlign w:val="center"/>
                </w:tcPr>
                <w:p w14:paraId="2A7929E5">
                  <w:pPr>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本项目不属于产业园区外建设项目新增用地的</w:t>
                  </w:r>
                  <w:r>
                    <w:rPr>
                      <w:rFonts w:hint="eastAsia"/>
                      <w:color w:val="000000" w:themeColor="text1"/>
                      <w:sz w:val="21"/>
                      <w:szCs w:val="21"/>
                      <w:highlight w:val="none"/>
                      <w:lang w:val="en-US" w:eastAsia="zh-CN"/>
                      <w14:textFill>
                        <w14:solidFill>
                          <w14:schemeClr w14:val="tx1"/>
                        </w14:solidFill>
                      </w14:textFill>
                    </w:rPr>
                    <w:t>项目</w:t>
                  </w:r>
                  <w:r>
                    <w:rPr>
                      <w:rFonts w:hint="eastAsia"/>
                      <w:color w:val="000000" w:themeColor="text1"/>
                      <w:sz w:val="21"/>
                      <w:szCs w:val="21"/>
                      <w:highlight w:val="none"/>
                      <w:lang w:eastAsia="zh-CN"/>
                      <w14:textFill>
                        <w14:solidFill>
                          <w14:schemeClr w14:val="tx1"/>
                        </w14:solidFill>
                      </w14:textFill>
                    </w:rPr>
                    <w:t>。</w:t>
                  </w:r>
                </w:p>
              </w:tc>
            </w:tr>
          </w:tbl>
          <w:p w14:paraId="18BDAE28">
            <w:pPr>
              <w:spacing w:line="360" w:lineRule="auto"/>
              <w:rPr>
                <w:rFonts w:cs="宋体"/>
                <w:color w:val="000000" w:themeColor="text1"/>
                <w:sz w:val="24"/>
                <w:highlight w:val="none"/>
                <w14:textFill>
                  <w14:solidFill>
                    <w14:schemeClr w14:val="tx1"/>
                  </w14:solidFill>
                </w14:textFill>
              </w:rPr>
            </w:pPr>
          </w:p>
        </w:tc>
      </w:tr>
      <w:tr w14:paraId="359F1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96" w:hRule="atLeast"/>
          <w:jc w:val="center"/>
        </w:trPr>
        <w:tc>
          <w:tcPr>
            <w:tcW w:w="423" w:type="dxa"/>
            <w:tcMar>
              <w:left w:w="28" w:type="dxa"/>
              <w:right w:w="28" w:type="dxa"/>
            </w:tcMar>
            <w:vAlign w:val="center"/>
          </w:tcPr>
          <w:p w14:paraId="02AF2CAE">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污染</w:t>
            </w:r>
          </w:p>
          <w:p w14:paraId="1551BA99">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物排</w:t>
            </w:r>
          </w:p>
          <w:p w14:paraId="7B703993">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放控</w:t>
            </w:r>
          </w:p>
          <w:p w14:paraId="1B5DC3E0">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制标</w:t>
            </w:r>
          </w:p>
          <w:p w14:paraId="77302B6F">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准</w:t>
            </w:r>
          </w:p>
        </w:tc>
        <w:tc>
          <w:tcPr>
            <w:tcW w:w="8606" w:type="dxa"/>
            <w:vAlign w:val="center"/>
          </w:tcPr>
          <w:p w14:paraId="0DFF30F9">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 xml:space="preserve">3.7 </w:t>
            </w:r>
            <w:r>
              <w:rPr>
                <w:rFonts w:hint="eastAsia"/>
                <w:color w:val="000000" w:themeColor="text1"/>
                <w:sz w:val="24"/>
                <w:szCs w:val="21"/>
                <w:highlight w:val="none"/>
                <w14:textFill>
                  <w14:solidFill>
                    <w14:schemeClr w14:val="tx1"/>
                  </w14:solidFill>
                </w14:textFill>
              </w:rPr>
              <w:t>大气污染物排放标准</w:t>
            </w:r>
          </w:p>
          <w:p w14:paraId="10DC6547">
            <w:pPr>
              <w:spacing w:line="360" w:lineRule="auto"/>
              <w:ind w:firstLine="480" w:firstLineChars="200"/>
              <w:rPr>
                <w:rFonts w:hint="eastAsia" w:cs="宋体"/>
                <w:bCs/>
                <w:color w:val="000000" w:themeColor="text1"/>
                <w:sz w:val="24"/>
                <w:szCs w:val="24"/>
                <w:highlight w:val="none"/>
                <w:lang w:val="en-US" w:eastAsia="zh-CN"/>
                <w14:textFill>
                  <w14:solidFill>
                    <w14:schemeClr w14:val="tx1"/>
                  </w14:solidFill>
                </w14:textFill>
              </w:rPr>
            </w:pPr>
            <w:r>
              <w:rPr>
                <w:rFonts w:hint="eastAsia" w:cs="宋体"/>
                <w:bCs/>
                <w:color w:val="000000" w:themeColor="text1"/>
                <w:sz w:val="24"/>
                <w:szCs w:val="24"/>
                <w:highlight w:val="none"/>
                <w:lang w:val="en-US" w:eastAsia="zh-CN"/>
                <w14:textFill>
                  <w14:solidFill>
                    <w14:schemeClr w14:val="tx1"/>
                  </w14:solidFill>
                </w14:textFill>
              </w:rPr>
              <w:t>项目细磨、抛光、切割过程产生的粉尘经收集后通过“布袋除尘器”处理后通过30m高排气筒排放，粉尘排放执行《大气污染物综合排放标准》（GB16297-1996）表2有组织排放监控浓度限值，具体见下表。</w:t>
            </w:r>
          </w:p>
          <w:p w14:paraId="641545A8">
            <w:pPr>
              <w:spacing w:line="360" w:lineRule="auto"/>
              <w:ind w:firstLine="480" w:firstLineChars="200"/>
              <w:rPr>
                <w:rFonts w:hint="eastAsia" w:cs="宋体"/>
                <w:bCs/>
                <w:color w:val="000000" w:themeColor="text1"/>
                <w:sz w:val="24"/>
                <w:szCs w:val="24"/>
                <w:highlight w:val="none"/>
                <w:lang w:val="en-US" w:eastAsia="zh-CN"/>
                <w14:textFill>
                  <w14:solidFill>
                    <w14:schemeClr w14:val="tx1"/>
                  </w14:solidFill>
                </w14:textFill>
              </w:rPr>
            </w:pPr>
            <w:r>
              <w:rPr>
                <w:rFonts w:hint="eastAsia" w:cs="宋体"/>
                <w:bCs/>
                <w:color w:val="000000" w:themeColor="text1"/>
                <w:sz w:val="24"/>
                <w:szCs w:val="24"/>
                <w:highlight w:val="none"/>
                <w:lang w:val="en-US" w:eastAsia="zh-CN"/>
                <w14:textFill>
                  <w14:solidFill>
                    <w14:schemeClr w14:val="tx1"/>
                  </w14:solidFill>
                </w14:textFill>
              </w:rPr>
              <w:t>清洗检验等工序产生的非甲烷总烃经集气罩+“二级活性炭吸附装置”处理后，由1根30m高排气筒引至屋顶排放。项目非甲烷总烃排放执行《工业企业挥发性有机物排放标准》（DB35/1782-2018）表1中电子产品制造标准限值、表2、表3中标准限值；同时根据闽环保大气〔2019〕6号文，非甲烷总烃无组织排放厂区内监控点任意一次浓度值还应执行《挥发性有机物无组织排放控制标准》（GB37822-2019）附录A中表A.1标准限值。</w:t>
            </w:r>
          </w:p>
          <w:p w14:paraId="2B873B4F">
            <w:pPr>
              <w:spacing w:line="360" w:lineRule="auto"/>
              <w:ind w:firstLine="480" w:firstLineChars="200"/>
              <w:rPr>
                <w:rFonts w:hint="default" w:cs="宋体"/>
                <w:bCs/>
                <w:color w:val="000000" w:themeColor="text1"/>
                <w:sz w:val="24"/>
                <w:szCs w:val="24"/>
                <w:highlight w:val="none"/>
                <w:lang w:val="en-US" w:eastAsia="zh-CN"/>
                <w14:textFill>
                  <w14:solidFill>
                    <w14:schemeClr w14:val="tx1"/>
                  </w14:solidFill>
                </w14:textFill>
              </w:rPr>
            </w:pPr>
            <w:r>
              <w:rPr>
                <w:rFonts w:hint="eastAsia" w:cs="宋体"/>
                <w:bCs/>
                <w:color w:val="000000" w:themeColor="text1"/>
                <w:sz w:val="24"/>
                <w:szCs w:val="24"/>
                <w:highlight w:val="none"/>
                <w:lang w:val="en-US" w:eastAsia="zh-CN"/>
                <w14:textFill>
                  <w14:solidFill>
                    <w14:schemeClr w14:val="tx1"/>
                  </w14:solidFill>
                </w14:textFill>
              </w:rPr>
              <w:t>清洗等工序产生的酸性废气经集气罩+“碱液喷淋塔”处理后，由1根30m高排气筒引至屋顶排放。项目酸性废气污染物执行《大气污染物综合排放标准》（GB16297-1996）表2有组织排放监控浓度限值。</w:t>
            </w:r>
          </w:p>
          <w:p w14:paraId="0437822A">
            <w:pPr>
              <w:spacing w:line="360" w:lineRule="auto"/>
              <w:ind w:firstLine="480" w:firstLineChars="200"/>
              <w:rPr>
                <w:rFonts w:hint="eastAsia" w:cs="宋体"/>
                <w:bCs/>
                <w:color w:val="000000" w:themeColor="text1"/>
                <w:sz w:val="24"/>
                <w:szCs w:val="24"/>
                <w:highlight w:val="none"/>
                <w:lang w:val="en-US" w:eastAsia="zh-CN"/>
                <w14:textFill>
                  <w14:solidFill>
                    <w14:schemeClr w14:val="tx1"/>
                  </w14:solidFill>
                </w14:textFill>
              </w:rPr>
            </w:pPr>
            <w:r>
              <w:rPr>
                <w:rFonts w:hint="eastAsia" w:cs="宋体"/>
                <w:bCs/>
                <w:color w:val="000000" w:themeColor="text1"/>
                <w:sz w:val="24"/>
                <w:szCs w:val="24"/>
                <w:highlight w:val="none"/>
                <w:lang w:val="en-US" w:eastAsia="zh-CN"/>
                <w14:textFill>
                  <w14:solidFill>
                    <w14:schemeClr w14:val="tx1"/>
                  </w14:solidFill>
                </w14:textFill>
              </w:rPr>
              <w:t>显影工序产生的碱性废气经集气罩+“稀硫酸喷淋塔”处理后，由1根30m高排气筒引至屋顶排放。项目碱性废气污染物执行《恶臭污染物排放标准》（GB 14554-93）表2中标准。</w:t>
            </w:r>
          </w:p>
          <w:p w14:paraId="4981AE1C">
            <w:pPr>
              <w:spacing w:line="360" w:lineRule="auto"/>
              <w:ind w:firstLine="480" w:firstLineChars="200"/>
              <w:rPr>
                <w:rFonts w:hint="default" w:cs="宋体"/>
                <w:bCs/>
                <w:color w:val="000000" w:themeColor="text1"/>
                <w:sz w:val="24"/>
                <w:szCs w:val="24"/>
                <w:highlight w:val="none"/>
                <w:lang w:val="en-US" w:eastAsia="zh-CN"/>
                <w14:textFill>
                  <w14:solidFill>
                    <w14:schemeClr w14:val="tx1"/>
                  </w14:solidFill>
                </w14:textFill>
              </w:rPr>
            </w:pPr>
            <w:r>
              <w:rPr>
                <w:rFonts w:hint="eastAsia" w:cs="宋体"/>
                <w:bCs/>
                <w:color w:val="000000" w:themeColor="text1"/>
                <w:sz w:val="24"/>
                <w:szCs w:val="24"/>
                <w:highlight w:val="none"/>
                <w:lang w:val="en-US" w:eastAsia="zh-CN"/>
                <w14:textFill>
                  <w14:solidFill>
                    <w14:schemeClr w14:val="tx1"/>
                  </w14:solidFill>
                </w14:textFill>
              </w:rPr>
              <w:t>颗粒物、酸性废气污染物无组织排放执行《大气污染物综合排放标准》（GB16297-1996）表2无组织排放监控浓度限值。</w:t>
            </w:r>
          </w:p>
          <w:p w14:paraId="099F979A">
            <w:pPr>
              <w:spacing w:line="360" w:lineRule="auto"/>
              <w:ind w:firstLine="480" w:firstLineChars="200"/>
              <w:rPr>
                <w:rFonts w:hint="eastAsia" w:cs="宋体"/>
                <w:bCs/>
                <w:color w:val="000000" w:themeColor="text1"/>
                <w:sz w:val="24"/>
                <w:szCs w:val="24"/>
                <w:highlight w:val="none"/>
                <w:lang w:val="en-US" w:eastAsia="zh-CN"/>
                <w14:textFill>
                  <w14:solidFill>
                    <w14:schemeClr w14:val="tx1"/>
                  </w14:solidFill>
                </w14:textFill>
              </w:rPr>
            </w:pPr>
            <w:r>
              <w:rPr>
                <w:rFonts w:hint="eastAsia" w:cs="宋体"/>
                <w:bCs/>
                <w:color w:val="000000" w:themeColor="text1"/>
                <w:sz w:val="24"/>
                <w:szCs w:val="24"/>
                <w:highlight w:val="none"/>
                <w:lang w:val="en-US" w:eastAsia="zh-CN"/>
                <w14:textFill>
                  <w14:solidFill>
                    <w14:schemeClr w14:val="tx1"/>
                  </w14:solidFill>
                </w14:textFill>
              </w:rPr>
              <w:t>污水处理站的恶臭气体污染物无组织排放执行《恶臭污染物排放标准》（GB14554-93）表1中厂界标准值。</w:t>
            </w:r>
          </w:p>
          <w:p w14:paraId="07AECAF8">
            <w:pPr>
              <w:spacing w:line="360" w:lineRule="auto"/>
              <w:ind w:firstLine="480" w:firstLineChars="200"/>
              <w:rPr>
                <w:rFonts w:hint="eastAsia" w:cs="宋体"/>
                <w:bCs/>
                <w:color w:val="000000" w:themeColor="text1"/>
                <w:sz w:val="24"/>
                <w:szCs w:val="24"/>
                <w:highlight w:val="none"/>
                <w:lang w:val="en-US" w:eastAsia="zh-CN"/>
                <w14:textFill>
                  <w14:solidFill>
                    <w14:schemeClr w14:val="tx1"/>
                  </w14:solidFill>
                </w14:textFill>
              </w:rPr>
            </w:pPr>
            <w:r>
              <w:rPr>
                <w:rFonts w:hint="eastAsia" w:cs="宋体"/>
                <w:bCs/>
                <w:color w:val="000000" w:themeColor="text1"/>
                <w:sz w:val="24"/>
                <w:szCs w:val="24"/>
                <w:highlight w:val="none"/>
                <w:lang w:val="en-US" w:eastAsia="zh-CN"/>
                <w14:textFill>
                  <w14:solidFill>
                    <w14:schemeClr w14:val="tx1"/>
                  </w14:solidFill>
                </w14:textFill>
              </w:rPr>
              <w:t>具体详见下表。</w:t>
            </w:r>
          </w:p>
          <w:p w14:paraId="11F1FD33">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表3</w:t>
            </w:r>
            <w:r>
              <w:rPr>
                <w:rFonts w:hint="eastAsia" w:eastAsia="宋体" w:cs="宋体"/>
                <w:b/>
                <w:color w:val="000000" w:themeColor="text1"/>
                <w:kern w:val="2"/>
                <w:sz w:val="24"/>
                <w:szCs w:val="24"/>
                <w:highlight w:val="none"/>
                <w:lang w:val="en-US" w:eastAsia="zh-CN" w:bidi="ar-SA"/>
                <w14:textFill>
                  <w14:solidFill>
                    <w14:schemeClr w14:val="tx1"/>
                  </w14:solidFill>
                </w14:textFill>
              </w:rPr>
              <w:t>.7</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w:t>
            </w:r>
            <w:r>
              <w:rPr>
                <w:rFonts w:hint="eastAsia" w:eastAsia="宋体" w:cs="宋体"/>
                <w:b/>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本项目</w:t>
            </w:r>
            <w:r>
              <w:rPr>
                <w:rFonts w:hint="eastAsia" w:eastAsia="宋体" w:cs="宋体"/>
                <w:b/>
                <w:color w:val="000000" w:themeColor="text1"/>
                <w:kern w:val="2"/>
                <w:sz w:val="24"/>
                <w:szCs w:val="24"/>
                <w:highlight w:val="none"/>
                <w:lang w:val="en-US" w:eastAsia="zh-CN" w:bidi="ar-SA"/>
                <w14:textFill>
                  <w14:solidFill>
                    <w14:schemeClr w14:val="tx1"/>
                  </w14:solidFill>
                </w14:textFill>
              </w:rPr>
              <w:t>废气污染物</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排放浓度限值</w:t>
            </w:r>
          </w:p>
          <w:tbl>
            <w:tblPr>
              <w:tblStyle w:val="30"/>
              <w:tblW w:w="4998" w:type="pct"/>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57" w:type="dxa"/>
                <w:bottom w:w="0" w:type="dxa"/>
                <w:right w:w="57" w:type="dxa"/>
              </w:tblCellMar>
            </w:tblPr>
            <w:tblGrid>
              <w:gridCol w:w="672"/>
              <w:gridCol w:w="870"/>
              <w:gridCol w:w="2970"/>
              <w:gridCol w:w="1395"/>
              <w:gridCol w:w="1350"/>
              <w:gridCol w:w="1121"/>
            </w:tblGrid>
            <w:tr w14:paraId="101E9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restart"/>
                  <w:tcBorders>
                    <w:tl2br w:val="nil"/>
                    <w:tr2bl w:val="nil"/>
                  </w:tcBorders>
                  <w:shd w:val="clear" w:color="auto" w:fill="auto"/>
                  <w:vAlign w:val="center"/>
                </w:tcPr>
                <w:p w14:paraId="5314183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环境要素</w:t>
                  </w:r>
                </w:p>
              </w:tc>
              <w:tc>
                <w:tcPr>
                  <w:tcW w:w="2970" w:type="dxa"/>
                  <w:vMerge w:val="restart"/>
                  <w:tcBorders>
                    <w:tl2br w:val="nil"/>
                    <w:tr2bl w:val="nil"/>
                  </w:tcBorders>
                  <w:shd w:val="clear" w:color="auto" w:fill="auto"/>
                  <w:vAlign w:val="center"/>
                </w:tcPr>
                <w:p w14:paraId="72C0DB7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排放标准</w:t>
                  </w:r>
                </w:p>
              </w:tc>
              <w:tc>
                <w:tcPr>
                  <w:tcW w:w="3866" w:type="dxa"/>
                  <w:gridSpan w:val="3"/>
                  <w:tcBorders>
                    <w:tl2br w:val="nil"/>
                    <w:tr2bl w:val="nil"/>
                  </w:tcBorders>
                  <w:shd w:val="clear" w:color="auto" w:fill="auto"/>
                  <w:vAlign w:val="center"/>
                </w:tcPr>
                <w:p w14:paraId="225DFB8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标准值</w:t>
                  </w:r>
                </w:p>
              </w:tc>
            </w:tr>
            <w:tr w14:paraId="12759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640495D0">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970" w:type="dxa"/>
                  <w:vMerge w:val="continue"/>
                  <w:tcBorders>
                    <w:tl2br w:val="nil"/>
                    <w:tr2bl w:val="nil"/>
                  </w:tcBorders>
                  <w:shd w:val="clear" w:color="auto" w:fill="auto"/>
                  <w:vAlign w:val="center"/>
                </w:tcPr>
                <w:p w14:paraId="03C12412">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395" w:type="dxa"/>
                  <w:tcBorders>
                    <w:tl2br w:val="nil"/>
                    <w:tr2bl w:val="nil"/>
                  </w:tcBorders>
                  <w:shd w:val="clear" w:color="auto" w:fill="auto"/>
                  <w:vAlign w:val="center"/>
                </w:tcPr>
                <w:p w14:paraId="0930F41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类别</w:t>
                  </w:r>
                </w:p>
              </w:tc>
              <w:tc>
                <w:tcPr>
                  <w:tcW w:w="1350" w:type="dxa"/>
                  <w:tcBorders>
                    <w:tl2br w:val="nil"/>
                    <w:tr2bl w:val="nil"/>
                  </w:tcBorders>
                  <w:shd w:val="clear" w:color="auto" w:fill="auto"/>
                  <w:vAlign w:val="center"/>
                </w:tcPr>
                <w:p w14:paraId="390610E2">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排放浓度</w:t>
                  </w:r>
                </w:p>
              </w:tc>
              <w:tc>
                <w:tcPr>
                  <w:tcW w:w="1121" w:type="dxa"/>
                  <w:tcBorders>
                    <w:tl2br w:val="nil"/>
                    <w:tr2bl w:val="nil"/>
                  </w:tcBorders>
                  <w:shd w:val="clear" w:color="auto" w:fill="auto"/>
                  <w:vAlign w:val="center"/>
                </w:tcPr>
                <w:p w14:paraId="76658D3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排放速率</w:t>
                  </w:r>
                </w:p>
              </w:tc>
            </w:tr>
            <w:tr w14:paraId="2EEA7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672" w:type="dxa"/>
                  <w:vMerge w:val="restart"/>
                  <w:tcBorders>
                    <w:tl2br w:val="nil"/>
                    <w:tr2bl w:val="nil"/>
                  </w:tcBorders>
                  <w:shd w:val="clear" w:color="auto" w:fill="auto"/>
                  <w:vAlign w:val="center"/>
                </w:tcPr>
                <w:p w14:paraId="6C88A10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有组织</w:t>
                  </w:r>
                </w:p>
              </w:tc>
              <w:tc>
                <w:tcPr>
                  <w:tcW w:w="870" w:type="dxa"/>
                  <w:tcBorders>
                    <w:tl2br w:val="nil"/>
                    <w:tr2bl w:val="nil"/>
                  </w:tcBorders>
                  <w:shd w:val="clear" w:color="auto" w:fill="auto"/>
                  <w:vAlign w:val="center"/>
                </w:tcPr>
                <w:p w14:paraId="6DD7C4C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有机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废气</w:t>
                  </w:r>
                </w:p>
              </w:tc>
              <w:tc>
                <w:tcPr>
                  <w:tcW w:w="2970" w:type="dxa"/>
                  <w:tcBorders>
                    <w:tl2br w:val="nil"/>
                    <w:tr2bl w:val="nil"/>
                  </w:tcBorders>
                  <w:shd w:val="clear" w:color="auto" w:fill="auto"/>
                  <w:vAlign w:val="center"/>
                </w:tcPr>
                <w:p w14:paraId="0514750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《工业企业挥发性有机物排放标准》（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DB35/1782-2018</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中相应标准值</w:t>
                  </w:r>
                </w:p>
              </w:tc>
              <w:tc>
                <w:tcPr>
                  <w:tcW w:w="1395" w:type="dxa"/>
                  <w:tcBorders>
                    <w:tl2br w:val="nil"/>
                    <w:tr2bl w:val="nil"/>
                  </w:tcBorders>
                  <w:shd w:val="clear" w:color="auto" w:fill="auto"/>
                  <w:vAlign w:val="center"/>
                </w:tcPr>
                <w:p w14:paraId="304F448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1350" w:type="dxa"/>
                  <w:tcBorders>
                    <w:tl2br w:val="nil"/>
                    <w:tr2bl w:val="nil"/>
                  </w:tcBorders>
                  <w:shd w:val="clear" w:color="auto" w:fill="auto"/>
                  <w:vAlign w:val="center"/>
                </w:tcPr>
                <w:p w14:paraId="113A2D8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80mg/m</w:t>
                  </w:r>
                  <w:r>
                    <w:rPr>
                      <w:rStyle w:val="111"/>
                      <w:rFonts w:eastAsia="宋体"/>
                      <w:color w:val="000000" w:themeColor="text1"/>
                      <w:highlight w:val="none"/>
                      <w:lang w:val="en-US" w:eastAsia="zh-CN" w:bidi="ar"/>
                      <w14:textFill>
                        <w14:solidFill>
                          <w14:schemeClr w14:val="tx1"/>
                        </w14:solidFill>
                      </w14:textFill>
                    </w:rPr>
                    <w:t>3</w:t>
                  </w:r>
                </w:p>
              </w:tc>
              <w:tc>
                <w:tcPr>
                  <w:tcW w:w="1121" w:type="dxa"/>
                  <w:tcBorders>
                    <w:tl2br w:val="nil"/>
                    <w:tr2bl w:val="nil"/>
                  </w:tcBorders>
                  <w:shd w:val="clear" w:color="auto" w:fill="auto"/>
                  <w:vAlign w:val="center"/>
                </w:tcPr>
                <w:p w14:paraId="328FEF0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.6kg/h</w:t>
                  </w:r>
                </w:p>
              </w:tc>
            </w:tr>
            <w:tr w14:paraId="37832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672" w:type="dxa"/>
                  <w:vMerge w:val="continue"/>
                  <w:tcBorders>
                    <w:tl2br w:val="nil"/>
                    <w:tr2bl w:val="nil"/>
                  </w:tcBorders>
                  <w:shd w:val="clear" w:color="auto" w:fill="auto"/>
                  <w:vAlign w:val="center"/>
                </w:tcPr>
                <w:p w14:paraId="69FEAEF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0" w:type="dxa"/>
                  <w:tcBorders>
                    <w:tl2br w:val="nil"/>
                    <w:tr2bl w:val="nil"/>
                  </w:tcBorders>
                  <w:shd w:val="clear" w:color="auto" w:fill="auto"/>
                  <w:vAlign w:val="center"/>
                </w:tcPr>
                <w:p w14:paraId="14AD45CC">
                  <w:pPr>
                    <w:keepNext w:val="0"/>
                    <w:keepLines w:val="0"/>
                    <w:widowControl/>
                    <w:suppressLineNumbers w:val="0"/>
                    <w:jc w:val="center"/>
                    <w:textAlignment w:val="top"/>
                    <w:rPr>
                      <w:rFonts w:hint="default"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粉尘</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废气</w:t>
                  </w:r>
                </w:p>
              </w:tc>
              <w:tc>
                <w:tcPr>
                  <w:tcW w:w="2970" w:type="dxa"/>
                  <w:tcBorders>
                    <w:tl2br w:val="nil"/>
                    <w:tr2bl w:val="nil"/>
                  </w:tcBorders>
                  <w:shd w:val="clear" w:color="auto" w:fill="auto"/>
                  <w:vAlign w:val="center"/>
                </w:tcPr>
                <w:p w14:paraId="7FF08F4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《大气污染物综合排放标准》（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GB16297-1996</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有组织排放监控浓度限值</w:t>
                  </w:r>
                </w:p>
              </w:tc>
              <w:tc>
                <w:tcPr>
                  <w:tcW w:w="1395" w:type="dxa"/>
                  <w:tcBorders>
                    <w:tl2br w:val="nil"/>
                    <w:tr2bl w:val="nil"/>
                  </w:tcBorders>
                  <w:shd w:val="clear" w:color="auto" w:fill="auto"/>
                  <w:vAlign w:val="center"/>
                </w:tcPr>
                <w:p w14:paraId="394DC3F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350" w:type="dxa"/>
                  <w:tcBorders>
                    <w:tl2br w:val="nil"/>
                    <w:tr2bl w:val="nil"/>
                  </w:tcBorders>
                  <w:shd w:val="clear" w:color="auto" w:fill="auto"/>
                  <w:vAlign w:val="center"/>
                </w:tcPr>
                <w:p w14:paraId="5947AAD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120mg/m</w:t>
                  </w:r>
                  <w:r>
                    <w:rPr>
                      <w:rFonts w:hint="eastAsia"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1121" w:type="dxa"/>
                  <w:tcBorders>
                    <w:tl2br w:val="nil"/>
                    <w:tr2bl w:val="nil"/>
                  </w:tcBorders>
                  <w:shd w:val="clear" w:color="auto" w:fill="auto"/>
                  <w:vAlign w:val="center"/>
                </w:tcPr>
                <w:p w14:paraId="2418338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r>
            <w:tr w14:paraId="4A19E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672" w:type="dxa"/>
                  <w:vMerge w:val="continue"/>
                  <w:tcBorders>
                    <w:tl2br w:val="nil"/>
                    <w:tr2bl w:val="nil"/>
                  </w:tcBorders>
                  <w:shd w:val="clear" w:color="auto" w:fill="auto"/>
                  <w:vAlign w:val="center"/>
                </w:tcPr>
                <w:p w14:paraId="2970B7B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0" w:type="dxa"/>
                  <w:vMerge w:val="restart"/>
                  <w:tcBorders>
                    <w:tl2br w:val="nil"/>
                    <w:tr2bl w:val="nil"/>
                  </w:tcBorders>
                  <w:shd w:val="clear" w:color="auto" w:fill="auto"/>
                  <w:vAlign w:val="center"/>
                </w:tcPr>
                <w:p w14:paraId="7DAD0CE6">
                  <w:pPr>
                    <w:keepNext w:val="0"/>
                    <w:keepLines w:val="0"/>
                    <w:widowControl/>
                    <w:suppressLineNumbers w:val="0"/>
                    <w:jc w:val="center"/>
                    <w:textAlignment w:val="top"/>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酸性废气</w:t>
                  </w:r>
                </w:p>
              </w:tc>
              <w:tc>
                <w:tcPr>
                  <w:tcW w:w="2970" w:type="dxa"/>
                  <w:vMerge w:val="restart"/>
                  <w:tcBorders>
                    <w:tl2br w:val="nil"/>
                    <w:tr2bl w:val="nil"/>
                  </w:tcBorders>
                  <w:shd w:val="clear" w:color="auto" w:fill="auto"/>
                  <w:vAlign w:val="center"/>
                </w:tcPr>
                <w:p w14:paraId="5B8FCA0F">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《大气污染物综合排放标准》（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GB16297-1996</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有组织排放监控浓度限值</w:t>
                  </w:r>
                </w:p>
              </w:tc>
              <w:tc>
                <w:tcPr>
                  <w:tcW w:w="1395" w:type="dxa"/>
                  <w:tcBorders>
                    <w:tl2br w:val="nil"/>
                    <w:tr2bl w:val="nil"/>
                  </w:tcBorders>
                  <w:shd w:val="clear" w:color="auto" w:fill="auto"/>
                  <w:vAlign w:val="center"/>
                </w:tcPr>
                <w:p w14:paraId="63615849">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1350" w:type="dxa"/>
                  <w:tcBorders>
                    <w:tl2br w:val="nil"/>
                    <w:tr2bl w:val="nil"/>
                  </w:tcBorders>
                  <w:shd w:val="clear" w:color="auto" w:fill="auto"/>
                  <w:vAlign w:val="center"/>
                </w:tcPr>
                <w:p w14:paraId="7B24BA3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Fonts w:hint="eastAsia"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1121" w:type="dxa"/>
                  <w:tcBorders>
                    <w:tl2br w:val="nil"/>
                    <w:tr2bl w:val="nil"/>
                  </w:tcBorders>
                  <w:shd w:val="clear" w:color="auto" w:fill="auto"/>
                  <w:vAlign w:val="center"/>
                </w:tcPr>
                <w:p w14:paraId="1C3B5BE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8.8</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r>
            <w:tr w14:paraId="5759D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672" w:type="dxa"/>
                  <w:vMerge w:val="continue"/>
                  <w:tcBorders>
                    <w:tl2br w:val="nil"/>
                    <w:tr2bl w:val="nil"/>
                  </w:tcBorders>
                  <w:shd w:val="clear" w:color="auto" w:fill="auto"/>
                  <w:vAlign w:val="center"/>
                </w:tcPr>
                <w:p w14:paraId="27DBBEE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0" w:type="dxa"/>
                  <w:vMerge w:val="continue"/>
                  <w:tcBorders>
                    <w:tl2br w:val="nil"/>
                    <w:tr2bl w:val="nil"/>
                  </w:tcBorders>
                  <w:shd w:val="clear" w:color="auto" w:fill="auto"/>
                  <w:vAlign w:val="center"/>
                </w:tcPr>
                <w:p w14:paraId="2ADC4A6A">
                  <w:pPr>
                    <w:keepNext w:val="0"/>
                    <w:keepLines w:val="0"/>
                    <w:widowControl/>
                    <w:suppressLineNumbers w:val="0"/>
                    <w:jc w:val="center"/>
                    <w:textAlignment w:val="top"/>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2970" w:type="dxa"/>
                  <w:vMerge w:val="continue"/>
                  <w:tcBorders>
                    <w:tl2br w:val="nil"/>
                    <w:tr2bl w:val="nil"/>
                  </w:tcBorders>
                  <w:shd w:val="clear" w:color="auto" w:fill="auto"/>
                  <w:vAlign w:val="center"/>
                </w:tcPr>
                <w:p w14:paraId="22BB0670">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023258DA">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1350" w:type="dxa"/>
                  <w:tcBorders>
                    <w:tl2br w:val="nil"/>
                    <w:tr2bl w:val="nil"/>
                  </w:tcBorders>
                  <w:shd w:val="clear" w:color="auto" w:fill="auto"/>
                  <w:vAlign w:val="center"/>
                </w:tcPr>
                <w:p w14:paraId="56B5300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Fonts w:hint="eastAsia"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1121" w:type="dxa"/>
                  <w:tcBorders>
                    <w:tl2br w:val="nil"/>
                    <w:tr2bl w:val="nil"/>
                  </w:tcBorders>
                  <w:shd w:val="clear" w:color="auto" w:fill="auto"/>
                  <w:vAlign w:val="center"/>
                </w:tcPr>
                <w:p w14:paraId="68FBD26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r>
            <w:tr w14:paraId="62DA3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672" w:type="dxa"/>
                  <w:vMerge w:val="continue"/>
                  <w:tcBorders>
                    <w:tl2br w:val="nil"/>
                    <w:tr2bl w:val="nil"/>
                  </w:tcBorders>
                  <w:shd w:val="clear" w:color="auto" w:fill="auto"/>
                  <w:vAlign w:val="center"/>
                </w:tcPr>
                <w:p w14:paraId="64D92F7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0" w:type="dxa"/>
                  <w:vMerge w:val="continue"/>
                  <w:tcBorders>
                    <w:tl2br w:val="nil"/>
                    <w:tr2bl w:val="nil"/>
                  </w:tcBorders>
                  <w:shd w:val="clear" w:color="auto" w:fill="auto"/>
                  <w:vAlign w:val="center"/>
                </w:tcPr>
                <w:p w14:paraId="65C9CC12">
                  <w:pPr>
                    <w:keepNext w:val="0"/>
                    <w:keepLines w:val="0"/>
                    <w:widowControl/>
                    <w:suppressLineNumbers w:val="0"/>
                    <w:jc w:val="center"/>
                    <w:textAlignment w:val="top"/>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2970" w:type="dxa"/>
                  <w:vMerge w:val="continue"/>
                  <w:tcBorders>
                    <w:tl2br w:val="nil"/>
                    <w:tr2bl w:val="nil"/>
                  </w:tcBorders>
                  <w:shd w:val="clear" w:color="auto" w:fill="auto"/>
                  <w:vAlign w:val="center"/>
                </w:tcPr>
                <w:p w14:paraId="76A694CE">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500955EE">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1350" w:type="dxa"/>
                  <w:tcBorders>
                    <w:tl2br w:val="nil"/>
                    <w:tr2bl w:val="nil"/>
                  </w:tcBorders>
                  <w:shd w:val="clear" w:color="auto" w:fill="auto"/>
                  <w:vAlign w:val="center"/>
                </w:tcPr>
                <w:p w14:paraId="5F1C8B5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Fonts w:hint="eastAsia"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1121" w:type="dxa"/>
                  <w:tcBorders>
                    <w:tl2br w:val="nil"/>
                    <w:tr2bl w:val="nil"/>
                  </w:tcBorders>
                  <w:shd w:val="clear" w:color="auto" w:fill="auto"/>
                  <w:vAlign w:val="center"/>
                </w:tcPr>
                <w:p w14:paraId="77DC6A4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r>
            <w:tr w14:paraId="5A620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672" w:type="dxa"/>
                  <w:vMerge w:val="continue"/>
                  <w:tcBorders>
                    <w:tl2br w:val="nil"/>
                    <w:tr2bl w:val="nil"/>
                  </w:tcBorders>
                  <w:shd w:val="clear" w:color="auto" w:fill="auto"/>
                  <w:vAlign w:val="center"/>
                </w:tcPr>
                <w:p w14:paraId="5189C54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0" w:type="dxa"/>
                  <w:vMerge w:val="continue"/>
                  <w:tcBorders>
                    <w:tl2br w:val="nil"/>
                    <w:tr2bl w:val="nil"/>
                  </w:tcBorders>
                  <w:shd w:val="clear" w:color="auto" w:fill="auto"/>
                  <w:vAlign w:val="center"/>
                </w:tcPr>
                <w:p w14:paraId="0396349F">
                  <w:pPr>
                    <w:keepNext w:val="0"/>
                    <w:keepLines w:val="0"/>
                    <w:widowControl/>
                    <w:suppressLineNumbers w:val="0"/>
                    <w:jc w:val="center"/>
                    <w:textAlignment w:val="top"/>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2970" w:type="dxa"/>
                  <w:vMerge w:val="continue"/>
                  <w:tcBorders>
                    <w:tl2br w:val="nil"/>
                    <w:tr2bl w:val="nil"/>
                  </w:tcBorders>
                  <w:shd w:val="clear" w:color="auto" w:fill="auto"/>
                  <w:vAlign w:val="center"/>
                </w:tcPr>
                <w:p w14:paraId="1BF2881C">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629DD20A">
                  <w:pPr>
                    <w:keepNext w:val="0"/>
                    <w:keepLines w:val="0"/>
                    <w:widowControl/>
                    <w:suppressLineNumbers w:val="0"/>
                    <w:jc w:val="center"/>
                    <w:textAlignment w:val="top"/>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硝酸雾（</w:t>
                  </w:r>
                  <w:r>
                    <w:rPr>
                      <w:rFonts w:eastAsia="Times New Roman"/>
                      <w:color w:val="000000" w:themeColor="text1"/>
                      <w:spacing w:val="2"/>
                      <w:position w:val="1"/>
                      <w:szCs w:val="21"/>
                      <w:highlight w:val="none"/>
                      <w14:textFill>
                        <w14:solidFill>
                          <w14:schemeClr w14:val="tx1"/>
                        </w14:solidFill>
                      </w14:textFill>
                    </w:rPr>
                    <w:t>N</w:t>
                  </w:r>
                  <w:r>
                    <w:rPr>
                      <w:rFonts w:eastAsia="Times New Roman"/>
                      <w:color w:val="000000" w:themeColor="text1"/>
                      <w:spacing w:val="1"/>
                      <w:position w:val="1"/>
                      <w:szCs w:val="21"/>
                      <w:highlight w:val="none"/>
                      <w14:textFill>
                        <w14:solidFill>
                          <w14:schemeClr w14:val="tx1"/>
                        </w14:solidFill>
                      </w14:textFill>
                    </w:rPr>
                    <w:t>Ox</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350" w:type="dxa"/>
                  <w:tcBorders>
                    <w:tl2br w:val="nil"/>
                    <w:tr2bl w:val="nil"/>
                  </w:tcBorders>
                  <w:shd w:val="clear" w:color="auto" w:fill="auto"/>
                  <w:vAlign w:val="center"/>
                </w:tcPr>
                <w:p w14:paraId="0806895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240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111"/>
                      <w:rFonts w:eastAsia="宋体"/>
                      <w:color w:val="000000" w:themeColor="text1"/>
                      <w:highlight w:val="none"/>
                      <w:lang w:val="en-US" w:eastAsia="zh-CN" w:bidi="ar"/>
                      <w14:textFill>
                        <w14:solidFill>
                          <w14:schemeClr w14:val="tx1"/>
                        </w14:solidFill>
                      </w14:textFill>
                    </w:rPr>
                    <w:t>3</w:t>
                  </w:r>
                </w:p>
              </w:tc>
              <w:tc>
                <w:tcPr>
                  <w:tcW w:w="1121" w:type="dxa"/>
                  <w:tcBorders>
                    <w:tl2br w:val="nil"/>
                    <w:tr2bl w:val="nil"/>
                  </w:tcBorders>
                  <w:shd w:val="clear" w:color="auto" w:fill="auto"/>
                  <w:vAlign w:val="center"/>
                </w:tcPr>
                <w:p w14:paraId="64ED105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r>
            <w:tr w14:paraId="659BD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672" w:type="dxa"/>
                  <w:vMerge w:val="continue"/>
                  <w:tcBorders>
                    <w:tl2br w:val="nil"/>
                    <w:tr2bl w:val="nil"/>
                  </w:tcBorders>
                  <w:shd w:val="clear" w:color="auto" w:fill="auto"/>
                  <w:vAlign w:val="center"/>
                </w:tcPr>
                <w:p w14:paraId="68B50FE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0" w:type="dxa"/>
                  <w:tcBorders>
                    <w:tl2br w:val="nil"/>
                    <w:tr2bl w:val="nil"/>
                  </w:tcBorders>
                  <w:shd w:val="clear" w:color="auto" w:fill="auto"/>
                  <w:vAlign w:val="center"/>
                </w:tcPr>
                <w:p w14:paraId="35C89FBE">
                  <w:pPr>
                    <w:keepNext w:val="0"/>
                    <w:keepLines w:val="0"/>
                    <w:widowControl/>
                    <w:suppressLineNumbers w:val="0"/>
                    <w:jc w:val="center"/>
                    <w:textAlignment w:val="top"/>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碱性废气</w:t>
                  </w:r>
                </w:p>
              </w:tc>
              <w:tc>
                <w:tcPr>
                  <w:tcW w:w="2970" w:type="dxa"/>
                  <w:tcBorders>
                    <w:tl2br w:val="nil"/>
                    <w:tr2bl w:val="nil"/>
                  </w:tcBorders>
                  <w:shd w:val="clear" w:color="auto" w:fill="auto"/>
                  <w:vAlign w:val="center"/>
                </w:tcPr>
                <w:p w14:paraId="5B605CF2">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 14554-93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）表2中标准</w:t>
                  </w:r>
                </w:p>
              </w:tc>
              <w:tc>
                <w:tcPr>
                  <w:tcW w:w="1395" w:type="dxa"/>
                  <w:tcBorders>
                    <w:tl2br w:val="nil"/>
                    <w:tr2bl w:val="nil"/>
                  </w:tcBorders>
                  <w:shd w:val="clear" w:color="auto" w:fill="auto"/>
                  <w:vAlign w:val="center"/>
                </w:tcPr>
                <w:p w14:paraId="2A7A183B">
                  <w:pPr>
                    <w:keepNext w:val="0"/>
                    <w:keepLines w:val="0"/>
                    <w:widowControl/>
                    <w:suppressLineNumbers w:val="0"/>
                    <w:jc w:val="center"/>
                    <w:textAlignment w:val="top"/>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三甲胺（</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TMAH可能分解出三甲胺</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50" w:type="dxa"/>
                  <w:tcBorders>
                    <w:tl2br w:val="nil"/>
                    <w:tr2bl w:val="nil"/>
                  </w:tcBorders>
                  <w:shd w:val="clear" w:color="auto" w:fill="auto"/>
                  <w:vAlign w:val="center"/>
                </w:tcPr>
                <w:p w14:paraId="0B19BE4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21" w:type="dxa"/>
                  <w:tcBorders>
                    <w:tl2br w:val="nil"/>
                    <w:tr2bl w:val="nil"/>
                  </w:tcBorders>
                  <w:shd w:val="clear" w:color="auto" w:fill="auto"/>
                  <w:vAlign w:val="center"/>
                </w:tcPr>
                <w:p w14:paraId="7BBBE20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r>
            <w:tr w14:paraId="2A9E6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1542" w:type="dxa"/>
                  <w:gridSpan w:val="2"/>
                  <w:vMerge w:val="restart"/>
                  <w:tcBorders>
                    <w:tl2br w:val="nil"/>
                    <w:tr2bl w:val="nil"/>
                  </w:tcBorders>
                  <w:shd w:val="clear" w:color="auto" w:fill="auto"/>
                  <w:vAlign w:val="center"/>
                </w:tcPr>
                <w:p w14:paraId="51125AB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厂界无组织</w:t>
                  </w:r>
                </w:p>
              </w:tc>
              <w:tc>
                <w:tcPr>
                  <w:tcW w:w="2970" w:type="dxa"/>
                  <w:vMerge w:val="restart"/>
                  <w:tcBorders>
                    <w:tl2br w:val="nil"/>
                    <w:tr2bl w:val="nil"/>
                  </w:tcBorders>
                  <w:shd w:val="clear" w:color="auto" w:fill="auto"/>
                  <w:vAlign w:val="center"/>
                </w:tcPr>
                <w:p w14:paraId="74FF630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《大气污染物综合排放标准》（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GB16297-1996</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无组织排放监控浓度限值</w:t>
                  </w:r>
                </w:p>
              </w:tc>
              <w:tc>
                <w:tcPr>
                  <w:tcW w:w="1395" w:type="dxa"/>
                  <w:tcBorders>
                    <w:tl2br w:val="nil"/>
                    <w:tr2bl w:val="nil"/>
                  </w:tcBorders>
                  <w:shd w:val="clear" w:color="auto" w:fill="auto"/>
                  <w:vAlign w:val="center"/>
                </w:tcPr>
                <w:p w14:paraId="27C84A6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2471" w:type="dxa"/>
                  <w:gridSpan w:val="2"/>
                  <w:tcBorders>
                    <w:tl2br w:val="nil"/>
                    <w:tr2bl w:val="nil"/>
                  </w:tcBorders>
                  <w:shd w:val="clear" w:color="auto" w:fill="auto"/>
                  <w:vAlign w:val="center"/>
                </w:tcPr>
                <w:p w14:paraId="3B9F59E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1.0mg/m</w:t>
                  </w:r>
                  <w:r>
                    <w:rPr>
                      <w:rStyle w:val="111"/>
                      <w:rFonts w:eastAsia="宋体"/>
                      <w:color w:val="000000" w:themeColor="text1"/>
                      <w:highlight w:val="none"/>
                      <w:lang w:val="en-US" w:eastAsia="zh-CN" w:bidi="ar"/>
                      <w14:textFill>
                        <w14:solidFill>
                          <w14:schemeClr w14:val="tx1"/>
                        </w14:solidFill>
                      </w14:textFill>
                    </w:rPr>
                    <w:t>3</w:t>
                  </w:r>
                </w:p>
              </w:tc>
            </w:tr>
            <w:tr w14:paraId="3AADC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44FAE75F">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2970" w:type="dxa"/>
                  <w:vMerge w:val="continue"/>
                  <w:tcBorders>
                    <w:tl2br w:val="nil"/>
                    <w:tr2bl w:val="nil"/>
                  </w:tcBorders>
                  <w:shd w:val="clear" w:color="auto" w:fill="auto"/>
                  <w:vAlign w:val="center"/>
                </w:tcPr>
                <w:p w14:paraId="1DE86EDB">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5161D539">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2471" w:type="dxa"/>
                  <w:gridSpan w:val="2"/>
                  <w:tcBorders>
                    <w:tl2br w:val="nil"/>
                    <w:tr2bl w:val="nil"/>
                  </w:tcBorders>
                  <w:shd w:val="clear" w:color="auto" w:fill="auto"/>
                  <w:vAlign w:val="center"/>
                </w:tcPr>
                <w:p w14:paraId="17BB59C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111"/>
                      <w:rFonts w:eastAsia="宋体"/>
                      <w:color w:val="000000" w:themeColor="text1"/>
                      <w:highlight w:val="none"/>
                      <w:lang w:val="en-US" w:eastAsia="zh-CN" w:bidi="ar"/>
                      <w14:textFill>
                        <w14:solidFill>
                          <w14:schemeClr w14:val="tx1"/>
                        </w14:solidFill>
                      </w14:textFill>
                    </w:rPr>
                    <w:t>3</w:t>
                  </w:r>
                </w:p>
              </w:tc>
            </w:tr>
            <w:tr w14:paraId="30D00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59A13D19">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2970" w:type="dxa"/>
                  <w:vMerge w:val="continue"/>
                  <w:tcBorders>
                    <w:tl2br w:val="nil"/>
                    <w:tr2bl w:val="nil"/>
                  </w:tcBorders>
                  <w:shd w:val="clear" w:color="auto" w:fill="auto"/>
                  <w:vAlign w:val="center"/>
                </w:tcPr>
                <w:p w14:paraId="3F8AA5B0">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76BBF4EA">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2471" w:type="dxa"/>
                  <w:gridSpan w:val="2"/>
                  <w:tcBorders>
                    <w:tl2br w:val="nil"/>
                    <w:tr2bl w:val="nil"/>
                  </w:tcBorders>
                  <w:shd w:val="clear" w:color="auto" w:fill="auto"/>
                  <w:vAlign w:val="center"/>
                </w:tcPr>
                <w:p w14:paraId="4393995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111"/>
                      <w:rFonts w:eastAsia="宋体"/>
                      <w:color w:val="000000" w:themeColor="text1"/>
                      <w:highlight w:val="none"/>
                      <w:lang w:val="en-US" w:eastAsia="zh-CN" w:bidi="ar"/>
                      <w14:textFill>
                        <w14:solidFill>
                          <w14:schemeClr w14:val="tx1"/>
                        </w14:solidFill>
                      </w14:textFill>
                    </w:rPr>
                    <w:t>3</w:t>
                  </w:r>
                </w:p>
              </w:tc>
            </w:tr>
            <w:tr w14:paraId="6E89E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5B3ADCE1">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2970" w:type="dxa"/>
                  <w:vMerge w:val="continue"/>
                  <w:tcBorders>
                    <w:tl2br w:val="nil"/>
                    <w:tr2bl w:val="nil"/>
                  </w:tcBorders>
                  <w:shd w:val="clear" w:color="auto" w:fill="auto"/>
                  <w:vAlign w:val="center"/>
                </w:tcPr>
                <w:p w14:paraId="4BDC2E51">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13383BB7">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2471" w:type="dxa"/>
                  <w:gridSpan w:val="2"/>
                  <w:tcBorders>
                    <w:tl2br w:val="nil"/>
                    <w:tr2bl w:val="nil"/>
                  </w:tcBorders>
                  <w:shd w:val="clear" w:color="auto" w:fill="auto"/>
                  <w:vAlign w:val="center"/>
                </w:tcPr>
                <w:p w14:paraId="28D3B14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111"/>
                      <w:rFonts w:eastAsia="宋体"/>
                      <w:color w:val="000000" w:themeColor="text1"/>
                      <w:highlight w:val="none"/>
                      <w:lang w:val="en-US" w:eastAsia="zh-CN" w:bidi="ar"/>
                      <w14:textFill>
                        <w14:solidFill>
                          <w14:schemeClr w14:val="tx1"/>
                        </w14:solidFill>
                      </w14:textFill>
                    </w:rPr>
                    <w:t>3</w:t>
                  </w:r>
                </w:p>
              </w:tc>
            </w:tr>
            <w:tr w14:paraId="50C94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433E649E">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2970" w:type="dxa"/>
                  <w:vMerge w:val="continue"/>
                  <w:tcBorders>
                    <w:tl2br w:val="nil"/>
                    <w:tr2bl w:val="nil"/>
                  </w:tcBorders>
                  <w:shd w:val="clear" w:color="auto" w:fill="auto"/>
                  <w:vAlign w:val="center"/>
                </w:tcPr>
                <w:p w14:paraId="73D263F9">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3593B04A">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硝酸雾（</w:t>
                  </w:r>
                  <w:r>
                    <w:rPr>
                      <w:rFonts w:eastAsia="Times New Roman"/>
                      <w:color w:val="000000" w:themeColor="text1"/>
                      <w:spacing w:val="2"/>
                      <w:position w:val="1"/>
                      <w:szCs w:val="21"/>
                      <w:highlight w:val="none"/>
                      <w14:textFill>
                        <w14:solidFill>
                          <w14:schemeClr w14:val="tx1"/>
                        </w14:solidFill>
                      </w14:textFill>
                    </w:rPr>
                    <w:t>N</w:t>
                  </w:r>
                  <w:r>
                    <w:rPr>
                      <w:rFonts w:eastAsia="Times New Roman"/>
                      <w:color w:val="000000" w:themeColor="text1"/>
                      <w:spacing w:val="1"/>
                      <w:position w:val="1"/>
                      <w:szCs w:val="21"/>
                      <w:highlight w:val="none"/>
                      <w14:textFill>
                        <w14:solidFill>
                          <w14:schemeClr w14:val="tx1"/>
                        </w14:solidFill>
                      </w14:textFill>
                    </w:rPr>
                    <w:t>Ox</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2471" w:type="dxa"/>
                  <w:gridSpan w:val="2"/>
                  <w:tcBorders>
                    <w:tl2br w:val="nil"/>
                    <w:tr2bl w:val="nil"/>
                  </w:tcBorders>
                  <w:shd w:val="clear" w:color="auto" w:fill="auto"/>
                  <w:vAlign w:val="center"/>
                </w:tcPr>
                <w:p w14:paraId="68A9449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111"/>
                      <w:rFonts w:eastAsia="宋体"/>
                      <w:color w:val="000000" w:themeColor="text1"/>
                      <w:highlight w:val="none"/>
                      <w:lang w:val="en-US" w:eastAsia="zh-CN" w:bidi="ar"/>
                      <w14:textFill>
                        <w14:solidFill>
                          <w14:schemeClr w14:val="tx1"/>
                        </w14:solidFill>
                      </w14:textFill>
                    </w:rPr>
                    <w:t>3</w:t>
                  </w:r>
                </w:p>
              </w:tc>
            </w:tr>
            <w:tr w14:paraId="6E837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2132EF2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970" w:type="dxa"/>
                  <w:tcBorders>
                    <w:tl2br w:val="nil"/>
                    <w:tr2bl w:val="nil"/>
                  </w:tcBorders>
                  <w:shd w:val="clear" w:color="auto" w:fill="auto"/>
                  <w:vAlign w:val="center"/>
                </w:tcPr>
                <w:p w14:paraId="5BB86C1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《工业企业挥发性有机物排放标准》（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DB35/1782-2018</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标准</w:t>
                  </w:r>
                </w:p>
              </w:tc>
              <w:tc>
                <w:tcPr>
                  <w:tcW w:w="1395" w:type="dxa"/>
                  <w:tcBorders>
                    <w:tl2br w:val="nil"/>
                    <w:tr2bl w:val="nil"/>
                  </w:tcBorders>
                  <w:shd w:val="clear" w:color="auto" w:fill="auto"/>
                  <w:vAlign w:val="center"/>
                </w:tcPr>
                <w:p w14:paraId="2473481B">
                  <w:pPr>
                    <w:jc w:val="center"/>
                    <w:rPr>
                      <w:rFonts w:hint="default" w:ascii="Times New Roman" w:hAnsi="Times New Roman" w:eastAsia="宋体" w:cs="Times New Roman"/>
                      <w:i w:val="0"/>
                      <w:iCs w:val="0"/>
                      <w:color w:val="000000" w:themeColor="text1"/>
                      <w:sz w:val="23"/>
                      <w:szCs w:val="23"/>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2471" w:type="dxa"/>
                  <w:gridSpan w:val="2"/>
                  <w:tcBorders>
                    <w:tl2br w:val="nil"/>
                    <w:tr2bl w:val="nil"/>
                  </w:tcBorders>
                  <w:shd w:val="clear" w:color="auto" w:fill="auto"/>
                  <w:vAlign w:val="center"/>
                </w:tcPr>
                <w:p w14:paraId="4953F329">
                  <w:pPr>
                    <w:jc w:val="center"/>
                    <w:rPr>
                      <w:rFonts w:hint="default" w:ascii="Times New Roman" w:hAnsi="Times New Roman" w:eastAsia="宋体" w:cs="Times New Roman"/>
                      <w:i w:val="0"/>
                      <w:iCs w:val="0"/>
                      <w:color w:val="000000" w:themeColor="text1"/>
                      <w:sz w:val="24"/>
                      <w:szCs w:val="24"/>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2.0mg/m</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r>
            <w:tr w14:paraId="4E004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573E662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970" w:type="dxa"/>
                  <w:vMerge w:val="restart"/>
                  <w:tcBorders>
                    <w:tl2br w:val="nil"/>
                    <w:tr2bl w:val="nil"/>
                  </w:tcBorders>
                  <w:shd w:val="clear" w:color="auto" w:fill="auto"/>
                  <w:vAlign w:val="center"/>
                </w:tcPr>
                <w:p w14:paraId="18B8D357">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《恶臭污染物排放标准》（GB14554-93）表</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中标准</w:t>
                  </w:r>
                </w:p>
              </w:tc>
              <w:tc>
                <w:tcPr>
                  <w:tcW w:w="1395" w:type="dxa"/>
                  <w:tcBorders>
                    <w:tl2br w:val="nil"/>
                    <w:tr2bl w:val="nil"/>
                  </w:tcBorders>
                  <w:shd w:val="clear" w:color="auto" w:fill="auto"/>
                  <w:vAlign w:val="center"/>
                </w:tcPr>
                <w:p w14:paraId="1302F3BD">
                  <w:pPr>
                    <w:jc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氨</w:t>
                  </w:r>
                </w:p>
              </w:tc>
              <w:tc>
                <w:tcPr>
                  <w:tcW w:w="2471" w:type="dxa"/>
                  <w:gridSpan w:val="2"/>
                  <w:tcBorders>
                    <w:tl2br w:val="nil"/>
                    <w:tr2bl w:val="nil"/>
                  </w:tcBorders>
                  <w:shd w:val="clear" w:color="auto" w:fill="auto"/>
                  <w:vAlign w:val="center"/>
                </w:tcPr>
                <w:p w14:paraId="682F05DD">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r>
            <w:tr w14:paraId="4C2A5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5A17085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970" w:type="dxa"/>
                  <w:vMerge w:val="continue"/>
                  <w:tcBorders>
                    <w:tl2br w:val="nil"/>
                    <w:tr2bl w:val="nil"/>
                  </w:tcBorders>
                  <w:shd w:val="clear" w:color="auto" w:fill="auto"/>
                  <w:vAlign w:val="center"/>
                </w:tcPr>
                <w:p w14:paraId="02C5104B">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3D78EF36">
                  <w:pPr>
                    <w:jc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硫化氢</w:t>
                  </w:r>
                </w:p>
              </w:tc>
              <w:tc>
                <w:tcPr>
                  <w:tcW w:w="2471" w:type="dxa"/>
                  <w:gridSpan w:val="2"/>
                  <w:tcBorders>
                    <w:tl2br w:val="nil"/>
                    <w:tr2bl w:val="nil"/>
                  </w:tcBorders>
                  <w:shd w:val="clear" w:color="auto" w:fill="auto"/>
                  <w:vAlign w:val="center"/>
                </w:tcPr>
                <w:p w14:paraId="22125635">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r>
            <w:tr w14:paraId="761EE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vMerge w:val="continue"/>
                  <w:tcBorders>
                    <w:tl2br w:val="nil"/>
                    <w:tr2bl w:val="nil"/>
                  </w:tcBorders>
                  <w:shd w:val="clear" w:color="auto" w:fill="auto"/>
                  <w:vAlign w:val="center"/>
                </w:tcPr>
                <w:p w14:paraId="7E06E0C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970" w:type="dxa"/>
                  <w:vMerge w:val="continue"/>
                  <w:tcBorders>
                    <w:tl2br w:val="nil"/>
                    <w:tr2bl w:val="nil"/>
                  </w:tcBorders>
                  <w:shd w:val="clear" w:color="auto" w:fill="auto"/>
                  <w:vAlign w:val="center"/>
                </w:tcPr>
                <w:p w14:paraId="14F12003">
                  <w:pPr>
                    <w:keepNext w:val="0"/>
                    <w:keepLines w:val="0"/>
                    <w:widowControl/>
                    <w:suppressLineNumbers w:val="0"/>
                    <w:jc w:val="center"/>
                    <w:textAlignment w:val="top"/>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395" w:type="dxa"/>
                  <w:tcBorders>
                    <w:tl2br w:val="nil"/>
                    <w:tr2bl w:val="nil"/>
                  </w:tcBorders>
                  <w:shd w:val="clear" w:color="auto" w:fill="auto"/>
                  <w:vAlign w:val="center"/>
                </w:tcPr>
                <w:p w14:paraId="3A9FD5A0">
                  <w:pPr>
                    <w:jc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臭气浓度</w:t>
                  </w:r>
                </w:p>
              </w:tc>
              <w:tc>
                <w:tcPr>
                  <w:tcW w:w="2471" w:type="dxa"/>
                  <w:gridSpan w:val="2"/>
                  <w:tcBorders>
                    <w:tl2br w:val="nil"/>
                    <w:tr2bl w:val="nil"/>
                  </w:tcBorders>
                  <w:shd w:val="clear" w:color="auto" w:fill="auto"/>
                  <w:vAlign w:val="center"/>
                </w:tcPr>
                <w:p w14:paraId="017AAA91">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w:t>
                  </w:r>
                </w:p>
              </w:tc>
            </w:tr>
            <w:tr w14:paraId="2CEFD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tcBorders>
                    <w:tl2br w:val="nil"/>
                    <w:tr2bl w:val="nil"/>
                  </w:tcBorders>
                  <w:shd w:val="clear" w:color="auto" w:fill="auto"/>
                  <w:vAlign w:val="center"/>
                </w:tcPr>
                <w:p w14:paraId="32DCC61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厂内无组织</w:t>
                  </w:r>
                </w:p>
              </w:tc>
              <w:tc>
                <w:tcPr>
                  <w:tcW w:w="2970" w:type="dxa"/>
                  <w:tcBorders>
                    <w:tl2br w:val="nil"/>
                    <w:tr2bl w:val="nil"/>
                  </w:tcBorders>
                  <w:shd w:val="clear" w:color="auto" w:fill="auto"/>
                  <w:vAlign w:val="center"/>
                </w:tcPr>
                <w:p w14:paraId="30CFC22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《工业企业挥发性有机物排放标准》（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DB35/1782-2018</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中相应标准值</w:t>
                  </w:r>
                </w:p>
              </w:tc>
              <w:tc>
                <w:tcPr>
                  <w:tcW w:w="1395" w:type="dxa"/>
                  <w:tcBorders>
                    <w:tl2br w:val="nil"/>
                    <w:tr2bl w:val="nil"/>
                  </w:tcBorders>
                  <w:shd w:val="clear" w:color="auto" w:fill="auto"/>
                  <w:vAlign w:val="center"/>
                </w:tcPr>
                <w:p w14:paraId="11BB137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2471" w:type="dxa"/>
                  <w:gridSpan w:val="2"/>
                  <w:tcBorders>
                    <w:tl2br w:val="nil"/>
                    <w:tr2bl w:val="nil"/>
                  </w:tcBorders>
                  <w:shd w:val="clear" w:color="auto" w:fill="auto"/>
                  <w:vAlign w:val="center"/>
                </w:tcPr>
                <w:p w14:paraId="133D225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1h</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平均浓度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8.0mg/m</w:t>
                  </w:r>
                  <w:r>
                    <w:rPr>
                      <w:rStyle w:val="111"/>
                      <w:rFonts w:eastAsia="宋体"/>
                      <w:color w:val="000000" w:themeColor="text1"/>
                      <w:highlight w:val="none"/>
                      <w:lang w:val="en-US" w:eastAsia="zh-CN" w:bidi="ar"/>
                      <w14:textFill>
                        <w14:solidFill>
                          <w14:schemeClr w14:val="tx1"/>
                        </w14:solidFill>
                      </w14:textFill>
                    </w:rPr>
                    <w:t>3</w:t>
                  </w:r>
                </w:p>
              </w:tc>
            </w:tr>
            <w:tr w14:paraId="725C4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trPr>
              <w:tc>
                <w:tcPr>
                  <w:tcW w:w="1542" w:type="dxa"/>
                  <w:gridSpan w:val="2"/>
                  <w:tcBorders>
                    <w:tl2br w:val="nil"/>
                    <w:tr2bl w:val="nil"/>
                  </w:tcBorders>
                  <w:shd w:val="clear" w:color="auto" w:fill="auto"/>
                  <w:vAlign w:val="center"/>
                </w:tcPr>
                <w:p w14:paraId="3EB9AB7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监控点处任意一次浓度值</w:t>
                  </w:r>
                </w:p>
              </w:tc>
              <w:tc>
                <w:tcPr>
                  <w:tcW w:w="2970" w:type="dxa"/>
                  <w:tcBorders>
                    <w:tl2br w:val="nil"/>
                    <w:tr2bl w:val="nil"/>
                  </w:tcBorders>
                  <w:shd w:val="clear" w:color="auto" w:fill="auto"/>
                  <w:vAlign w:val="center"/>
                </w:tcPr>
                <w:p w14:paraId="02F883A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《挥发性有机物无组织排放控制标准》（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GB37822-2019</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）中附录</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A.1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标准限值</w:t>
                  </w:r>
                </w:p>
              </w:tc>
              <w:tc>
                <w:tcPr>
                  <w:tcW w:w="1395" w:type="dxa"/>
                  <w:tcBorders>
                    <w:tl2br w:val="nil"/>
                    <w:tr2bl w:val="nil"/>
                  </w:tcBorders>
                  <w:shd w:val="clear" w:color="auto" w:fill="auto"/>
                  <w:vAlign w:val="center"/>
                </w:tcPr>
                <w:p w14:paraId="5FABAC2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2471" w:type="dxa"/>
                  <w:gridSpan w:val="2"/>
                  <w:tcBorders>
                    <w:tl2br w:val="nil"/>
                    <w:tr2bl w:val="nil"/>
                  </w:tcBorders>
                  <w:shd w:val="clear" w:color="auto" w:fill="auto"/>
                  <w:vAlign w:val="center"/>
                </w:tcPr>
                <w:p w14:paraId="04053D2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30mg/m</w:t>
                  </w:r>
                  <w:r>
                    <w:rPr>
                      <w:rStyle w:val="111"/>
                      <w:rFonts w:eastAsia="宋体"/>
                      <w:color w:val="000000" w:themeColor="text1"/>
                      <w:highlight w:val="none"/>
                      <w:lang w:val="en-US" w:eastAsia="zh-CN" w:bidi="ar"/>
                      <w14:textFill>
                        <w14:solidFill>
                          <w14:schemeClr w14:val="tx1"/>
                        </w14:solidFill>
                      </w14:textFill>
                    </w:rPr>
                    <w:t>3</w:t>
                  </w:r>
                </w:p>
              </w:tc>
            </w:tr>
          </w:tbl>
          <w:p w14:paraId="39FFD651">
            <w:pPr>
              <w:pStyle w:val="37"/>
              <w:spacing w:before="120" w:beforeLines="50"/>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 xml:space="preserve">3.8 </w:t>
            </w:r>
            <w:r>
              <w:rPr>
                <w:rFonts w:hint="eastAsia"/>
                <w:color w:val="000000" w:themeColor="text1"/>
                <w:sz w:val="24"/>
                <w:szCs w:val="21"/>
                <w:highlight w:val="none"/>
                <w14:textFill>
                  <w14:solidFill>
                    <w14:schemeClr w14:val="tx1"/>
                  </w14:solidFill>
                </w14:textFill>
              </w:rPr>
              <w:t>污水排放标准</w:t>
            </w:r>
          </w:p>
          <w:p w14:paraId="63AB4F3E">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（1）废水排放标准</w:t>
            </w:r>
          </w:p>
          <w:p w14:paraId="4E0C2400">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项目生活污水经</w:t>
            </w:r>
            <w:r>
              <w:rPr>
                <w:rFonts w:hint="eastAsia" w:cs="宋体"/>
                <w:bCs/>
                <w:color w:val="000000" w:themeColor="text1"/>
                <w:sz w:val="24"/>
                <w:szCs w:val="24"/>
                <w:highlight w:val="none"/>
                <w:lang w:val="en-US" w:eastAsia="zh-CN"/>
                <w14:textFill>
                  <w14:solidFill>
                    <w14:schemeClr w14:val="tx1"/>
                  </w14:solidFill>
                </w14:textFill>
              </w:rPr>
              <w:t>隔油+</w:t>
            </w:r>
            <w:r>
              <w:rPr>
                <w:rFonts w:hint="eastAsia" w:cs="宋体"/>
                <w:bCs/>
                <w:color w:val="000000" w:themeColor="text1"/>
                <w:sz w:val="24"/>
                <w:szCs w:val="24"/>
                <w:highlight w:val="none"/>
                <w14:textFill>
                  <w14:solidFill>
                    <w14:schemeClr w14:val="tx1"/>
                  </w14:solidFill>
                </w14:textFill>
              </w:rPr>
              <w:t>化粪池处理，生产废水</w:t>
            </w:r>
            <w:r>
              <w:rPr>
                <w:rFonts w:hint="eastAsia" w:cs="宋体"/>
                <w:bCs/>
                <w:color w:val="000000" w:themeColor="text1"/>
                <w:sz w:val="24"/>
                <w:szCs w:val="24"/>
                <w:highlight w:val="none"/>
                <w:lang w:val="en-US" w:eastAsia="zh-CN"/>
                <w14:textFill>
                  <w14:solidFill>
                    <w14:schemeClr w14:val="tx1"/>
                  </w14:solidFill>
                </w14:textFill>
              </w:rPr>
              <w:t>排入新建的</w:t>
            </w:r>
            <w:r>
              <w:rPr>
                <w:rFonts w:hint="eastAsia" w:cs="宋体"/>
                <w:bCs/>
                <w:color w:val="000000" w:themeColor="text1"/>
                <w:sz w:val="24"/>
                <w:szCs w:val="24"/>
                <w:highlight w:val="none"/>
                <w14:textFill>
                  <w14:solidFill>
                    <w14:schemeClr w14:val="tx1"/>
                  </w14:solidFill>
                </w14:textFill>
              </w:rPr>
              <w:t>污水站处理，生活污水和生产废水分别经各自处理系统预处理达标后经厂区总排口进入市政污水管网后进入福州大学城污水处理厂集中处理。</w:t>
            </w:r>
          </w:p>
          <w:p w14:paraId="733B50EC">
            <w:pPr>
              <w:spacing w:line="360" w:lineRule="auto"/>
              <w:ind w:firstLine="480" w:firstLineChars="200"/>
              <w:rPr>
                <w:rFonts w:hint="eastAsia" w:eastAsia="宋体" w:cs="宋体"/>
                <w:bCs/>
                <w:color w:val="000000" w:themeColor="text1"/>
                <w:sz w:val="24"/>
                <w:szCs w:val="24"/>
                <w:highlight w:val="none"/>
                <w:lang w:val="en-US" w:eastAsia="zh-CN"/>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生活污水排放执行《污水综合排放标准》（GB8978-1996）表4中三级标准后（其中氨氮参照执行《污水排入城镇下水道水质标准》（GB/T31962-2015）B等级标准）</w:t>
            </w:r>
            <w:r>
              <w:rPr>
                <w:rFonts w:hint="eastAsia" w:cs="宋体"/>
                <w:bCs/>
                <w:color w:val="000000" w:themeColor="text1"/>
                <w:sz w:val="24"/>
                <w:szCs w:val="24"/>
                <w:highlight w:val="none"/>
                <w:lang w:eastAsia="zh-CN"/>
                <w14:textFill>
                  <w14:solidFill>
                    <w14:schemeClr w14:val="tx1"/>
                  </w14:solidFill>
                </w14:textFill>
              </w:rPr>
              <w:t>。</w:t>
            </w:r>
          </w:p>
          <w:p w14:paraId="4F90DE93">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生产废水排放执行《电子工业水污染物排放标准》（GB 39731-2020）间接排放标准。</w:t>
            </w:r>
          </w:p>
          <w:p w14:paraId="6BBEF2C1">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厂区生活污水和生产废水排放同时应满足大学城污水处理厂进水水质标准。</w:t>
            </w:r>
          </w:p>
          <w:p w14:paraId="255DE160">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污染物排放标准见</w:t>
            </w:r>
            <w:r>
              <w:rPr>
                <w:rFonts w:hint="eastAsia" w:cs="宋体"/>
                <w:bCs/>
                <w:color w:val="000000" w:themeColor="text1"/>
                <w:sz w:val="24"/>
                <w:szCs w:val="24"/>
                <w:highlight w:val="none"/>
                <w:lang w:val="en-US" w:eastAsia="zh-CN"/>
                <w14:textFill>
                  <w14:solidFill>
                    <w14:schemeClr w14:val="tx1"/>
                  </w14:solidFill>
                </w14:textFill>
              </w:rPr>
              <w:t>下</w:t>
            </w:r>
            <w:r>
              <w:rPr>
                <w:rFonts w:hint="eastAsia" w:cs="宋体"/>
                <w:bCs/>
                <w:color w:val="000000" w:themeColor="text1"/>
                <w:sz w:val="24"/>
                <w:szCs w:val="24"/>
                <w:highlight w:val="none"/>
                <w14:textFill>
                  <w14:solidFill>
                    <w14:schemeClr w14:val="tx1"/>
                  </w14:solidFill>
                </w14:textFill>
              </w:rPr>
              <w:t>表。</w:t>
            </w:r>
          </w:p>
          <w:p w14:paraId="1289C781">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表3</w:t>
            </w:r>
            <w:r>
              <w:rPr>
                <w:rFonts w:hint="eastAsia" w:eastAsia="宋体" w:cs="宋体"/>
                <w:b/>
                <w:color w:val="000000" w:themeColor="text1"/>
                <w:kern w:val="2"/>
                <w:sz w:val="24"/>
                <w:szCs w:val="24"/>
                <w:highlight w:val="none"/>
                <w:lang w:val="en-US" w:eastAsia="zh-CN" w:bidi="ar-SA"/>
                <w14:textFill>
                  <w14:solidFill>
                    <w14:schemeClr w14:val="tx1"/>
                  </w14:solidFill>
                </w14:textFill>
              </w:rPr>
              <w:t>.8</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w:t>
            </w:r>
            <w:r>
              <w:rPr>
                <w:rFonts w:hint="eastAsia" w:eastAsia="宋体" w:cs="宋体"/>
                <w:b/>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项目废水污染物排放标准  单位：mg/L，pH无量纲</w:t>
            </w:r>
          </w:p>
          <w:tbl>
            <w:tblPr>
              <w:tblStyle w:val="30"/>
              <w:tblW w:w="5000" w:type="pct"/>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32"/>
              <w:gridCol w:w="1170"/>
              <w:gridCol w:w="3240"/>
              <w:gridCol w:w="2638"/>
            </w:tblGrid>
            <w:tr w14:paraId="0880E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332" w:type="dxa"/>
                  <w:vMerge w:val="restart"/>
                  <w:tcBorders>
                    <w:tl2br w:val="nil"/>
                    <w:tr2bl w:val="nil"/>
                  </w:tcBorders>
                  <w:shd w:val="clear" w:color="auto" w:fill="auto"/>
                  <w:vAlign w:val="center"/>
                </w:tcPr>
                <w:p w14:paraId="26A79E0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污水类别</w:t>
                  </w:r>
                </w:p>
              </w:tc>
              <w:tc>
                <w:tcPr>
                  <w:tcW w:w="1170" w:type="dxa"/>
                  <w:vMerge w:val="restart"/>
                  <w:tcBorders>
                    <w:tl2br w:val="nil"/>
                    <w:tr2bl w:val="nil"/>
                  </w:tcBorders>
                  <w:shd w:val="clear" w:color="auto" w:fill="auto"/>
                  <w:vAlign w:val="center"/>
                </w:tcPr>
                <w:p w14:paraId="3CB5479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单位</w:t>
                  </w:r>
                </w:p>
              </w:tc>
              <w:tc>
                <w:tcPr>
                  <w:tcW w:w="3240" w:type="dxa"/>
                  <w:tcBorders>
                    <w:tl2br w:val="nil"/>
                    <w:tr2bl w:val="nil"/>
                  </w:tcBorders>
                  <w:shd w:val="clear" w:color="auto" w:fill="auto"/>
                  <w:vAlign w:val="center"/>
                </w:tcPr>
                <w:p w14:paraId="005DB2E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生产废水</w:t>
                  </w:r>
                </w:p>
              </w:tc>
              <w:tc>
                <w:tcPr>
                  <w:tcW w:w="2638" w:type="dxa"/>
                  <w:tcBorders>
                    <w:tl2br w:val="nil"/>
                    <w:tr2bl w:val="nil"/>
                  </w:tcBorders>
                  <w:shd w:val="clear" w:color="auto" w:fill="auto"/>
                  <w:vAlign w:val="center"/>
                </w:tcPr>
                <w:p w14:paraId="3B50E5B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生活污水</w:t>
                  </w:r>
                </w:p>
              </w:tc>
            </w:tr>
            <w:tr w14:paraId="3E995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vMerge w:val="continue"/>
                  <w:tcBorders>
                    <w:tl2br w:val="nil"/>
                    <w:tr2bl w:val="nil"/>
                  </w:tcBorders>
                  <w:shd w:val="clear" w:color="auto" w:fill="auto"/>
                  <w:vAlign w:val="center"/>
                </w:tcPr>
                <w:p w14:paraId="56447317">
                  <w:pPr>
                    <w:jc w:val="center"/>
                    <w:rPr>
                      <w:rFonts w:hint="eastAsia" w:ascii="宋体" w:hAnsi="宋体" w:eastAsia="宋体" w:cs="宋体"/>
                      <w:i w:val="0"/>
                      <w:iCs w:val="0"/>
                      <w:color w:val="000000" w:themeColor="text1"/>
                      <w:sz w:val="2"/>
                      <w:szCs w:val="2"/>
                      <w:highlight w:val="none"/>
                      <w:u w:val="none"/>
                      <w14:textFill>
                        <w14:solidFill>
                          <w14:schemeClr w14:val="tx1"/>
                        </w14:solidFill>
                      </w14:textFill>
                    </w:rPr>
                  </w:pPr>
                </w:p>
              </w:tc>
              <w:tc>
                <w:tcPr>
                  <w:tcW w:w="1170" w:type="dxa"/>
                  <w:vMerge w:val="continue"/>
                  <w:tcBorders>
                    <w:tl2br w:val="nil"/>
                    <w:tr2bl w:val="nil"/>
                  </w:tcBorders>
                  <w:shd w:val="clear" w:color="auto" w:fill="auto"/>
                  <w:vAlign w:val="center"/>
                </w:tcPr>
                <w:p w14:paraId="2572A328">
                  <w:pPr>
                    <w:jc w:val="center"/>
                    <w:rPr>
                      <w:rFonts w:hint="eastAsia" w:ascii="宋体" w:hAnsi="宋体" w:eastAsia="宋体" w:cs="宋体"/>
                      <w:i w:val="0"/>
                      <w:iCs w:val="0"/>
                      <w:color w:val="000000" w:themeColor="text1"/>
                      <w:sz w:val="2"/>
                      <w:szCs w:val="2"/>
                      <w:highlight w:val="none"/>
                      <w:u w:val="none"/>
                      <w14:textFill>
                        <w14:solidFill>
                          <w14:schemeClr w14:val="tx1"/>
                        </w14:solidFill>
                      </w14:textFill>
                    </w:rPr>
                  </w:pPr>
                </w:p>
              </w:tc>
              <w:tc>
                <w:tcPr>
                  <w:tcW w:w="3240" w:type="dxa"/>
                  <w:tcBorders>
                    <w:tl2br w:val="nil"/>
                    <w:tr2bl w:val="nil"/>
                  </w:tcBorders>
                  <w:shd w:val="clear" w:color="auto" w:fill="auto"/>
                  <w:vAlign w:val="center"/>
                </w:tcPr>
                <w:p w14:paraId="7DAC416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《电子工业水污染物排放标准》（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 39731-2020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）间接排放标准</w:t>
                  </w:r>
                </w:p>
              </w:tc>
              <w:tc>
                <w:tcPr>
                  <w:tcW w:w="2638" w:type="dxa"/>
                  <w:tcBorders>
                    <w:tl2br w:val="nil"/>
                    <w:tr2bl w:val="nil"/>
                  </w:tcBorders>
                  <w:shd w:val="clear" w:color="auto" w:fill="auto"/>
                  <w:vAlign w:val="center"/>
                </w:tcPr>
                <w:p w14:paraId="29CC848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《污水综合排放标准》（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GB8978-1996</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）三级标准</w:t>
                  </w:r>
                </w:p>
              </w:tc>
            </w:tr>
            <w:tr w14:paraId="4EDB5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20C048F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p>
              </w:tc>
              <w:tc>
                <w:tcPr>
                  <w:tcW w:w="1170" w:type="dxa"/>
                  <w:tcBorders>
                    <w:tl2br w:val="nil"/>
                    <w:tr2bl w:val="nil"/>
                  </w:tcBorders>
                  <w:shd w:val="clear" w:color="auto" w:fill="auto"/>
                  <w:vAlign w:val="center"/>
                </w:tcPr>
                <w:p w14:paraId="044623B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无量纲</w:t>
                  </w:r>
                </w:p>
              </w:tc>
              <w:tc>
                <w:tcPr>
                  <w:tcW w:w="3240" w:type="dxa"/>
                  <w:tcBorders>
                    <w:tl2br w:val="nil"/>
                    <w:tr2bl w:val="nil"/>
                  </w:tcBorders>
                  <w:shd w:val="clear" w:color="auto" w:fill="auto"/>
                  <w:vAlign w:val="center"/>
                </w:tcPr>
                <w:p w14:paraId="24DADDF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2638" w:type="dxa"/>
                  <w:tcBorders>
                    <w:tl2br w:val="nil"/>
                    <w:tr2bl w:val="nil"/>
                  </w:tcBorders>
                  <w:shd w:val="clear" w:color="auto" w:fill="auto"/>
                  <w:vAlign w:val="center"/>
                </w:tcPr>
                <w:p w14:paraId="7467F77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r>
            <w:tr w14:paraId="1EA16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6E3F81C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1170" w:type="dxa"/>
                  <w:tcBorders>
                    <w:tl2br w:val="nil"/>
                    <w:tr2bl w:val="nil"/>
                  </w:tcBorders>
                  <w:shd w:val="clear" w:color="auto" w:fill="auto"/>
                  <w:vAlign w:val="center"/>
                </w:tcPr>
                <w:p w14:paraId="0645A8B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240" w:type="dxa"/>
                  <w:tcBorders>
                    <w:tl2br w:val="nil"/>
                    <w:tr2bl w:val="nil"/>
                  </w:tcBorders>
                  <w:shd w:val="clear" w:color="auto" w:fill="auto"/>
                  <w:vAlign w:val="center"/>
                </w:tcPr>
                <w:p w14:paraId="01BB43D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2638" w:type="dxa"/>
                  <w:tcBorders>
                    <w:tl2br w:val="nil"/>
                    <w:tr2bl w:val="nil"/>
                  </w:tcBorders>
                  <w:shd w:val="clear" w:color="auto" w:fill="auto"/>
                  <w:vAlign w:val="center"/>
                </w:tcPr>
                <w:p w14:paraId="29B353C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r>
            <w:tr w14:paraId="5829A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72E67FD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1170" w:type="dxa"/>
                  <w:tcBorders>
                    <w:tl2br w:val="nil"/>
                    <w:tr2bl w:val="nil"/>
                  </w:tcBorders>
                  <w:shd w:val="clear" w:color="auto" w:fill="auto"/>
                  <w:vAlign w:val="center"/>
                </w:tcPr>
                <w:p w14:paraId="769A504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240" w:type="dxa"/>
                  <w:tcBorders>
                    <w:tl2br w:val="nil"/>
                    <w:tr2bl w:val="nil"/>
                  </w:tcBorders>
                  <w:shd w:val="clear" w:color="auto" w:fill="auto"/>
                  <w:vAlign w:val="center"/>
                </w:tcPr>
                <w:p w14:paraId="2737F6B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638" w:type="dxa"/>
                  <w:tcBorders>
                    <w:tl2br w:val="nil"/>
                    <w:tr2bl w:val="nil"/>
                  </w:tcBorders>
                  <w:shd w:val="clear" w:color="auto" w:fill="auto"/>
                  <w:vAlign w:val="center"/>
                </w:tcPr>
                <w:p w14:paraId="15EB725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r>
            <w:tr w14:paraId="67BFE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45F305A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c>
                <w:tcPr>
                  <w:tcW w:w="1170" w:type="dxa"/>
                  <w:tcBorders>
                    <w:tl2br w:val="nil"/>
                    <w:tr2bl w:val="nil"/>
                  </w:tcBorders>
                  <w:shd w:val="clear" w:color="auto" w:fill="auto"/>
                  <w:vAlign w:val="center"/>
                </w:tcPr>
                <w:p w14:paraId="4A55C94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240" w:type="dxa"/>
                  <w:tcBorders>
                    <w:tl2br w:val="nil"/>
                    <w:tr2bl w:val="nil"/>
                  </w:tcBorders>
                  <w:shd w:val="clear" w:color="auto" w:fill="auto"/>
                  <w:vAlign w:val="center"/>
                </w:tcPr>
                <w:p w14:paraId="3B4B596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2638" w:type="dxa"/>
                  <w:tcBorders>
                    <w:tl2br w:val="nil"/>
                    <w:tr2bl w:val="nil"/>
                  </w:tcBorders>
                  <w:shd w:val="clear" w:color="auto" w:fill="auto"/>
                  <w:vAlign w:val="center"/>
                </w:tcPr>
                <w:p w14:paraId="715B818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r>
            <w:tr w14:paraId="50FD6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4F5D626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1170" w:type="dxa"/>
                  <w:tcBorders>
                    <w:tl2br w:val="nil"/>
                    <w:tr2bl w:val="nil"/>
                  </w:tcBorders>
                  <w:shd w:val="clear" w:color="auto" w:fill="auto"/>
                  <w:vAlign w:val="center"/>
                </w:tcPr>
                <w:p w14:paraId="344C242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240" w:type="dxa"/>
                  <w:tcBorders>
                    <w:tl2br w:val="nil"/>
                    <w:tr2bl w:val="nil"/>
                  </w:tcBorders>
                  <w:shd w:val="clear" w:color="auto" w:fill="auto"/>
                  <w:vAlign w:val="center"/>
                </w:tcPr>
                <w:p w14:paraId="7431316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2638" w:type="dxa"/>
                  <w:tcBorders>
                    <w:tl2br w:val="nil"/>
                    <w:tr2bl w:val="nil"/>
                  </w:tcBorders>
                  <w:shd w:val="clear" w:color="auto" w:fill="auto"/>
                  <w:vAlign w:val="center"/>
                </w:tcPr>
                <w:p w14:paraId="1C70A84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w:t>
                  </w:r>
                </w:p>
              </w:tc>
            </w:tr>
            <w:tr w14:paraId="2C457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4C799E37">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总氮</w:t>
                  </w:r>
                </w:p>
              </w:tc>
              <w:tc>
                <w:tcPr>
                  <w:tcW w:w="1170" w:type="dxa"/>
                  <w:tcBorders>
                    <w:tl2br w:val="nil"/>
                    <w:tr2bl w:val="nil"/>
                  </w:tcBorders>
                  <w:shd w:val="clear" w:color="auto" w:fill="auto"/>
                  <w:vAlign w:val="center"/>
                </w:tcPr>
                <w:p w14:paraId="55704A5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240" w:type="dxa"/>
                  <w:tcBorders>
                    <w:tl2br w:val="nil"/>
                    <w:tr2bl w:val="nil"/>
                  </w:tcBorders>
                  <w:shd w:val="clear" w:color="auto" w:fill="auto"/>
                  <w:vAlign w:val="center"/>
                </w:tcPr>
                <w:p w14:paraId="6936EDE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2638" w:type="dxa"/>
                  <w:tcBorders>
                    <w:tl2br w:val="nil"/>
                    <w:tr2bl w:val="nil"/>
                  </w:tcBorders>
                  <w:shd w:val="clear" w:color="auto" w:fill="auto"/>
                  <w:vAlign w:val="center"/>
                </w:tcPr>
                <w:p w14:paraId="4938DA9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r>
            <w:tr w14:paraId="11C54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5FF3C8E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总磷</w:t>
                  </w:r>
                </w:p>
              </w:tc>
              <w:tc>
                <w:tcPr>
                  <w:tcW w:w="1170" w:type="dxa"/>
                  <w:tcBorders>
                    <w:tl2br w:val="nil"/>
                    <w:tr2bl w:val="nil"/>
                  </w:tcBorders>
                  <w:shd w:val="clear" w:color="auto" w:fill="auto"/>
                  <w:vAlign w:val="center"/>
                </w:tcPr>
                <w:p w14:paraId="383802F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240" w:type="dxa"/>
                  <w:tcBorders>
                    <w:tl2br w:val="nil"/>
                    <w:tr2bl w:val="nil"/>
                  </w:tcBorders>
                  <w:shd w:val="clear" w:color="auto" w:fill="auto"/>
                  <w:vAlign w:val="center"/>
                </w:tcPr>
                <w:p w14:paraId="3F7ABFF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2638" w:type="dxa"/>
                  <w:tcBorders>
                    <w:tl2br w:val="nil"/>
                    <w:tr2bl w:val="nil"/>
                  </w:tcBorders>
                  <w:shd w:val="clear" w:color="auto" w:fill="auto"/>
                  <w:vAlign w:val="center"/>
                </w:tcPr>
                <w:p w14:paraId="1D41B58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r>
            <w:tr w14:paraId="356F1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48E5B99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动植物油</w:t>
                  </w:r>
                </w:p>
              </w:tc>
              <w:tc>
                <w:tcPr>
                  <w:tcW w:w="1170" w:type="dxa"/>
                  <w:tcBorders>
                    <w:tl2br w:val="nil"/>
                    <w:tr2bl w:val="nil"/>
                  </w:tcBorders>
                  <w:shd w:val="clear" w:color="auto" w:fill="auto"/>
                  <w:vAlign w:val="center"/>
                </w:tcPr>
                <w:p w14:paraId="02B2E49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240" w:type="dxa"/>
                  <w:tcBorders>
                    <w:tl2br w:val="nil"/>
                    <w:tr2bl w:val="nil"/>
                  </w:tcBorders>
                  <w:shd w:val="clear" w:color="auto" w:fill="auto"/>
                  <w:vAlign w:val="center"/>
                </w:tcPr>
                <w:p w14:paraId="6A9A32B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638" w:type="dxa"/>
                  <w:tcBorders>
                    <w:tl2br w:val="nil"/>
                    <w:tr2bl w:val="nil"/>
                  </w:tcBorders>
                  <w:shd w:val="clear" w:color="auto" w:fill="auto"/>
                  <w:vAlign w:val="center"/>
                </w:tcPr>
                <w:p w14:paraId="68F60F7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r>
            <w:tr w14:paraId="3472D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3A201543">
                  <w:pPr>
                    <w:keepNext w:val="0"/>
                    <w:keepLines w:val="0"/>
                    <w:widowControl/>
                    <w:suppressLineNumbers w:val="0"/>
                    <w:jc w:val="center"/>
                    <w:textAlignment w:val="top"/>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1170" w:type="dxa"/>
                  <w:tcBorders>
                    <w:tl2br w:val="nil"/>
                    <w:tr2bl w:val="nil"/>
                  </w:tcBorders>
                  <w:shd w:val="clear" w:color="auto" w:fill="auto"/>
                  <w:vAlign w:val="center"/>
                </w:tcPr>
                <w:p w14:paraId="54C17C7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240" w:type="dxa"/>
                  <w:tcBorders>
                    <w:tl2br w:val="nil"/>
                    <w:tr2bl w:val="nil"/>
                  </w:tcBorders>
                  <w:shd w:val="clear" w:color="auto" w:fill="auto"/>
                  <w:vAlign w:val="center"/>
                </w:tcPr>
                <w:p w14:paraId="7F19360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2638" w:type="dxa"/>
                  <w:tcBorders>
                    <w:tl2br w:val="nil"/>
                    <w:tr2bl w:val="nil"/>
                  </w:tcBorders>
                  <w:shd w:val="clear" w:color="auto" w:fill="auto"/>
                  <w:vAlign w:val="center"/>
                </w:tcPr>
                <w:p w14:paraId="73C8121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bl>
          <w:p w14:paraId="6F729C36">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《电子工业水污染物排放标准》（GB 39731-2020），</w:t>
            </w:r>
            <w:r>
              <w:rPr>
                <w:rFonts w:hint="eastAsia" w:cs="宋体"/>
                <w:bCs/>
                <w:color w:val="000000" w:themeColor="text1"/>
                <w:sz w:val="24"/>
                <w:szCs w:val="24"/>
                <w:highlight w:val="none"/>
                <w:lang w:val="en-US" w:eastAsia="zh-CN"/>
                <w14:textFill>
                  <w14:solidFill>
                    <w14:schemeClr w14:val="tx1"/>
                  </w14:solidFill>
                </w14:textFill>
              </w:rPr>
              <w:t>参照执行</w:t>
            </w:r>
            <w:r>
              <w:rPr>
                <w:rFonts w:hint="eastAsia" w:cs="宋体"/>
                <w:bCs/>
                <w:color w:val="000000" w:themeColor="text1"/>
                <w:sz w:val="24"/>
                <w:szCs w:val="24"/>
                <w:highlight w:val="none"/>
                <w14:textFill>
                  <w14:solidFill>
                    <w14:schemeClr w14:val="tx1"/>
                  </w14:solidFill>
                </w14:textFill>
              </w:rPr>
              <w:t>半导体器件-6英寸及以下芯片单位产品基准排水量≤3.2m</w:t>
            </w:r>
            <w:r>
              <w:rPr>
                <w:rFonts w:hint="eastAsia" w:cs="宋体"/>
                <w:bCs/>
                <w:color w:val="000000" w:themeColor="text1"/>
                <w:sz w:val="24"/>
                <w:szCs w:val="24"/>
                <w:highlight w:val="none"/>
                <w:vertAlign w:val="superscript"/>
                <w:lang w:val="en-US" w:eastAsia="zh-CN"/>
                <w14:textFill>
                  <w14:solidFill>
                    <w14:schemeClr w14:val="tx1"/>
                  </w14:solidFill>
                </w14:textFill>
              </w:rPr>
              <w:t>3</w:t>
            </w:r>
            <w:r>
              <w:rPr>
                <w:rFonts w:hint="eastAsia" w:cs="宋体"/>
                <w:bCs/>
                <w:color w:val="000000" w:themeColor="text1"/>
                <w:sz w:val="24"/>
                <w:szCs w:val="24"/>
                <w:highlight w:val="none"/>
                <w14:textFill>
                  <w14:solidFill>
                    <w14:schemeClr w14:val="tx1"/>
                  </w14:solidFill>
                </w14:textFill>
              </w:rPr>
              <w:t>/片。</w:t>
            </w:r>
          </w:p>
          <w:p w14:paraId="505ED797">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（2）污水处理厂排放标准</w:t>
            </w:r>
          </w:p>
          <w:p w14:paraId="01DB1E1E">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福州大学城污水处理厂尾水排放执行《城镇污水处理厂污染物排放标准》（GB18918-2002）及其修改单表1的一级A标准，</w:t>
            </w:r>
            <w:r>
              <w:rPr>
                <w:rFonts w:hint="eastAsia" w:cs="宋体"/>
                <w:bCs/>
                <w:color w:val="000000" w:themeColor="text1"/>
                <w:sz w:val="24"/>
                <w:szCs w:val="24"/>
                <w:highlight w:val="none"/>
                <w:lang w:val="en-US" w:eastAsia="zh-CN"/>
                <w14:textFill>
                  <w14:solidFill>
                    <w14:schemeClr w14:val="tx1"/>
                  </w14:solidFill>
                </w14:textFill>
              </w:rPr>
              <w:t>其中氟化物执行《电子工业水污染物排放标准》(GB39731-2020）直接排放标准，</w:t>
            </w:r>
            <w:r>
              <w:rPr>
                <w:rFonts w:hint="eastAsia" w:cs="宋体"/>
                <w:bCs/>
                <w:color w:val="000000" w:themeColor="text1"/>
                <w:sz w:val="24"/>
                <w:szCs w:val="24"/>
                <w:highlight w:val="none"/>
                <w14:textFill>
                  <w14:solidFill>
                    <w14:schemeClr w14:val="tx1"/>
                  </w14:solidFill>
                </w14:textFill>
              </w:rPr>
              <w:t>详见</w:t>
            </w:r>
            <w:r>
              <w:rPr>
                <w:rFonts w:hint="eastAsia" w:cs="宋体"/>
                <w:bCs/>
                <w:color w:val="000000" w:themeColor="text1"/>
                <w:sz w:val="24"/>
                <w:szCs w:val="24"/>
                <w:highlight w:val="none"/>
                <w:lang w:val="en-US" w:eastAsia="zh-CN"/>
                <w14:textFill>
                  <w14:solidFill>
                    <w14:schemeClr w14:val="tx1"/>
                  </w14:solidFill>
                </w14:textFill>
              </w:rPr>
              <w:t>下</w:t>
            </w:r>
            <w:r>
              <w:rPr>
                <w:rFonts w:hint="eastAsia" w:cs="宋体"/>
                <w:bCs/>
                <w:color w:val="000000" w:themeColor="text1"/>
                <w:sz w:val="24"/>
                <w:szCs w:val="24"/>
                <w:highlight w:val="none"/>
                <w14:textFill>
                  <w14:solidFill>
                    <w14:schemeClr w14:val="tx1"/>
                  </w14:solidFill>
                </w14:textFill>
              </w:rPr>
              <w:t>表。</w:t>
            </w:r>
          </w:p>
          <w:p w14:paraId="166ADF56">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表3</w:t>
            </w:r>
            <w:r>
              <w:rPr>
                <w:rFonts w:hint="eastAsia" w:eastAsia="宋体" w:cs="宋体"/>
                <w:b/>
                <w:color w:val="000000" w:themeColor="text1"/>
                <w:kern w:val="2"/>
                <w:sz w:val="24"/>
                <w:szCs w:val="24"/>
                <w:highlight w:val="none"/>
                <w:lang w:val="en-US" w:eastAsia="zh-CN" w:bidi="ar-SA"/>
                <w14:textFill>
                  <w14:solidFill>
                    <w14:schemeClr w14:val="tx1"/>
                  </w14:solidFill>
                </w14:textFill>
              </w:rPr>
              <w:t>.8</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w:t>
            </w:r>
            <w:r>
              <w:rPr>
                <w:rFonts w:hint="eastAsia" w:eastAsia="宋体" w:cs="宋体"/>
                <w:b/>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项目废水污染物排放标准  单位：mg/L，pH无量纲</w:t>
            </w:r>
          </w:p>
          <w:tbl>
            <w:tblPr>
              <w:tblStyle w:val="30"/>
              <w:tblW w:w="5000" w:type="pct"/>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82"/>
              <w:gridCol w:w="2407"/>
              <w:gridCol w:w="1665"/>
              <w:gridCol w:w="3426"/>
            </w:tblGrid>
            <w:tr w14:paraId="73C17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1931099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序号</w:t>
                  </w:r>
                </w:p>
              </w:tc>
              <w:tc>
                <w:tcPr>
                  <w:tcW w:w="2407" w:type="dxa"/>
                  <w:tcBorders>
                    <w:tl2br w:val="nil"/>
                    <w:tr2bl w:val="nil"/>
                  </w:tcBorders>
                  <w:shd w:val="clear" w:color="auto" w:fill="auto"/>
                  <w:vAlign w:val="center"/>
                </w:tcPr>
                <w:p w14:paraId="1B75C96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污染物名称</w:t>
                  </w:r>
                </w:p>
              </w:tc>
              <w:tc>
                <w:tcPr>
                  <w:tcW w:w="1665" w:type="dxa"/>
                  <w:tcBorders>
                    <w:tl2br w:val="nil"/>
                    <w:tr2bl w:val="nil"/>
                  </w:tcBorders>
                  <w:shd w:val="clear" w:color="auto" w:fill="auto"/>
                  <w:vAlign w:val="center"/>
                </w:tcPr>
                <w:p w14:paraId="4251CD5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限值</w:t>
                  </w:r>
                </w:p>
              </w:tc>
              <w:tc>
                <w:tcPr>
                  <w:tcW w:w="3426" w:type="dxa"/>
                  <w:tcBorders>
                    <w:tl2br w:val="nil"/>
                    <w:tr2bl w:val="nil"/>
                  </w:tcBorders>
                  <w:shd w:val="clear" w:color="auto" w:fill="auto"/>
                  <w:vAlign w:val="center"/>
                </w:tcPr>
                <w:p w14:paraId="48B68E7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单位</w:t>
                  </w:r>
                </w:p>
              </w:tc>
            </w:tr>
            <w:tr w14:paraId="11BDB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4705655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2407" w:type="dxa"/>
                  <w:tcBorders>
                    <w:tl2br w:val="nil"/>
                    <w:tr2bl w:val="nil"/>
                  </w:tcBorders>
                  <w:shd w:val="clear" w:color="auto" w:fill="auto"/>
                  <w:vAlign w:val="center"/>
                </w:tcPr>
                <w:p w14:paraId="1FDF941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（无量纲）</w:t>
                  </w:r>
                </w:p>
              </w:tc>
              <w:tc>
                <w:tcPr>
                  <w:tcW w:w="1665" w:type="dxa"/>
                  <w:tcBorders>
                    <w:tl2br w:val="nil"/>
                    <w:tr2bl w:val="nil"/>
                  </w:tcBorders>
                  <w:shd w:val="clear" w:color="auto" w:fill="auto"/>
                  <w:vAlign w:val="center"/>
                </w:tcPr>
                <w:p w14:paraId="21A8D16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（无量纲）</w:t>
                  </w:r>
                </w:p>
              </w:tc>
              <w:tc>
                <w:tcPr>
                  <w:tcW w:w="3426" w:type="dxa"/>
                  <w:vMerge w:val="restart"/>
                  <w:tcBorders>
                    <w:tl2br w:val="nil"/>
                    <w:tr2bl w:val="nil"/>
                  </w:tcBorders>
                  <w:shd w:val="clear" w:color="auto" w:fill="auto"/>
                  <w:vAlign w:val="center"/>
                </w:tcPr>
                <w:p w14:paraId="3A3DC71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《城镇污水处理厂污染物排放标准》（GB18918-2002）及其修改单表1的一级A标准</w:t>
                  </w:r>
                </w:p>
              </w:tc>
            </w:tr>
            <w:tr w14:paraId="01566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5D3EB84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2407" w:type="dxa"/>
                  <w:tcBorders>
                    <w:tl2br w:val="nil"/>
                    <w:tr2bl w:val="nil"/>
                  </w:tcBorders>
                  <w:shd w:val="clear" w:color="auto" w:fill="auto"/>
                  <w:vAlign w:val="center"/>
                </w:tcPr>
                <w:p w14:paraId="7EABE19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化学需氧量（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65" w:type="dxa"/>
                  <w:tcBorders>
                    <w:tl2br w:val="nil"/>
                    <w:tr2bl w:val="nil"/>
                  </w:tcBorders>
                  <w:shd w:val="clear" w:color="auto" w:fill="auto"/>
                  <w:vAlign w:val="center"/>
                </w:tcPr>
                <w:p w14:paraId="271C778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50mg/L</w:t>
                  </w:r>
                </w:p>
              </w:tc>
              <w:tc>
                <w:tcPr>
                  <w:tcW w:w="3426" w:type="dxa"/>
                  <w:vMerge w:val="continue"/>
                  <w:tcBorders>
                    <w:tl2br w:val="nil"/>
                    <w:tr2bl w:val="nil"/>
                  </w:tcBorders>
                  <w:shd w:val="clear" w:color="auto" w:fill="auto"/>
                  <w:vAlign w:val="center"/>
                </w:tcPr>
                <w:p w14:paraId="2D9513F3">
                  <w:pPr>
                    <w:jc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p>
              </w:tc>
            </w:tr>
            <w:tr w14:paraId="00D07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20C133D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2407" w:type="dxa"/>
                  <w:tcBorders>
                    <w:tl2br w:val="nil"/>
                    <w:tr2bl w:val="nil"/>
                  </w:tcBorders>
                  <w:shd w:val="clear" w:color="auto" w:fill="auto"/>
                  <w:vAlign w:val="center"/>
                </w:tcPr>
                <w:p w14:paraId="0112E7C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1665" w:type="dxa"/>
                  <w:tcBorders>
                    <w:tl2br w:val="nil"/>
                    <w:tr2bl w:val="nil"/>
                  </w:tcBorders>
                  <w:shd w:val="clear" w:color="auto" w:fill="auto"/>
                  <w:vAlign w:val="center"/>
                </w:tcPr>
                <w:p w14:paraId="33856C3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10mg/L</w:t>
                  </w:r>
                </w:p>
              </w:tc>
              <w:tc>
                <w:tcPr>
                  <w:tcW w:w="3426" w:type="dxa"/>
                  <w:vMerge w:val="continue"/>
                  <w:tcBorders>
                    <w:tl2br w:val="nil"/>
                    <w:tr2bl w:val="nil"/>
                  </w:tcBorders>
                  <w:shd w:val="clear" w:color="auto" w:fill="auto"/>
                  <w:vAlign w:val="center"/>
                </w:tcPr>
                <w:p w14:paraId="71154ED6">
                  <w:pPr>
                    <w:jc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p>
              </w:tc>
            </w:tr>
            <w:tr w14:paraId="7DF70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55BC41C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2407" w:type="dxa"/>
                  <w:tcBorders>
                    <w:tl2br w:val="nil"/>
                    <w:tr2bl w:val="nil"/>
                  </w:tcBorders>
                  <w:shd w:val="clear" w:color="auto" w:fill="auto"/>
                  <w:vAlign w:val="center"/>
                </w:tcPr>
                <w:p w14:paraId="7FFD87D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1665" w:type="dxa"/>
                  <w:tcBorders>
                    <w:tl2br w:val="nil"/>
                    <w:tr2bl w:val="nil"/>
                  </w:tcBorders>
                  <w:shd w:val="clear" w:color="auto" w:fill="auto"/>
                  <w:vAlign w:val="center"/>
                </w:tcPr>
                <w:p w14:paraId="60330A1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10mg/L</w:t>
                  </w:r>
                </w:p>
              </w:tc>
              <w:tc>
                <w:tcPr>
                  <w:tcW w:w="3426" w:type="dxa"/>
                  <w:vMerge w:val="continue"/>
                  <w:tcBorders>
                    <w:tl2br w:val="nil"/>
                    <w:tr2bl w:val="nil"/>
                  </w:tcBorders>
                  <w:shd w:val="clear" w:color="auto" w:fill="auto"/>
                  <w:vAlign w:val="center"/>
                </w:tcPr>
                <w:p w14:paraId="06089EE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B26B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77BB8D6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2407" w:type="dxa"/>
                  <w:tcBorders>
                    <w:tl2br w:val="nil"/>
                    <w:tr2bl w:val="nil"/>
                  </w:tcBorders>
                  <w:shd w:val="clear" w:color="auto" w:fill="auto"/>
                  <w:vAlign w:val="center"/>
                </w:tcPr>
                <w:p w14:paraId="4010EB8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1665" w:type="dxa"/>
                  <w:tcBorders>
                    <w:tl2br w:val="nil"/>
                    <w:tr2bl w:val="nil"/>
                  </w:tcBorders>
                  <w:shd w:val="clear" w:color="auto" w:fill="auto"/>
                  <w:vAlign w:val="center"/>
                </w:tcPr>
                <w:p w14:paraId="7C5C891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0.5mg/L</w:t>
                  </w:r>
                </w:p>
              </w:tc>
              <w:tc>
                <w:tcPr>
                  <w:tcW w:w="3426" w:type="dxa"/>
                  <w:vMerge w:val="continue"/>
                  <w:tcBorders>
                    <w:tl2br w:val="nil"/>
                    <w:tr2bl w:val="nil"/>
                  </w:tcBorders>
                  <w:shd w:val="clear" w:color="auto" w:fill="auto"/>
                  <w:vAlign w:val="center"/>
                </w:tcPr>
                <w:p w14:paraId="77BBF5C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46F22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2FB2D40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2407" w:type="dxa"/>
                  <w:tcBorders>
                    <w:tl2br w:val="nil"/>
                    <w:tr2bl w:val="nil"/>
                  </w:tcBorders>
                  <w:shd w:val="clear" w:color="auto" w:fill="auto"/>
                  <w:vAlign w:val="center"/>
                </w:tcPr>
                <w:p w14:paraId="25BA069A">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65" w:type="dxa"/>
                  <w:tcBorders>
                    <w:tl2br w:val="nil"/>
                    <w:tr2bl w:val="nil"/>
                  </w:tcBorders>
                  <w:shd w:val="clear" w:color="auto" w:fill="auto"/>
                  <w:vAlign w:val="center"/>
                </w:tcPr>
                <w:p w14:paraId="1224552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5mg/L</w:t>
                  </w:r>
                </w:p>
              </w:tc>
              <w:tc>
                <w:tcPr>
                  <w:tcW w:w="3426" w:type="dxa"/>
                  <w:vMerge w:val="continue"/>
                  <w:tcBorders>
                    <w:tl2br w:val="nil"/>
                    <w:tr2bl w:val="nil"/>
                  </w:tcBorders>
                  <w:shd w:val="clear" w:color="auto" w:fill="auto"/>
                  <w:vAlign w:val="center"/>
                </w:tcPr>
                <w:p w14:paraId="1BEFE72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D1AF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2224EDD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2407" w:type="dxa"/>
                  <w:tcBorders>
                    <w:tl2br w:val="nil"/>
                    <w:tr2bl w:val="nil"/>
                  </w:tcBorders>
                  <w:shd w:val="clear" w:color="auto" w:fill="auto"/>
                  <w:vAlign w:val="center"/>
                </w:tcPr>
                <w:p w14:paraId="4E6B0F92">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动植物油</w:t>
                  </w:r>
                </w:p>
              </w:tc>
              <w:tc>
                <w:tcPr>
                  <w:tcW w:w="1665" w:type="dxa"/>
                  <w:tcBorders>
                    <w:tl2br w:val="nil"/>
                    <w:tr2bl w:val="nil"/>
                  </w:tcBorders>
                  <w:shd w:val="clear" w:color="auto" w:fill="auto"/>
                  <w:vAlign w:val="center"/>
                </w:tcPr>
                <w:p w14:paraId="4609E12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1mg/L</w:t>
                  </w:r>
                </w:p>
              </w:tc>
              <w:tc>
                <w:tcPr>
                  <w:tcW w:w="3426" w:type="dxa"/>
                  <w:vMerge w:val="continue"/>
                  <w:tcBorders>
                    <w:tl2br w:val="nil"/>
                    <w:tr2bl w:val="nil"/>
                  </w:tcBorders>
                  <w:shd w:val="clear" w:color="auto" w:fill="auto"/>
                  <w:noWrap/>
                  <w:vAlign w:val="center"/>
                </w:tcPr>
                <w:p w14:paraId="5B5299E2">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r>
            <w:tr w14:paraId="02917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882" w:type="dxa"/>
                  <w:tcBorders>
                    <w:tl2br w:val="nil"/>
                    <w:tr2bl w:val="nil"/>
                  </w:tcBorders>
                  <w:shd w:val="clear" w:color="auto" w:fill="auto"/>
                  <w:vAlign w:val="center"/>
                </w:tcPr>
                <w:p w14:paraId="7E56083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2407" w:type="dxa"/>
                  <w:tcBorders>
                    <w:tl2br w:val="nil"/>
                    <w:tr2bl w:val="nil"/>
                  </w:tcBorders>
                  <w:shd w:val="clear" w:color="auto" w:fill="auto"/>
                  <w:vAlign w:val="center"/>
                </w:tcPr>
                <w:p w14:paraId="07ABA3F6">
                  <w:pPr>
                    <w:keepNext w:val="0"/>
                    <w:keepLines w:val="0"/>
                    <w:widowControl/>
                    <w:suppressLineNumbers w:val="0"/>
                    <w:jc w:val="center"/>
                    <w:textAlignment w:val="top"/>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1665" w:type="dxa"/>
                  <w:tcBorders>
                    <w:tl2br w:val="nil"/>
                    <w:tr2bl w:val="nil"/>
                  </w:tcBorders>
                  <w:shd w:val="clear" w:color="auto" w:fill="auto"/>
                  <w:vAlign w:val="center"/>
                </w:tcPr>
                <w:p w14:paraId="7A1030C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p>
              </w:tc>
              <w:tc>
                <w:tcPr>
                  <w:tcW w:w="3426" w:type="dxa"/>
                  <w:tcBorders>
                    <w:tl2br w:val="nil"/>
                    <w:tr2bl w:val="nil"/>
                  </w:tcBorders>
                  <w:shd w:val="clear" w:color="auto" w:fill="auto"/>
                  <w:noWrap/>
                  <w:vAlign w:val="center"/>
                </w:tcPr>
                <w:p w14:paraId="2EA1C5AB">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2"/>
                      <w:szCs w:val="22"/>
                      <w:highlight w:val="none"/>
                      <w:u w:val="none"/>
                      <w:lang w:val="en-US" w:eastAsia="zh-CN"/>
                      <w14:textFill>
                        <w14:solidFill>
                          <w14:schemeClr w14:val="tx1"/>
                        </w14:solidFill>
                      </w14:textFill>
                    </w:rPr>
                    <w:t>《电子工业水污染物排放标准》(GB 39731-2020）直接排放标准</w:t>
                  </w:r>
                </w:p>
              </w:tc>
            </w:tr>
          </w:tbl>
          <w:p w14:paraId="6ED371B6">
            <w:pPr>
              <w:pStyle w:val="37"/>
              <w:spacing w:before="120" w:beforeLines="50"/>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 xml:space="preserve">3.9 </w:t>
            </w:r>
            <w:r>
              <w:rPr>
                <w:rFonts w:hint="eastAsia"/>
                <w:color w:val="000000" w:themeColor="text1"/>
                <w:sz w:val="24"/>
                <w:szCs w:val="21"/>
                <w:highlight w:val="none"/>
                <w14:textFill>
                  <w14:solidFill>
                    <w14:schemeClr w14:val="tx1"/>
                  </w14:solidFill>
                </w14:textFill>
              </w:rPr>
              <w:t>噪声标准</w:t>
            </w:r>
          </w:p>
          <w:p w14:paraId="40BE5844">
            <w:pPr>
              <w:spacing w:line="360" w:lineRule="auto"/>
              <w:ind w:firstLine="480" w:firstLineChars="200"/>
              <w:rPr>
                <w:rFonts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项目所在声环境功能区划为3类区，因此，运营期厂界噪声排放执行《工业企业厂界环境噪声排放标准》(GB12348-2008)中3类标准，具体详见</w:t>
            </w:r>
            <w:r>
              <w:rPr>
                <w:rFonts w:hint="eastAsia" w:cs="宋体"/>
                <w:bCs/>
                <w:color w:val="000000" w:themeColor="text1"/>
                <w:sz w:val="24"/>
                <w:szCs w:val="24"/>
                <w:highlight w:val="none"/>
                <w:lang w:val="en-US" w:eastAsia="zh-CN"/>
                <w14:textFill>
                  <w14:solidFill>
                    <w14:schemeClr w14:val="tx1"/>
                  </w14:solidFill>
                </w14:textFill>
              </w:rPr>
              <w:t>下</w:t>
            </w:r>
            <w:r>
              <w:rPr>
                <w:rFonts w:hint="eastAsia" w:cs="宋体"/>
                <w:bCs/>
                <w:color w:val="000000" w:themeColor="text1"/>
                <w:sz w:val="24"/>
                <w:szCs w:val="24"/>
                <w:highlight w:val="none"/>
                <w14:textFill>
                  <w14:solidFill>
                    <w14:schemeClr w14:val="tx1"/>
                  </w14:solidFill>
                </w14:textFill>
              </w:rPr>
              <w:t>表。</w:t>
            </w:r>
          </w:p>
          <w:p w14:paraId="614CFA00">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表3</w:t>
            </w:r>
            <w:r>
              <w:rPr>
                <w:rFonts w:hint="eastAsia" w:eastAsia="宋体" w:cs="宋体"/>
                <w:b/>
                <w:color w:val="000000" w:themeColor="text1"/>
                <w:kern w:val="2"/>
                <w:sz w:val="24"/>
                <w:szCs w:val="24"/>
                <w:highlight w:val="none"/>
                <w:lang w:val="en-US" w:eastAsia="zh-CN" w:bidi="ar-SA"/>
                <w14:textFill>
                  <w14:solidFill>
                    <w14:schemeClr w14:val="tx1"/>
                  </w14:solidFill>
                </w14:textFill>
              </w:rPr>
              <w:t>.9</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w:t>
            </w:r>
            <w:r>
              <w:rPr>
                <w:rFonts w:hint="eastAsia" w:eastAsia="宋体" w:cs="宋体"/>
                <w:b/>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噪声排放标准 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1626"/>
              <w:gridCol w:w="1297"/>
              <w:gridCol w:w="1876"/>
              <w:gridCol w:w="3591"/>
            </w:tblGrid>
            <w:tr w14:paraId="0562A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969" w:type="pct"/>
                  <w:tcBorders>
                    <w:top w:val="single" w:color="auto" w:sz="4" w:space="0"/>
                    <w:left w:val="single" w:color="auto" w:sz="4" w:space="0"/>
                    <w:bottom w:val="single" w:color="auto" w:sz="4" w:space="0"/>
                    <w:tl2br w:val="single" w:color="auto" w:sz="4" w:space="0"/>
                  </w:tcBorders>
                  <w:shd w:val="clear" w:color="auto" w:fill="auto"/>
                  <w:vAlign w:val="center"/>
                </w:tcPr>
                <w:p w14:paraId="611FAEE9">
                  <w:pPr>
                    <w:pStyle w:val="70"/>
                    <w:adjustRightInd/>
                    <w:snapToGrid/>
                    <w:jc w:val="right"/>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时段</w:t>
                  </w:r>
                </w:p>
                <w:p w14:paraId="1786037A">
                  <w:pPr>
                    <w:pStyle w:val="70"/>
                    <w:adjustRightInd/>
                    <w:snapToGrid/>
                    <w:jc w:val="left"/>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声功能区</w:t>
                  </w:r>
                </w:p>
              </w:tc>
              <w:tc>
                <w:tcPr>
                  <w:tcW w:w="773" w:type="pct"/>
                  <w:tcBorders>
                    <w:top w:val="single" w:color="auto" w:sz="4" w:space="0"/>
                    <w:bottom w:val="single" w:color="auto" w:sz="4" w:space="0"/>
                  </w:tcBorders>
                  <w:shd w:val="clear" w:color="auto" w:fill="auto"/>
                  <w:vAlign w:val="center"/>
                </w:tcPr>
                <w:p w14:paraId="0B402934">
                  <w:pPr>
                    <w:pStyle w:val="70"/>
                    <w:adjustRightInd/>
                    <w:snapToGrid/>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昼间</w:t>
                  </w:r>
                </w:p>
              </w:tc>
              <w:tc>
                <w:tcPr>
                  <w:tcW w:w="1118" w:type="pct"/>
                  <w:tcBorders>
                    <w:top w:val="single" w:color="auto" w:sz="4" w:space="0"/>
                    <w:bottom w:val="single" w:color="auto" w:sz="4" w:space="0"/>
                  </w:tcBorders>
                  <w:shd w:val="clear" w:color="auto" w:fill="auto"/>
                  <w:vAlign w:val="center"/>
                </w:tcPr>
                <w:p w14:paraId="3779671D">
                  <w:pPr>
                    <w:pStyle w:val="70"/>
                    <w:adjustRightInd/>
                    <w:snapToGrid/>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夜间</w:t>
                  </w:r>
                </w:p>
              </w:tc>
              <w:tc>
                <w:tcPr>
                  <w:tcW w:w="2139" w:type="pct"/>
                  <w:tcBorders>
                    <w:top w:val="single" w:color="auto" w:sz="4" w:space="0"/>
                    <w:bottom w:val="single" w:color="auto" w:sz="4" w:space="0"/>
                    <w:right w:val="single" w:color="auto" w:sz="4" w:space="0"/>
                  </w:tcBorders>
                  <w:shd w:val="clear" w:color="auto" w:fill="auto"/>
                  <w:vAlign w:val="center"/>
                </w:tcPr>
                <w:p w14:paraId="4775985B">
                  <w:pPr>
                    <w:pStyle w:val="70"/>
                    <w:adjustRightInd/>
                    <w:snapToGrid/>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执行标准</w:t>
                  </w:r>
                </w:p>
              </w:tc>
            </w:tr>
            <w:tr w14:paraId="429F1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969" w:type="pct"/>
                  <w:tcBorders>
                    <w:top w:val="single" w:color="auto" w:sz="4" w:space="0"/>
                    <w:left w:val="single" w:color="auto" w:sz="4" w:space="0"/>
                    <w:bottom w:val="single" w:color="auto" w:sz="4" w:space="0"/>
                  </w:tcBorders>
                  <w:shd w:val="clear" w:color="auto" w:fill="auto"/>
                  <w:vAlign w:val="center"/>
                </w:tcPr>
                <w:p w14:paraId="348F4693">
                  <w:pPr>
                    <w:pStyle w:val="70"/>
                    <w:adjustRightInd/>
                    <w:snapToGrid/>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3</w:t>
                  </w:r>
                </w:p>
              </w:tc>
              <w:tc>
                <w:tcPr>
                  <w:tcW w:w="773" w:type="pct"/>
                  <w:tcBorders>
                    <w:top w:val="single" w:color="auto" w:sz="4" w:space="0"/>
                    <w:bottom w:val="single" w:color="auto" w:sz="4" w:space="0"/>
                  </w:tcBorders>
                  <w:shd w:val="clear" w:color="auto" w:fill="auto"/>
                  <w:vAlign w:val="center"/>
                </w:tcPr>
                <w:p w14:paraId="779350E3">
                  <w:pPr>
                    <w:pStyle w:val="70"/>
                    <w:adjustRightInd/>
                    <w:snapToGrid/>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65</w:t>
                  </w:r>
                </w:p>
              </w:tc>
              <w:tc>
                <w:tcPr>
                  <w:tcW w:w="1118" w:type="pct"/>
                  <w:tcBorders>
                    <w:top w:val="single" w:color="auto" w:sz="4" w:space="0"/>
                    <w:bottom w:val="single" w:color="auto" w:sz="4" w:space="0"/>
                  </w:tcBorders>
                  <w:shd w:val="clear" w:color="auto" w:fill="auto"/>
                  <w:vAlign w:val="center"/>
                </w:tcPr>
                <w:p w14:paraId="69930C59">
                  <w:pPr>
                    <w:pStyle w:val="70"/>
                    <w:adjustRightInd/>
                    <w:snapToGrid/>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5</w:t>
                  </w:r>
                  <w:r>
                    <w:rPr>
                      <w:color w:val="000000" w:themeColor="text1"/>
                      <w:sz w:val="21"/>
                      <w:szCs w:val="24"/>
                      <w:highlight w:val="none"/>
                      <w14:textFill>
                        <w14:solidFill>
                          <w14:schemeClr w14:val="tx1"/>
                        </w14:solidFill>
                      </w14:textFill>
                    </w:rPr>
                    <w:t>5</w:t>
                  </w:r>
                </w:p>
              </w:tc>
              <w:tc>
                <w:tcPr>
                  <w:tcW w:w="2139" w:type="pct"/>
                  <w:tcBorders>
                    <w:top w:val="single" w:color="auto" w:sz="4" w:space="0"/>
                    <w:bottom w:val="single" w:color="auto" w:sz="4" w:space="0"/>
                    <w:right w:val="single" w:color="auto" w:sz="4" w:space="0"/>
                  </w:tcBorders>
                  <w:shd w:val="clear" w:color="auto" w:fill="auto"/>
                  <w:vAlign w:val="center"/>
                </w:tcPr>
                <w:p w14:paraId="494DA426">
                  <w:pPr>
                    <w:pStyle w:val="70"/>
                    <w:adjustRightInd/>
                    <w:snapToGrid/>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《工业企业厂界环境噪声排放标准》（GB12348-2008）中3类标准</w:t>
                  </w:r>
                </w:p>
              </w:tc>
            </w:tr>
          </w:tbl>
          <w:p w14:paraId="462D9DB4">
            <w:pPr>
              <w:pStyle w:val="37"/>
              <w:spacing w:before="120" w:beforeLines="50"/>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 xml:space="preserve">3.10 </w:t>
            </w:r>
            <w:r>
              <w:rPr>
                <w:rFonts w:hint="eastAsia"/>
                <w:color w:val="000000" w:themeColor="text1"/>
                <w:sz w:val="24"/>
                <w:szCs w:val="21"/>
                <w:highlight w:val="none"/>
                <w14:textFill>
                  <w14:solidFill>
                    <w14:schemeClr w14:val="tx1"/>
                  </w14:solidFill>
                </w14:textFill>
              </w:rPr>
              <w:t>固废标准</w:t>
            </w:r>
          </w:p>
          <w:p w14:paraId="5F07D6E8">
            <w:pPr>
              <w:spacing w:line="360" w:lineRule="auto"/>
              <w:ind w:firstLine="480" w:firstLineChars="200"/>
              <w:rPr>
                <w:rFonts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固体废物应分类收集，能够回收利用的应当充分回收利用。</w:t>
            </w:r>
          </w:p>
          <w:p w14:paraId="4ACC7E4A">
            <w:pPr>
              <w:spacing w:line="360" w:lineRule="auto"/>
              <w:ind w:firstLine="480" w:firstLineChars="200"/>
              <w:rPr>
                <w:rFonts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一般工业固体废物参照《一般工业固体废物贮存和填埋污染控制标准》（GB18599-2020）要求进行处置，处理和处置执行《</w:t>
            </w:r>
            <w:r>
              <w:rPr>
                <w:rFonts w:hint="eastAsia" w:cs="宋体"/>
                <w:bCs/>
                <w:color w:val="000000" w:themeColor="text1"/>
                <w:sz w:val="24"/>
                <w:szCs w:val="24"/>
                <w:highlight w:val="none"/>
                <w:lang w:eastAsia="zh-CN"/>
                <w14:textFill>
                  <w14:solidFill>
                    <w14:schemeClr w14:val="tx1"/>
                  </w14:solidFill>
                </w14:textFill>
              </w:rPr>
              <w:t>中华人民共和国</w:t>
            </w:r>
            <w:r>
              <w:rPr>
                <w:rFonts w:hint="eastAsia" w:cs="宋体"/>
                <w:bCs/>
                <w:color w:val="000000" w:themeColor="text1"/>
                <w:sz w:val="24"/>
                <w:szCs w:val="24"/>
                <w:highlight w:val="none"/>
                <w14:textFill>
                  <w14:solidFill>
                    <w14:schemeClr w14:val="tx1"/>
                  </w14:solidFill>
                </w14:textFill>
              </w:rPr>
              <w:t>固体废物污染环境防治法》》中的有关规定。一般工业固体废物采用库房、包装工具（罐、桶、包装袋等）贮存一般工业固体废物过程的污染控制，其贮存过程应满足相应防渗漏、防雨淋、防扬尘等环境保护要求。</w:t>
            </w:r>
          </w:p>
          <w:p w14:paraId="43AB3812">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危险废物按《国家危险废物名录》（202</w:t>
            </w:r>
            <w:r>
              <w:rPr>
                <w:rFonts w:hint="eastAsia" w:cs="宋体"/>
                <w:bCs/>
                <w:color w:val="000000" w:themeColor="text1"/>
                <w:sz w:val="24"/>
                <w:szCs w:val="24"/>
                <w:highlight w:val="none"/>
                <w:lang w:val="en-US" w:eastAsia="zh-CN"/>
                <w14:textFill>
                  <w14:solidFill>
                    <w14:schemeClr w14:val="tx1"/>
                  </w14:solidFill>
                </w14:textFill>
              </w:rPr>
              <w:t>5</w:t>
            </w:r>
            <w:r>
              <w:rPr>
                <w:rFonts w:hint="eastAsia" w:cs="宋体"/>
                <w:bCs/>
                <w:color w:val="000000" w:themeColor="text1"/>
                <w:sz w:val="24"/>
                <w:szCs w:val="24"/>
                <w:highlight w:val="none"/>
                <w14:textFill>
                  <w14:solidFill>
                    <w14:schemeClr w14:val="tx1"/>
                  </w14:solidFill>
                </w14:textFill>
              </w:rPr>
              <w:t>年</w:t>
            </w:r>
            <w:r>
              <w:rPr>
                <w:rFonts w:hint="eastAsia" w:cs="宋体"/>
                <w:bCs/>
                <w:color w:val="000000" w:themeColor="text1"/>
                <w:sz w:val="24"/>
                <w:szCs w:val="24"/>
                <w:highlight w:val="none"/>
                <w:lang w:val="en-US" w:eastAsia="zh-CN"/>
                <w14:textFill>
                  <w14:solidFill>
                    <w14:schemeClr w14:val="tx1"/>
                  </w14:solidFill>
                </w14:textFill>
              </w:rPr>
              <w:t>版</w:t>
            </w:r>
            <w:r>
              <w:rPr>
                <w:rFonts w:hint="eastAsia" w:cs="宋体"/>
                <w:bCs/>
                <w:color w:val="000000" w:themeColor="text1"/>
                <w:sz w:val="24"/>
                <w:szCs w:val="24"/>
                <w:highlight w:val="none"/>
                <w14:textFill>
                  <w14:solidFill>
                    <w14:schemeClr w14:val="tx1"/>
                  </w14:solidFill>
                </w14:textFill>
              </w:rPr>
              <w:t>）、《危险废物鉴别标准 通则》（GB5085.7-2019）认定，并按《危险废物贮存污染控制标准》（GB18597-2023）要求进行</w:t>
            </w:r>
            <w:r>
              <w:rPr>
                <w:rFonts w:hint="eastAsia" w:cs="宋体"/>
                <w:bCs/>
                <w:color w:val="000000" w:themeColor="text1"/>
                <w:sz w:val="24"/>
                <w:szCs w:val="24"/>
                <w:highlight w:val="none"/>
                <w:lang w:val="en-US" w:eastAsia="zh-CN"/>
                <w14:textFill>
                  <w14:solidFill>
                    <w14:schemeClr w14:val="tx1"/>
                  </w14:solidFill>
                </w14:textFill>
              </w:rPr>
              <w:t>贮存</w:t>
            </w:r>
            <w:r>
              <w:rPr>
                <w:rFonts w:hint="eastAsia" w:cs="宋体"/>
                <w:bCs/>
                <w:color w:val="000000" w:themeColor="text1"/>
                <w:sz w:val="24"/>
                <w:szCs w:val="24"/>
                <w:highlight w:val="none"/>
                <w14:textFill>
                  <w14:solidFill>
                    <w14:schemeClr w14:val="tx1"/>
                  </w14:solidFill>
                </w14:textFill>
              </w:rPr>
              <w:t>。</w:t>
            </w:r>
          </w:p>
          <w:p w14:paraId="30F5B52C">
            <w:pPr>
              <w:spacing w:line="360" w:lineRule="auto"/>
              <w:ind w:firstLine="480" w:firstLineChars="200"/>
              <w:rPr>
                <w:rFonts w:hint="eastAsia"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危险废物的转运需严格遵守《中华人民共和国固体废物污染环境防治法》</w:t>
            </w:r>
            <w:r>
              <w:rPr>
                <w:rFonts w:hint="eastAsia" w:cs="宋体"/>
                <w:bCs/>
                <w:color w:val="000000" w:themeColor="text1"/>
                <w:sz w:val="24"/>
                <w:szCs w:val="24"/>
                <w:highlight w:val="none"/>
                <w:lang w:eastAsia="zh-CN"/>
                <w14:textFill>
                  <w14:solidFill>
                    <w14:schemeClr w14:val="tx1"/>
                  </w14:solidFill>
                </w14:textFill>
              </w:rPr>
              <w:t>《危险废物转移管理办法》《危险废物收集 贮存 运输技术规范》(HJ 2025-2012)</w:t>
            </w:r>
            <w:r>
              <w:rPr>
                <w:rFonts w:hint="eastAsia" w:cs="宋体"/>
                <w:bCs/>
                <w:color w:val="000000" w:themeColor="text1"/>
                <w:sz w:val="24"/>
                <w:szCs w:val="24"/>
                <w:highlight w:val="none"/>
                <w14:textFill>
                  <w14:solidFill>
                    <w14:schemeClr w14:val="tx1"/>
                  </w14:solidFill>
                </w14:textFill>
              </w:rPr>
              <w:t>中关于危险废物转移的管理规定。转移危险废物必须如实填写、运行电子转移联单</w:t>
            </w:r>
            <w:r>
              <w:rPr>
                <w:rFonts w:hint="eastAsia" w:cs="宋体"/>
                <w:bCs/>
                <w:color w:val="000000" w:themeColor="text1"/>
                <w:sz w:val="24"/>
                <w:szCs w:val="24"/>
                <w:highlight w:val="none"/>
                <w:lang w:eastAsia="zh-CN"/>
                <w14:textFill>
                  <w14:solidFill>
                    <w14:schemeClr w14:val="tx1"/>
                  </w14:solidFill>
                </w14:textFill>
              </w:rPr>
              <w:t>。危险废物的运输必须交由具备相应危险货物运输资质的单位进行。在装载时，应根据危险废物的特性采取适当的包装和必要的防泄漏、防扬散、防破损措施，并在车辆或容器外部悬挂或粘贴危险废物标识。</w:t>
            </w:r>
            <w:r>
              <w:rPr>
                <w:rFonts w:hint="eastAsia" w:cs="宋体"/>
                <w:bCs/>
                <w:color w:val="000000" w:themeColor="text1"/>
                <w:sz w:val="24"/>
                <w:szCs w:val="24"/>
                <w:highlight w:val="none"/>
                <w:lang w:val="en-US" w:eastAsia="zh-CN"/>
                <w14:textFill>
                  <w14:solidFill>
                    <w14:schemeClr w14:val="tx1"/>
                  </w14:solidFill>
                </w14:textFill>
              </w:rPr>
              <w:t>企业</w:t>
            </w:r>
            <w:r>
              <w:rPr>
                <w:rFonts w:hint="eastAsia" w:cs="宋体"/>
                <w:bCs/>
                <w:color w:val="000000" w:themeColor="text1"/>
                <w:sz w:val="24"/>
                <w:szCs w:val="24"/>
                <w:highlight w:val="none"/>
                <w:lang w:eastAsia="zh-CN"/>
                <w14:textFill>
                  <w14:solidFill>
                    <w14:schemeClr w14:val="tx1"/>
                  </w14:solidFill>
                </w14:textFill>
              </w:rPr>
              <w:t>应建立危险废物管理台账，如实记录危险废物的名称、种类、数量、来源、出入库时间、去向、交接人等信息。台账应妥善保存，保存期限不少于5年。</w:t>
            </w:r>
          </w:p>
        </w:tc>
      </w:tr>
      <w:tr w14:paraId="3153B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001" w:hRule="atLeast"/>
          <w:jc w:val="center"/>
        </w:trPr>
        <w:tc>
          <w:tcPr>
            <w:tcW w:w="423" w:type="dxa"/>
            <w:tcMar>
              <w:left w:w="28" w:type="dxa"/>
              <w:right w:w="28" w:type="dxa"/>
            </w:tcMar>
            <w:vAlign w:val="center"/>
          </w:tcPr>
          <w:p w14:paraId="3C2E92CF">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总量控制指标</w:t>
            </w:r>
          </w:p>
        </w:tc>
        <w:tc>
          <w:tcPr>
            <w:tcW w:w="8606" w:type="dxa"/>
            <w:vAlign w:val="center"/>
          </w:tcPr>
          <w:p w14:paraId="26654283">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r>
              <w:rPr>
                <w:rFonts w:hint="eastAsia"/>
                <w:bCs/>
                <w:color w:val="000000" w:themeColor="text1"/>
                <w:sz w:val="24"/>
                <w:szCs w:val="32"/>
                <w:highlight w:val="none"/>
                <w14:textFill>
                  <w14:solidFill>
                    <w14:schemeClr w14:val="tx1"/>
                  </w14:solidFill>
                </w14:textFill>
              </w:rPr>
              <w:t>根据《福建省建设项目主要污染物排放总量控制指标管理办法》《福建省人民政府关于全面实施排污权有偿使用和交易工作的意见》（闽政〔2016〕54号）等有关文件要求，排污权核定因子COD</w:t>
            </w:r>
            <w:r>
              <w:rPr>
                <w:rFonts w:hint="eastAsia"/>
                <w:bCs/>
                <w:color w:val="000000" w:themeColor="text1"/>
                <w:sz w:val="24"/>
                <w:szCs w:val="32"/>
                <w:highlight w:val="none"/>
                <w:vertAlign w:val="subscript"/>
                <w14:textFill>
                  <w14:solidFill>
                    <w14:schemeClr w14:val="tx1"/>
                  </w14:solidFill>
                </w14:textFill>
              </w:rPr>
              <w:t>Cr</w:t>
            </w:r>
            <w:r>
              <w:rPr>
                <w:rFonts w:hint="eastAsia"/>
                <w:bCs/>
                <w:color w:val="000000" w:themeColor="text1"/>
                <w:sz w:val="24"/>
                <w:szCs w:val="32"/>
                <w:highlight w:val="none"/>
                <w14:textFill>
                  <w14:solidFill>
                    <w14:schemeClr w14:val="tx1"/>
                  </w14:solidFill>
                </w14:textFill>
              </w:rPr>
              <w:t>、NH</w:t>
            </w:r>
            <w:r>
              <w:rPr>
                <w:rFonts w:hint="eastAsia"/>
                <w:bCs/>
                <w:color w:val="000000" w:themeColor="text1"/>
                <w:sz w:val="24"/>
                <w:szCs w:val="32"/>
                <w:highlight w:val="none"/>
                <w:vertAlign w:val="subscript"/>
                <w14:textFill>
                  <w14:solidFill>
                    <w14:schemeClr w14:val="tx1"/>
                  </w14:solidFill>
                </w14:textFill>
              </w:rPr>
              <w:t>3</w:t>
            </w:r>
            <w:r>
              <w:rPr>
                <w:rFonts w:hint="eastAsia"/>
                <w:bCs/>
                <w:color w:val="000000" w:themeColor="text1"/>
                <w:sz w:val="24"/>
                <w:szCs w:val="32"/>
                <w:highlight w:val="none"/>
                <w14:textFill>
                  <w14:solidFill>
                    <w14:schemeClr w14:val="tx1"/>
                  </w14:solidFill>
                </w14:textFill>
              </w:rPr>
              <w:t>-N、SO</w:t>
            </w:r>
            <w:r>
              <w:rPr>
                <w:rFonts w:hint="eastAsia"/>
                <w:bCs/>
                <w:color w:val="000000" w:themeColor="text1"/>
                <w:sz w:val="24"/>
                <w:szCs w:val="32"/>
                <w:highlight w:val="none"/>
                <w:vertAlign w:val="subscript"/>
                <w14:textFill>
                  <w14:solidFill>
                    <w14:schemeClr w14:val="tx1"/>
                  </w14:solidFill>
                </w14:textFill>
              </w:rPr>
              <w:t>2</w:t>
            </w:r>
            <w:r>
              <w:rPr>
                <w:rFonts w:hint="eastAsia"/>
                <w:bCs/>
                <w:color w:val="000000" w:themeColor="text1"/>
                <w:sz w:val="24"/>
                <w:szCs w:val="32"/>
                <w:highlight w:val="none"/>
                <w14:textFill>
                  <w14:solidFill>
                    <w14:schemeClr w14:val="tx1"/>
                  </w14:solidFill>
                </w14:textFill>
              </w:rPr>
              <w:t>、NO</w:t>
            </w:r>
            <w:r>
              <w:rPr>
                <w:rFonts w:hint="eastAsia"/>
                <w:bCs/>
                <w:color w:val="000000" w:themeColor="text1"/>
                <w:sz w:val="24"/>
                <w:szCs w:val="32"/>
                <w:highlight w:val="none"/>
                <w:vertAlign w:val="subscript"/>
                <w14:textFill>
                  <w14:solidFill>
                    <w14:schemeClr w14:val="tx1"/>
                  </w14:solidFill>
                </w14:textFill>
              </w:rPr>
              <w:t>X</w:t>
            </w:r>
            <w:r>
              <w:rPr>
                <w:rFonts w:hint="eastAsia"/>
                <w:bCs/>
                <w:color w:val="000000" w:themeColor="text1"/>
                <w:sz w:val="24"/>
                <w:szCs w:val="32"/>
                <w:highlight w:val="none"/>
                <w14:textFill>
                  <w14:solidFill>
                    <w14:schemeClr w14:val="tx1"/>
                  </w14:solidFill>
                </w14:textFill>
              </w:rPr>
              <w:t>。</w:t>
            </w:r>
          </w:p>
          <w:p w14:paraId="58F653EA">
            <w:pPr>
              <w:spacing w:line="360" w:lineRule="auto"/>
              <w:ind w:firstLine="480" w:firstLineChars="200"/>
              <w:rPr>
                <w:rFonts w:hint="default" w:eastAsia="宋体"/>
                <w:bCs/>
                <w:color w:val="000000" w:themeColor="text1"/>
                <w:sz w:val="24"/>
                <w:szCs w:val="32"/>
                <w:highlight w:val="none"/>
                <w:lang w:val="en-US" w:eastAsia="zh-CN"/>
                <w14:textFill>
                  <w14:solidFill>
                    <w14:schemeClr w14:val="tx1"/>
                  </w14:solidFill>
                </w14:textFill>
              </w:rPr>
            </w:pPr>
            <w:r>
              <w:rPr>
                <w:rFonts w:hint="eastAsia"/>
                <w:bCs/>
                <w:color w:val="000000" w:themeColor="text1"/>
                <w:sz w:val="24"/>
                <w:szCs w:val="32"/>
                <w:highlight w:val="none"/>
                <w:lang w:eastAsia="zh-CN"/>
                <w14:textFill>
                  <w14:solidFill>
                    <w14:schemeClr w14:val="tx1"/>
                  </w14:solidFill>
                </w14:textFill>
              </w:rPr>
              <w:t>（</w:t>
            </w:r>
            <w:r>
              <w:rPr>
                <w:rFonts w:hint="eastAsia"/>
                <w:bCs/>
                <w:color w:val="000000" w:themeColor="text1"/>
                <w:sz w:val="24"/>
                <w:szCs w:val="32"/>
                <w:highlight w:val="none"/>
                <w:lang w:val="en-US" w:eastAsia="zh-CN"/>
                <w14:textFill>
                  <w14:solidFill>
                    <w14:schemeClr w14:val="tx1"/>
                  </w14:solidFill>
                </w14:textFill>
              </w:rPr>
              <w:t>1</w:t>
            </w:r>
            <w:r>
              <w:rPr>
                <w:rFonts w:hint="eastAsia"/>
                <w:bCs/>
                <w:color w:val="000000" w:themeColor="text1"/>
                <w:sz w:val="24"/>
                <w:szCs w:val="32"/>
                <w:highlight w:val="none"/>
                <w:lang w:eastAsia="zh-CN"/>
                <w14:textFill>
                  <w14:solidFill>
                    <w14:schemeClr w14:val="tx1"/>
                  </w14:solidFill>
                </w14:textFill>
              </w:rPr>
              <w:t>）</w:t>
            </w:r>
            <w:r>
              <w:rPr>
                <w:rFonts w:hint="eastAsia"/>
                <w:bCs/>
                <w:color w:val="000000" w:themeColor="text1"/>
                <w:sz w:val="24"/>
                <w:szCs w:val="32"/>
                <w:highlight w:val="none"/>
                <w:lang w:val="en-US" w:eastAsia="zh-CN"/>
                <w14:textFill>
                  <w14:solidFill>
                    <w14:schemeClr w14:val="tx1"/>
                  </w14:solidFill>
                </w14:textFill>
              </w:rPr>
              <w:t>废水总量</w:t>
            </w:r>
          </w:p>
          <w:p w14:paraId="418F9887">
            <w:pPr>
              <w:spacing w:line="360" w:lineRule="auto"/>
              <w:ind w:firstLine="480" w:firstLineChars="200"/>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bCs/>
                <w:color w:val="000000" w:themeColor="text1"/>
                <w:sz w:val="24"/>
                <w:szCs w:val="32"/>
                <w:highlight w:val="none"/>
                <w14:textFill>
                  <w14:solidFill>
                    <w14:schemeClr w14:val="tx1"/>
                  </w14:solidFill>
                </w14:textFill>
              </w:rPr>
              <w:t>本项目生产废水依托厂区</w:t>
            </w:r>
            <w:r>
              <w:rPr>
                <w:rFonts w:hint="eastAsia"/>
                <w:bCs/>
                <w:color w:val="000000" w:themeColor="text1"/>
                <w:sz w:val="24"/>
                <w:szCs w:val="32"/>
                <w:highlight w:val="none"/>
                <w:lang w:val="en-US" w:eastAsia="zh-CN"/>
                <w14:textFill>
                  <w14:solidFill>
                    <w14:schemeClr w14:val="tx1"/>
                  </w14:solidFill>
                </w14:textFill>
              </w:rPr>
              <w:t>新建</w:t>
            </w:r>
            <w:r>
              <w:rPr>
                <w:rFonts w:hint="eastAsia"/>
                <w:bCs/>
                <w:color w:val="000000" w:themeColor="text1"/>
                <w:sz w:val="24"/>
                <w:szCs w:val="32"/>
                <w:highlight w:val="none"/>
                <w14:textFill>
                  <w14:solidFill>
                    <w14:schemeClr w14:val="tx1"/>
                  </w14:solidFill>
                </w14:textFill>
              </w:rPr>
              <w:t>的污水站处理后经市政污水管网排入福州大学城污水处理厂统一处理；生活污水经</w:t>
            </w:r>
            <w:r>
              <w:rPr>
                <w:rFonts w:hint="eastAsia"/>
                <w:bCs/>
                <w:color w:val="000000" w:themeColor="text1"/>
                <w:sz w:val="24"/>
                <w:szCs w:val="32"/>
                <w:highlight w:val="none"/>
                <w:lang w:val="en-US" w:eastAsia="zh-CN"/>
                <w14:textFill>
                  <w14:solidFill>
                    <w14:schemeClr w14:val="tx1"/>
                  </w14:solidFill>
                </w14:textFill>
              </w:rPr>
              <w:t>隔油+</w:t>
            </w:r>
            <w:r>
              <w:rPr>
                <w:rFonts w:hint="eastAsia"/>
                <w:bCs/>
                <w:color w:val="000000" w:themeColor="text1"/>
                <w:sz w:val="24"/>
                <w:szCs w:val="32"/>
                <w:highlight w:val="none"/>
                <w14:textFill>
                  <w14:solidFill>
                    <w14:schemeClr w14:val="tx1"/>
                  </w14:solidFill>
                </w14:textFill>
              </w:rPr>
              <w:t>化粪池处</w:t>
            </w:r>
            <w:r>
              <w:rPr>
                <w:rFonts w:hint="eastAsia"/>
                <w:bCs/>
                <w:color w:val="000000" w:themeColor="text1"/>
                <w:sz w:val="24"/>
                <w:szCs w:val="32"/>
                <w:highlight w:val="none"/>
                <w:lang w:eastAsia="zh-CN"/>
                <w14:textFill>
                  <w14:solidFill>
                    <w14:schemeClr w14:val="tx1"/>
                  </w14:solidFill>
                </w14:textFill>
              </w:rPr>
              <w:t>理后</w:t>
            </w:r>
            <w:r>
              <w:rPr>
                <w:rFonts w:hint="eastAsia"/>
                <w:bCs/>
                <w:color w:val="000000" w:themeColor="text1"/>
                <w:sz w:val="24"/>
                <w:szCs w:val="32"/>
                <w:highlight w:val="none"/>
                <w14:textFill>
                  <w14:solidFill>
                    <w14:schemeClr w14:val="tx1"/>
                  </w14:solidFill>
                </w14:textFill>
              </w:rPr>
              <w:t>经市政污水管网排入福州大学城污水处理厂统一处理。福州大学城污水处理厂出水排放执行《城镇污水处理厂污染物排放标准》（GB18918-2002）及其修改单中一级A排放标准：COD为50mg/L、氨氮为5mg/L，本项目污染物排放总量详见</w:t>
            </w:r>
            <w:r>
              <w:rPr>
                <w:rFonts w:hint="eastAsia"/>
                <w:bCs/>
                <w:color w:val="000000" w:themeColor="text1"/>
                <w:sz w:val="24"/>
                <w:szCs w:val="32"/>
                <w:highlight w:val="none"/>
                <w:lang w:val="en-US" w:eastAsia="zh-CN"/>
                <w14:textFill>
                  <w14:solidFill>
                    <w14:schemeClr w14:val="tx1"/>
                  </w14:solidFill>
                </w14:textFill>
              </w:rPr>
              <w:t>下</w:t>
            </w:r>
            <w:r>
              <w:rPr>
                <w:rFonts w:hint="eastAsia"/>
                <w:bCs/>
                <w:color w:val="000000" w:themeColor="text1"/>
                <w:sz w:val="24"/>
                <w:szCs w:val="32"/>
                <w:highlight w:val="none"/>
                <w14:textFill>
                  <w14:solidFill>
                    <w14:schemeClr w14:val="tx1"/>
                  </w14:solidFill>
                </w14:textFill>
              </w:rPr>
              <w:t>表。</w:t>
            </w:r>
          </w:p>
          <w:p w14:paraId="2AFD301E">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w:t>
            </w:r>
            <w:r>
              <w:rPr>
                <w:rFonts w:hint="eastAsia" w:eastAsia="宋体" w:cs="宋体"/>
                <w:b/>
                <w:color w:val="000000" w:themeColor="text1"/>
                <w:kern w:val="2"/>
                <w:sz w:val="24"/>
                <w:szCs w:val="24"/>
                <w:highlight w:val="none"/>
                <w:lang w:val="en-US" w:eastAsia="zh-CN" w:bidi="ar-SA"/>
                <w14:textFill>
                  <w14:solidFill>
                    <w14:schemeClr w14:val="tx1"/>
                  </w14:solidFill>
                </w14:textFill>
              </w:rPr>
              <w:t xml:space="preserve">3.11-1  </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本项目水污染物排放总量指标</w:t>
            </w:r>
          </w:p>
          <w:tbl>
            <w:tblPr>
              <w:tblStyle w:val="30"/>
              <w:tblW w:w="5000" w:type="pct"/>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32"/>
              <w:gridCol w:w="1170"/>
              <w:gridCol w:w="1959"/>
              <w:gridCol w:w="1959"/>
              <w:gridCol w:w="1960"/>
            </w:tblGrid>
            <w:tr w14:paraId="6FEC7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332" w:type="dxa"/>
                  <w:vMerge w:val="restart"/>
                  <w:tcBorders>
                    <w:tl2br w:val="nil"/>
                    <w:tr2bl w:val="nil"/>
                  </w:tcBorders>
                  <w:shd w:val="clear" w:color="auto" w:fill="auto"/>
                  <w:vAlign w:val="center"/>
                </w:tcPr>
                <w:p w14:paraId="215C5EE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类别</w:t>
                  </w:r>
                </w:p>
              </w:tc>
              <w:tc>
                <w:tcPr>
                  <w:tcW w:w="1170" w:type="dxa"/>
                  <w:vMerge w:val="restart"/>
                  <w:tcBorders>
                    <w:tl2br w:val="nil"/>
                    <w:tr2bl w:val="nil"/>
                  </w:tcBorders>
                  <w:shd w:val="clear" w:color="auto" w:fill="auto"/>
                  <w:vAlign w:val="center"/>
                </w:tcPr>
                <w:p w14:paraId="009B735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排放浓度mg/L</w:t>
                  </w:r>
                </w:p>
              </w:tc>
              <w:tc>
                <w:tcPr>
                  <w:tcW w:w="5878" w:type="dxa"/>
                  <w:gridSpan w:val="3"/>
                  <w:tcBorders>
                    <w:tl2br w:val="nil"/>
                    <w:tr2bl w:val="nil"/>
                  </w:tcBorders>
                  <w:shd w:val="clear" w:color="auto" w:fill="auto"/>
                  <w:vAlign w:val="center"/>
                </w:tcPr>
                <w:p w14:paraId="68975C1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建议最终排入环境控制指标</w:t>
                  </w:r>
                </w:p>
              </w:tc>
            </w:tr>
            <w:tr w14:paraId="21950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vMerge w:val="continue"/>
                  <w:tcBorders>
                    <w:tl2br w:val="nil"/>
                    <w:tr2bl w:val="nil"/>
                  </w:tcBorders>
                  <w:shd w:val="clear" w:color="auto" w:fill="auto"/>
                  <w:vAlign w:val="center"/>
                </w:tcPr>
                <w:p w14:paraId="0845CA28">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c>
                <w:tcPr>
                  <w:tcW w:w="1170" w:type="dxa"/>
                  <w:vMerge w:val="continue"/>
                  <w:tcBorders>
                    <w:tl2br w:val="nil"/>
                    <w:tr2bl w:val="nil"/>
                  </w:tcBorders>
                  <w:shd w:val="clear" w:color="auto" w:fill="auto"/>
                  <w:vAlign w:val="center"/>
                </w:tcPr>
                <w:p w14:paraId="519C8491">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c>
                <w:tcPr>
                  <w:tcW w:w="5878" w:type="dxa"/>
                  <w:gridSpan w:val="3"/>
                  <w:tcBorders>
                    <w:tl2br w:val="nil"/>
                    <w:tr2bl w:val="nil"/>
                  </w:tcBorders>
                  <w:shd w:val="clear" w:color="auto" w:fill="auto"/>
                  <w:vAlign w:val="center"/>
                </w:tcPr>
                <w:p w14:paraId="5A7E0D0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废水排放量</w:t>
                  </w: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/a</w:t>
                  </w:r>
                </w:p>
              </w:tc>
            </w:tr>
            <w:tr w14:paraId="6A12D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vMerge w:val="continue"/>
                  <w:tcBorders>
                    <w:tl2br w:val="nil"/>
                    <w:tr2bl w:val="nil"/>
                  </w:tcBorders>
                  <w:shd w:val="clear" w:color="auto" w:fill="auto"/>
                  <w:vAlign w:val="center"/>
                </w:tcPr>
                <w:p w14:paraId="0E685A6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70" w:type="dxa"/>
                  <w:vMerge w:val="continue"/>
                  <w:tcBorders>
                    <w:tl2br w:val="nil"/>
                    <w:tr2bl w:val="nil"/>
                  </w:tcBorders>
                  <w:shd w:val="clear" w:color="auto" w:fill="auto"/>
                  <w:vAlign w:val="center"/>
                </w:tcPr>
                <w:p w14:paraId="0CCC058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59" w:type="dxa"/>
                  <w:tcBorders>
                    <w:tl2br w:val="nil"/>
                    <w:tr2bl w:val="nil"/>
                  </w:tcBorders>
                  <w:shd w:val="clear" w:color="auto" w:fill="auto"/>
                  <w:vAlign w:val="center"/>
                </w:tcPr>
                <w:p w14:paraId="1439159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现有工程</w:t>
                  </w:r>
                </w:p>
              </w:tc>
              <w:tc>
                <w:tcPr>
                  <w:tcW w:w="1959" w:type="dxa"/>
                  <w:tcBorders>
                    <w:tl2br w:val="nil"/>
                    <w:tr2bl w:val="nil"/>
                  </w:tcBorders>
                  <w:shd w:val="clear" w:color="auto" w:fill="auto"/>
                  <w:vAlign w:val="center"/>
                </w:tcPr>
                <w:p w14:paraId="2CF4917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本项目</w:t>
                  </w:r>
                </w:p>
              </w:tc>
              <w:tc>
                <w:tcPr>
                  <w:tcW w:w="1960" w:type="dxa"/>
                  <w:tcBorders>
                    <w:tl2br w:val="nil"/>
                    <w:tr2bl w:val="nil"/>
                  </w:tcBorders>
                  <w:shd w:val="clear" w:color="auto" w:fill="auto"/>
                  <w:vAlign w:val="center"/>
                </w:tcPr>
                <w:p w14:paraId="6C29AA6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扩建后全厂</w:t>
                  </w:r>
                </w:p>
              </w:tc>
            </w:tr>
            <w:tr w14:paraId="6A4F8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0928ECF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废水量</w:t>
                  </w:r>
                </w:p>
              </w:tc>
              <w:tc>
                <w:tcPr>
                  <w:tcW w:w="1170" w:type="dxa"/>
                  <w:tcBorders>
                    <w:tl2br w:val="nil"/>
                    <w:tr2bl w:val="nil"/>
                  </w:tcBorders>
                  <w:shd w:val="clear" w:color="auto" w:fill="auto"/>
                  <w:vAlign w:val="center"/>
                </w:tcPr>
                <w:p w14:paraId="0415A60A">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w:t>
                  </w:r>
                </w:p>
              </w:tc>
              <w:tc>
                <w:tcPr>
                  <w:tcW w:w="1959" w:type="dxa"/>
                  <w:tcBorders>
                    <w:tl2br w:val="nil"/>
                    <w:tr2bl w:val="nil"/>
                  </w:tcBorders>
                  <w:shd w:val="clear" w:color="auto" w:fill="auto"/>
                  <w:vAlign w:val="center"/>
                </w:tcPr>
                <w:p w14:paraId="54D08EA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3780</w:t>
                  </w:r>
                </w:p>
              </w:tc>
              <w:tc>
                <w:tcPr>
                  <w:tcW w:w="1959" w:type="dxa"/>
                  <w:tcBorders>
                    <w:tl2br w:val="nil"/>
                    <w:tr2bl w:val="nil"/>
                  </w:tcBorders>
                  <w:shd w:val="clear" w:color="auto" w:fill="auto"/>
                  <w:vAlign w:val="center"/>
                </w:tcPr>
                <w:p w14:paraId="03565F6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8460</w:t>
                  </w:r>
                </w:p>
              </w:tc>
              <w:tc>
                <w:tcPr>
                  <w:tcW w:w="1960" w:type="dxa"/>
                  <w:tcBorders>
                    <w:tl2br w:val="nil"/>
                    <w:tr2bl w:val="nil"/>
                  </w:tcBorders>
                  <w:shd w:val="clear" w:color="auto" w:fill="auto"/>
                  <w:vAlign w:val="center"/>
                </w:tcPr>
                <w:p w14:paraId="68AD8C2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12240</w:t>
                  </w:r>
                </w:p>
              </w:tc>
            </w:tr>
            <w:tr w14:paraId="07FED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18F6B40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COD</w:t>
                  </w:r>
                </w:p>
              </w:tc>
              <w:tc>
                <w:tcPr>
                  <w:tcW w:w="1170" w:type="dxa"/>
                  <w:tcBorders>
                    <w:tl2br w:val="nil"/>
                    <w:tr2bl w:val="nil"/>
                  </w:tcBorders>
                  <w:shd w:val="clear" w:color="auto" w:fill="auto"/>
                  <w:vAlign w:val="center"/>
                </w:tcPr>
                <w:p w14:paraId="0A6142A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50</w:t>
                  </w:r>
                </w:p>
              </w:tc>
              <w:tc>
                <w:tcPr>
                  <w:tcW w:w="1959" w:type="dxa"/>
                  <w:tcBorders>
                    <w:tl2br w:val="nil"/>
                    <w:tr2bl w:val="nil"/>
                  </w:tcBorders>
                  <w:shd w:val="clear" w:color="auto" w:fill="auto"/>
                  <w:vAlign w:val="center"/>
                </w:tcPr>
                <w:p w14:paraId="6368CCE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0.189</w:t>
                  </w:r>
                </w:p>
              </w:tc>
              <w:tc>
                <w:tcPr>
                  <w:tcW w:w="1959" w:type="dxa"/>
                  <w:tcBorders>
                    <w:tl2br w:val="nil"/>
                    <w:tr2bl w:val="nil"/>
                  </w:tcBorders>
                  <w:shd w:val="clear" w:color="auto" w:fill="auto"/>
                  <w:vAlign w:val="center"/>
                </w:tcPr>
                <w:p w14:paraId="609E9D1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0.423</w:t>
                  </w:r>
                </w:p>
              </w:tc>
              <w:tc>
                <w:tcPr>
                  <w:tcW w:w="1960" w:type="dxa"/>
                  <w:tcBorders>
                    <w:tl2br w:val="nil"/>
                    <w:tr2bl w:val="nil"/>
                  </w:tcBorders>
                  <w:shd w:val="clear" w:color="auto" w:fill="auto"/>
                  <w:vAlign w:val="center"/>
                </w:tcPr>
                <w:p w14:paraId="28FC2A1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0.612</w:t>
                  </w:r>
                </w:p>
              </w:tc>
            </w:tr>
            <w:tr w14:paraId="39DD2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332" w:type="dxa"/>
                  <w:tcBorders>
                    <w:tl2br w:val="nil"/>
                    <w:tr2bl w:val="nil"/>
                  </w:tcBorders>
                  <w:shd w:val="clear" w:color="auto" w:fill="auto"/>
                  <w:vAlign w:val="center"/>
                </w:tcPr>
                <w:p w14:paraId="4D8EB35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w:t>
                  </w:r>
                </w:p>
              </w:tc>
              <w:tc>
                <w:tcPr>
                  <w:tcW w:w="1170" w:type="dxa"/>
                  <w:tcBorders>
                    <w:tl2br w:val="nil"/>
                    <w:tr2bl w:val="nil"/>
                  </w:tcBorders>
                  <w:shd w:val="clear" w:color="auto" w:fill="auto"/>
                  <w:vAlign w:val="center"/>
                </w:tcPr>
                <w:p w14:paraId="2EC47B07">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5</w:t>
                  </w:r>
                </w:p>
              </w:tc>
              <w:tc>
                <w:tcPr>
                  <w:tcW w:w="1959" w:type="dxa"/>
                  <w:tcBorders>
                    <w:tl2br w:val="nil"/>
                    <w:tr2bl w:val="nil"/>
                  </w:tcBorders>
                  <w:shd w:val="clear" w:color="auto" w:fill="auto"/>
                  <w:vAlign w:val="center"/>
                </w:tcPr>
                <w:p w14:paraId="41A6698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0.019</w:t>
                  </w:r>
                </w:p>
              </w:tc>
              <w:tc>
                <w:tcPr>
                  <w:tcW w:w="1959" w:type="dxa"/>
                  <w:tcBorders>
                    <w:tl2br w:val="nil"/>
                    <w:tr2bl w:val="nil"/>
                  </w:tcBorders>
                  <w:shd w:val="clear" w:color="auto" w:fill="auto"/>
                  <w:vAlign w:val="center"/>
                </w:tcPr>
                <w:p w14:paraId="193BF59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0.0423</w:t>
                  </w:r>
                </w:p>
              </w:tc>
              <w:tc>
                <w:tcPr>
                  <w:tcW w:w="1960" w:type="dxa"/>
                  <w:tcBorders>
                    <w:tl2br w:val="nil"/>
                    <w:tr2bl w:val="nil"/>
                  </w:tcBorders>
                  <w:shd w:val="clear" w:color="auto" w:fill="auto"/>
                  <w:vAlign w:val="center"/>
                </w:tcPr>
                <w:p w14:paraId="5ADCBD7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0.0613</w:t>
                  </w:r>
                </w:p>
              </w:tc>
            </w:tr>
          </w:tbl>
          <w:p w14:paraId="0058267F">
            <w:pPr>
              <w:spacing w:line="360" w:lineRule="auto"/>
              <w:ind w:firstLine="480" w:firstLineChars="200"/>
              <w:rPr>
                <w:rFonts w:hint="eastAsia"/>
                <w:bCs/>
                <w:color w:val="000000" w:themeColor="text1"/>
                <w:sz w:val="24"/>
                <w:szCs w:val="32"/>
                <w:highlight w:val="none"/>
                <w14:textFill>
                  <w14:solidFill>
                    <w14:schemeClr w14:val="tx1"/>
                  </w14:solidFill>
                </w14:textFill>
              </w:rPr>
            </w:pPr>
            <w:r>
              <w:rPr>
                <w:rFonts w:hint="eastAsia"/>
                <w:bCs/>
                <w:color w:val="000000" w:themeColor="text1"/>
                <w:sz w:val="24"/>
                <w:szCs w:val="32"/>
                <w:highlight w:val="none"/>
                <w14:textFill>
                  <w14:solidFill>
                    <w14:schemeClr w14:val="tx1"/>
                  </w14:solidFill>
                </w14:textFill>
              </w:rPr>
              <w:t>项目生活污水排放暂不需要购买相应的排污权指标，由福州大学城污水处理厂统一控制；生产废水经厂区废水处理设施处理达标后通过市政污水管网最终排放到福州大学城污水处理厂统一处理。根据《福州市建设项目主要污染物排放总量指标管理实施细则》（修订）中规定“省级（含）以上工业园区外的工业企业新增主要污染物排放（不含使用天然气、液化石油气等作为燃料的非火电锅炉和工业炉窑的工业企业新增的二氧化硫、氮氧化物排放量），按不低于1.2倍交易”</w:t>
            </w:r>
            <w:r>
              <w:rPr>
                <w:rFonts w:hint="eastAsia"/>
                <w:bCs/>
                <w:color w:val="000000" w:themeColor="text1"/>
                <w:sz w:val="24"/>
                <w:szCs w:val="32"/>
                <w:highlight w:val="none"/>
                <w:lang w:eastAsia="zh-CN"/>
                <w14:textFill>
                  <w14:solidFill>
                    <w14:schemeClr w14:val="tx1"/>
                  </w14:solidFill>
                </w14:textFill>
              </w:rPr>
              <w:t>，</w:t>
            </w:r>
            <w:r>
              <w:rPr>
                <w:rFonts w:hint="eastAsia"/>
                <w:bCs/>
                <w:color w:val="000000" w:themeColor="text1"/>
                <w:sz w:val="24"/>
                <w:szCs w:val="32"/>
                <w:highlight w:val="none"/>
                <w14:textFill>
                  <w14:solidFill>
                    <w14:schemeClr w14:val="tx1"/>
                  </w14:solidFill>
                </w14:textFill>
              </w:rPr>
              <w:t>确认本次项目生产废水总量指标为COD≤0.</w:t>
            </w:r>
            <w:r>
              <w:rPr>
                <w:rFonts w:hint="eastAsia"/>
                <w:bCs/>
                <w:color w:val="000000" w:themeColor="text1"/>
                <w:sz w:val="24"/>
                <w:szCs w:val="32"/>
                <w:highlight w:val="none"/>
                <w:lang w:val="en-US" w:eastAsia="zh-CN"/>
                <w14:textFill>
                  <w14:solidFill>
                    <w14:schemeClr w14:val="tx1"/>
                  </w14:solidFill>
                </w14:textFill>
              </w:rPr>
              <w:t>5076</w:t>
            </w:r>
            <w:r>
              <w:rPr>
                <w:rFonts w:hint="eastAsia"/>
                <w:bCs/>
                <w:color w:val="000000" w:themeColor="text1"/>
                <w:sz w:val="24"/>
                <w:szCs w:val="32"/>
                <w:highlight w:val="none"/>
                <w14:textFill>
                  <w14:solidFill>
                    <w14:schemeClr w14:val="tx1"/>
                  </w14:solidFill>
                </w14:textFill>
              </w:rPr>
              <w:t>t/a、氨氮≤0.0</w:t>
            </w:r>
            <w:r>
              <w:rPr>
                <w:rFonts w:hint="eastAsia"/>
                <w:bCs/>
                <w:color w:val="000000" w:themeColor="text1"/>
                <w:sz w:val="24"/>
                <w:szCs w:val="32"/>
                <w:highlight w:val="none"/>
                <w:lang w:val="en-US" w:eastAsia="zh-CN"/>
                <w14:textFill>
                  <w14:solidFill>
                    <w14:schemeClr w14:val="tx1"/>
                  </w14:solidFill>
                </w14:textFill>
              </w:rPr>
              <w:t>508</w:t>
            </w:r>
            <w:r>
              <w:rPr>
                <w:rFonts w:hint="eastAsia"/>
                <w:bCs/>
                <w:color w:val="000000" w:themeColor="text1"/>
                <w:sz w:val="24"/>
                <w:szCs w:val="32"/>
                <w:highlight w:val="none"/>
                <w14:textFill>
                  <w14:solidFill>
                    <w14:schemeClr w14:val="tx1"/>
                  </w14:solidFill>
                </w14:textFill>
              </w:rPr>
              <w:t>t/a。</w:t>
            </w:r>
          </w:p>
          <w:p w14:paraId="1B7C9776">
            <w:pPr>
              <w:spacing w:line="360" w:lineRule="auto"/>
              <w:ind w:firstLine="480" w:firstLineChars="200"/>
              <w:rPr>
                <w:rFonts w:hint="default" w:eastAsia="宋体"/>
                <w:bCs/>
                <w:color w:val="000000" w:themeColor="text1"/>
                <w:sz w:val="24"/>
                <w:szCs w:val="32"/>
                <w:highlight w:val="none"/>
                <w:lang w:val="en-US" w:eastAsia="zh-CN"/>
                <w14:textFill>
                  <w14:solidFill>
                    <w14:schemeClr w14:val="tx1"/>
                  </w14:solidFill>
                </w14:textFill>
              </w:rPr>
            </w:pPr>
            <w:r>
              <w:rPr>
                <w:rFonts w:hint="eastAsia"/>
                <w:bCs/>
                <w:color w:val="000000" w:themeColor="text1"/>
                <w:sz w:val="24"/>
                <w:szCs w:val="32"/>
                <w:highlight w:val="none"/>
                <w:lang w:eastAsia="zh-CN"/>
                <w14:textFill>
                  <w14:solidFill>
                    <w14:schemeClr w14:val="tx1"/>
                  </w14:solidFill>
                </w14:textFill>
              </w:rPr>
              <w:t>（</w:t>
            </w:r>
            <w:r>
              <w:rPr>
                <w:rFonts w:hint="eastAsia"/>
                <w:bCs/>
                <w:color w:val="000000" w:themeColor="text1"/>
                <w:sz w:val="24"/>
                <w:szCs w:val="32"/>
                <w:highlight w:val="none"/>
                <w:lang w:val="en-US" w:eastAsia="zh-CN"/>
                <w14:textFill>
                  <w14:solidFill>
                    <w14:schemeClr w14:val="tx1"/>
                  </w14:solidFill>
                </w14:textFill>
              </w:rPr>
              <w:t>2</w:t>
            </w:r>
            <w:r>
              <w:rPr>
                <w:rFonts w:hint="eastAsia"/>
                <w:bCs/>
                <w:color w:val="000000" w:themeColor="text1"/>
                <w:sz w:val="24"/>
                <w:szCs w:val="32"/>
                <w:highlight w:val="none"/>
                <w:lang w:eastAsia="zh-CN"/>
                <w14:textFill>
                  <w14:solidFill>
                    <w14:schemeClr w14:val="tx1"/>
                  </w14:solidFill>
                </w14:textFill>
              </w:rPr>
              <w:t>）</w:t>
            </w:r>
            <w:r>
              <w:rPr>
                <w:rFonts w:hint="eastAsia"/>
                <w:bCs/>
                <w:color w:val="000000" w:themeColor="text1"/>
                <w:sz w:val="24"/>
                <w:szCs w:val="32"/>
                <w:highlight w:val="none"/>
                <w:lang w:val="en-US" w:eastAsia="zh-CN"/>
                <w14:textFill>
                  <w14:solidFill>
                    <w14:schemeClr w14:val="tx1"/>
                  </w14:solidFill>
                </w14:textFill>
              </w:rPr>
              <w:t>废气总量</w:t>
            </w:r>
          </w:p>
          <w:p w14:paraId="299C602E">
            <w:pPr>
              <w:spacing w:line="360" w:lineRule="auto"/>
              <w:ind w:firstLine="480" w:firstLineChars="200"/>
              <w:rPr>
                <w:rFonts w:hint="eastAsia"/>
                <w:bCs/>
                <w:color w:val="000000" w:themeColor="text1"/>
                <w:sz w:val="24"/>
                <w:szCs w:val="32"/>
                <w:highlight w:val="none"/>
                <w14:textFill>
                  <w14:solidFill>
                    <w14:schemeClr w14:val="tx1"/>
                  </w14:solidFill>
                </w14:textFill>
              </w:rPr>
            </w:pPr>
            <w:r>
              <w:rPr>
                <w:rFonts w:hint="eastAsia"/>
                <w:bCs/>
                <w:color w:val="000000" w:themeColor="text1"/>
                <w:sz w:val="24"/>
                <w:szCs w:val="32"/>
                <w:highlight w:val="none"/>
                <w14:textFill>
                  <w14:solidFill>
                    <w14:schemeClr w14:val="tx1"/>
                  </w14:solidFill>
                </w14:textFill>
              </w:rPr>
              <w:t>本项目大气污染物主要为氟化物、NO</w:t>
            </w:r>
            <w:r>
              <w:rPr>
                <w:rFonts w:hint="eastAsia"/>
                <w:bCs/>
                <w:color w:val="000000" w:themeColor="text1"/>
                <w:sz w:val="24"/>
                <w:szCs w:val="32"/>
                <w:highlight w:val="none"/>
                <w:lang w:val="en-US" w:eastAsia="zh-CN"/>
                <w14:textFill>
                  <w14:solidFill>
                    <w14:schemeClr w14:val="tx1"/>
                  </w14:solidFill>
                </w14:textFill>
              </w:rPr>
              <w:t>x</w:t>
            </w:r>
            <w:r>
              <w:rPr>
                <w:rFonts w:hint="eastAsia"/>
                <w:bCs/>
                <w:color w:val="000000" w:themeColor="text1"/>
                <w:sz w:val="24"/>
                <w:szCs w:val="32"/>
                <w:highlight w:val="none"/>
                <w14:textFill>
                  <w14:solidFill>
                    <w14:schemeClr w14:val="tx1"/>
                  </w14:solidFill>
                </w14:textFill>
              </w:rPr>
              <w:t>、HCl、硫酸雾、非甲烷总烃</w:t>
            </w:r>
            <w:r>
              <w:rPr>
                <w:rFonts w:hint="eastAsia"/>
                <w:bCs/>
                <w:color w:val="000000" w:themeColor="text1"/>
                <w:sz w:val="24"/>
                <w:szCs w:val="32"/>
                <w:highlight w:val="none"/>
                <w:lang w:val="en-US" w:eastAsia="zh-CN"/>
                <w14:textFill>
                  <w14:solidFill>
                    <w14:schemeClr w14:val="tx1"/>
                  </w14:solidFill>
                </w14:textFill>
              </w:rPr>
              <w:t>等</w:t>
            </w:r>
            <w:r>
              <w:rPr>
                <w:rFonts w:hint="eastAsia"/>
                <w:bCs/>
                <w:color w:val="000000" w:themeColor="text1"/>
                <w:sz w:val="24"/>
                <w:szCs w:val="32"/>
                <w:highlight w:val="none"/>
                <w14:textFill>
                  <w14:solidFill>
                    <w14:schemeClr w14:val="tx1"/>
                  </w14:solidFill>
                </w14:textFill>
              </w:rPr>
              <w:t>，其中NO</w:t>
            </w:r>
            <w:r>
              <w:rPr>
                <w:rFonts w:hint="eastAsia"/>
                <w:bCs/>
                <w:color w:val="000000" w:themeColor="text1"/>
                <w:sz w:val="24"/>
                <w:szCs w:val="32"/>
                <w:highlight w:val="none"/>
                <w:lang w:val="en-US" w:eastAsia="zh-CN"/>
                <w14:textFill>
                  <w14:solidFill>
                    <w14:schemeClr w14:val="tx1"/>
                  </w14:solidFill>
                </w14:textFill>
              </w:rPr>
              <w:t>x</w:t>
            </w:r>
            <w:r>
              <w:rPr>
                <w:rFonts w:hint="eastAsia"/>
                <w:bCs/>
                <w:color w:val="000000" w:themeColor="text1"/>
                <w:sz w:val="24"/>
                <w:szCs w:val="32"/>
                <w:highlight w:val="none"/>
                <w14:textFill>
                  <w14:solidFill>
                    <w14:schemeClr w14:val="tx1"/>
                  </w14:solidFill>
                </w14:textFill>
              </w:rPr>
              <w:t>、非甲烷总烃（VOCs）施行总量控制</w:t>
            </w:r>
            <w:r>
              <w:rPr>
                <w:rFonts w:hint="eastAsia"/>
                <w:bCs/>
                <w:color w:val="000000" w:themeColor="text1"/>
                <w:sz w:val="24"/>
                <w:szCs w:val="32"/>
                <w:highlight w:val="none"/>
                <w:lang w:eastAsia="zh-CN"/>
                <w14:textFill>
                  <w14:solidFill>
                    <w14:schemeClr w14:val="tx1"/>
                  </w14:solidFill>
                </w14:textFill>
              </w:rPr>
              <w:t>。</w:t>
            </w:r>
            <w:r>
              <w:rPr>
                <w:rFonts w:hint="eastAsia"/>
                <w:bCs/>
                <w:color w:val="000000" w:themeColor="text1"/>
                <w:sz w:val="24"/>
                <w:szCs w:val="32"/>
                <w:highlight w:val="none"/>
                <w14:textFill>
                  <w14:solidFill>
                    <w14:schemeClr w14:val="tx1"/>
                  </w14:solidFill>
                </w14:textFill>
              </w:rPr>
              <w:t>项目排放的废气污染物非甲烷总烃不属于国家及福州市排污权交易指标，其污染物排放总量属于企业自控考核指标，以达标排放为控制标准，作为建设单位后期向生态环境主管部门申请总量的考核依据。本项目新增非甲烷总烃排放共</w:t>
            </w:r>
            <w:r>
              <w:rPr>
                <w:rFonts w:hint="eastAsia"/>
                <w:bCs/>
                <w:color w:val="000000" w:themeColor="text1"/>
                <w:sz w:val="24"/>
                <w:szCs w:val="32"/>
                <w:highlight w:val="none"/>
                <w:lang w:val="en-US" w:eastAsia="zh-CN"/>
                <w14:textFill>
                  <w14:solidFill>
                    <w14:schemeClr w14:val="tx1"/>
                  </w14:solidFill>
                </w14:textFill>
              </w:rPr>
              <w:t>1.6273</w:t>
            </w:r>
            <w:r>
              <w:rPr>
                <w:rFonts w:hint="eastAsia"/>
                <w:bCs/>
                <w:color w:val="000000" w:themeColor="text1"/>
                <w:sz w:val="24"/>
                <w:szCs w:val="32"/>
                <w:highlight w:val="none"/>
                <w14:textFill>
                  <w14:solidFill>
                    <w14:schemeClr w14:val="tx1"/>
                  </w14:solidFill>
                </w14:textFill>
              </w:rPr>
              <w:t>t/a，需从当地环保局倍量调剂获得，废气污染物排放总量见下表。</w:t>
            </w:r>
          </w:p>
          <w:p w14:paraId="0142B8B7">
            <w:pPr>
              <w:pStyle w:val="69"/>
              <w:spacing w:line="360" w:lineRule="auto"/>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w:t>
            </w:r>
            <w:r>
              <w:rPr>
                <w:rFonts w:hint="eastAsia" w:eastAsia="宋体" w:cs="宋体"/>
                <w:b/>
                <w:color w:val="000000" w:themeColor="text1"/>
                <w:kern w:val="2"/>
                <w:sz w:val="24"/>
                <w:szCs w:val="24"/>
                <w:highlight w:val="none"/>
                <w:lang w:val="en-US" w:eastAsia="zh-CN" w:bidi="ar-SA"/>
                <w14:textFill>
                  <w14:solidFill>
                    <w14:schemeClr w14:val="tx1"/>
                  </w14:solidFill>
                </w14:textFill>
              </w:rPr>
              <w:t xml:space="preserve">3.11-2  </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项目</w:t>
            </w:r>
            <w:r>
              <w:rPr>
                <w:rFonts w:hint="eastAsia" w:eastAsia="宋体" w:cs="宋体"/>
                <w:b/>
                <w:color w:val="000000" w:themeColor="text1"/>
                <w:kern w:val="2"/>
                <w:sz w:val="24"/>
                <w:szCs w:val="24"/>
                <w:highlight w:val="none"/>
                <w:lang w:val="en-US" w:eastAsia="zh-CN" w:bidi="ar-SA"/>
                <w14:textFill>
                  <w14:solidFill>
                    <w14:schemeClr w14:val="tx1"/>
                  </w14:solidFill>
                </w14:textFill>
              </w:rPr>
              <w:t>废气</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污染物排放总量指标</w:t>
            </w:r>
            <w:r>
              <w:rPr>
                <w:rFonts w:hint="eastAsia" w:eastAsia="宋体" w:cs="宋体"/>
                <w:b/>
                <w:color w:val="000000" w:themeColor="text1"/>
                <w:kern w:val="2"/>
                <w:sz w:val="24"/>
                <w:szCs w:val="24"/>
                <w:highlight w:val="none"/>
                <w:lang w:val="en-US" w:eastAsia="zh-CN" w:bidi="ar-SA"/>
                <w14:textFill>
                  <w14:solidFill>
                    <w14:schemeClr w14:val="tx1"/>
                  </w14:solidFill>
                </w14:textFill>
              </w:rPr>
              <w:t xml:space="preserve"> 单位：t/a</w:t>
            </w:r>
          </w:p>
          <w:tbl>
            <w:tblPr>
              <w:tblStyle w:val="30"/>
              <w:tblW w:w="5000" w:type="pct"/>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48"/>
              <w:gridCol w:w="2277"/>
              <w:gridCol w:w="2277"/>
              <w:gridCol w:w="2278"/>
            </w:tblGrid>
            <w:tr w14:paraId="3F997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548" w:type="dxa"/>
                  <w:tcBorders>
                    <w:tl2br w:val="nil"/>
                    <w:tr2bl w:val="nil"/>
                  </w:tcBorders>
                  <w:shd w:val="clear" w:color="auto" w:fill="auto"/>
                  <w:vAlign w:val="center"/>
                </w:tcPr>
                <w:p w14:paraId="29907B14">
                  <w:pPr>
                    <w:keepNext w:val="0"/>
                    <w:keepLines w:val="0"/>
                    <w:widowControl/>
                    <w:suppressLineNumbers w:val="0"/>
                    <w:jc w:val="center"/>
                    <w:textAlignment w:val="top"/>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污染物</w:t>
                  </w:r>
                </w:p>
              </w:tc>
              <w:tc>
                <w:tcPr>
                  <w:tcW w:w="2277" w:type="dxa"/>
                  <w:tcBorders>
                    <w:tl2br w:val="nil"/>
                    <w:tr2bl w:val="nil"/>
                  </w:tcBorders>
                  <w:shd w:val="clear" w:color="auto" w:fill="auto"/>
                  <w:vAlign w:val="center"/>
                </w:tcPr>
                <w:p w14:paraId="4A0A99C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现有工程</w:t>
                  </w:r>
                </w:p>
              </w:tc>
              <w:tc>
                <w:tcPr>
                  <w:tcW w:w="2277" w:type="dxa"/>
                  <w:tcBorders>
                    <w:tl2br w:val="nil"/>
                    <w:tr2bl w:val="nil"/>
                  </w:tcBorders>
                  <w:shd w:val="clear" w:color="auto" w:fill="auto"/>
                  <w:vAlign w:val="center"/>
                </w:tcPr>
                <w:p w14:paraId="7391667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本项目</w:t>
                  </w:r>
                </w:p>
              </w:tc>
              <w:tc>
                <w:tcPr>
                  <w:tcW w:w="2278" w:type="dxa"/>
                  <w:tcBorders>
                    <w:tl2br w:val="nil"/>
                    <w:tr2bl w:val="nil"/>
                  </w:tcBorders>
                  <w:shd w:val="clear" w:color="auto" w:fill="auto"/>
                  <w:vAlign w:val="center"/>
                </w:tcPr>
                <w:p w14:paraId="2045934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扩建后全厂</w:t>
                  </w:r>
                </w:p>
              </w:tc>
            </w:tr>
            <w:tr w14:paraId="264AC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48" w:type="dxa"/>
                  <w:tcBorders>
                    <w:tl2br w:val="nil"/>
                    <w:tr2bl w:val="nil"/>
                  </w:tcBorders>
                  <w:shd w:val="clear" w:color="auto" w:fill="auto"/>
                  <w:vAlign w:val="center"/>
                </w:tcPr>
                <w:p w14:paraId="5BC7C1DC">
                  <w:pPr>
                    <w:keepNext w:val="0"/>
                    <w:keepLines w:val="0"/>
                    <w:widowControl/>
                    <w:suppressLineNumbers w:val="0"/>
                    <w:jc w:val="center"/>
                    <w:textAlignment w:val="top"/>
                    <w:rPr>
                      <w:rFonts w:hint="eastAsia"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NOx</w:t>
                  </w:r>
                </w:p>
              </w:tc>
              <w:tc>
                <w:tcPr>
                  <w:tcW w:w="2277" w:type="dxa"/>
                  <w:tcBorders>
                    <w:tl2br w:val="nil"/>
                    <w:tr2bl w:val="nil"/>
                  </w:tcBorders>
                  <w:shd w:val="clear" w:color="auto" w:fill="auto"/>
                  <w:vAlign w:val="center"/>
                </w:tcPr>
                <w:p w14:paraId="7677A302">
                  <w:pPr>
                    <w:keepNext w:val="0"/>
                    <w:keepLines w:val="0"/>
                    <w:widowControl/>
                    <w:suppressLineNumbers w:val="0"/>
                    <w:jc w:val="center"/>
                    <w:textAlignment w:val="top"/>
                    <w:rPr>
                      <w:rFonts w:hint="eastAsia"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w:t>
                  </w:r>
                </w:p>
              </w:tc>
              <w:tc>
                <w:tcPr>
                  <w:tcW w:w="2277" w:type="dxa"/>
                  <w:tcBorders>
                    <w:tl2br w:val="nil"/>
                    <w:tr2bl w:val="nil"/>
                  </w:tcBorders>
                  <w:shd w:val="clear" w:color="auto" w:fill="auto"/>
                  <w:vAlign w:val="center"/>
                </w:tcPr>
                <w:p w14:paraId="5422C262">
                  <w:pPr>
                    <w:keepNext w:val="0"/>
                    <w:keepLines w:val="0"/>
                    <w:widowControl/>
                    <w:suppressLineNumbers w:val="0"/>
                    <w:jc w:val="center"/>
                    <w:textAlignment w:val="top"/>
                    <w:rPr>
                      <w:rFonts w:hint="default"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0.0001</w:t>
                  </w:r>
                </w:p>
              </w:tc>
              <w:tc>
                <w:tcPr>
                  <w:tcW w:w="2278" w:type="dxa"/>
                  <w:tcBorders>
                    <w:tl2br w:val="nil"/>
                    <w:tr2bl w:val="nil"/>
                  </w:tcBorders>
                  <w:shd w:val="clear" w:color="auto" w:fill="auto"/>
                  <w:vAlign w:val="center"/>
                </w:tcPr>
                <w:p w14:paraId="7A2D4892">
                  <w:pPr>
                    <w:keepNext w:val="0"/>
                    <w:keepLines w:val="0"/>
                    <w:widowControl/>
                    <w:suppressLineNumbers w:val="0"/>
                    <w:jc w:val="center"/>
                    <w:textAlignment w:val="top"/>
                    <w:rPr>
                      <w:rFonts w:hint="eastAsia"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0.0001</w:t>
                  </w:r>
                </w:p>
              </w:tc>
            </w:tr>
            <w:tr w14:paraId="03FB7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48" w:type="dxa"/>
                  <w:tcBorders>
                    <w:tl2br w:val="nil"/>
                    <w:tr2bl w:val="nil"/>
                  </w:tcBorders>
                  <w:shd w:val="clear" w:color="auto" w:fill="auto"/>
                  <w:vAlign w:val="center"/>
                </w:tcPr>
                <w:p w14:paraId="2AE34508">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NMHC</w:t>
                  </w:r>
                </w:p>
              </w:tc>
              <w:tc>
                <w:tcPr>
                  <w:tcW w:w="2277" w:type="dxa"/>
                  <w:tcBorders>
                    <w:tl2br w:val="nil"/>
                    <w:tr2bl w:val="nil"/>
                  </w:tcBorders>
                  <w:shd w:val="clear" w:color="auto" w:fill="auto"/>
                  <w:vAlign w:val="center"/>
                </w:tcPr>
                <w:p w14:paraId="118FC83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0.3322</w:t>
                  </w:r>
                </w:p>
              </w:tc>
              <w:tc>
                <w:tcPr>
                  <w:tcW w:w="2277" w:type="dxa"/>
                  <w:tcBorders>
                    <w:tl2br w:val="nil"/>
                    <w:tr2bl w:val="nil"/>
                  </w:tcBorders>
                  <w:shd w:val="clear" w:color="auto" w:fill="auto"/>
                  <w:vAlign w:val="center"/>
                </w:tcPr>
                <w:p w14:paraId="36B798B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1.6273</w:t>
                  </w:r>
                </w:p>
              </w:tc>
              <w:tc>
                <w:tcPr>
                  <w:tcW w:w="2278" w:type="dxa"/>
                  <w:tcBorders>
                    <w:tl2br w:val="nil"/>
                    <w:tr2bl w:val="nil"/>
                  </w:tcBorders>
                  <w:shd w:val="clear" w:color="auto" w:fill="auto"/>
                  <w:vAlign w:val="center"/>
                </w:tcPr>
                <w:p w14:paraId="6A0D296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1.9595</w:t>
                  </w:r>
                </w:p>
              </w:tc>
            </w:tr>
          </w:tbl>
          <w:p w14:paraId="47031774">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r>
              <w:rPr>
                <w:rFonts w:hint="eastAsia"/>
                <w:bCs/>
                <w:color w:val="000000" w:themeColor="text1"/>
                <w:sz w:val="24"/>
                <w:szCs w:val="32"/>
                <w:highlight w:val="none"/>
                <w:lang w:eastAsia="zh-CN"/>
                <w14:textFill>
                  <w14:solidFill>
                    <w14:schemeClr w14:val="tx1"/>
                  </w14:solidFill>
                </w14:textFill>
              </w:rPr>
              <w:t>根据报告分析可知，本项目新增VOCs(以非甲烷总烃计)的排放总量为</w:t>
            </w:r>
            <w:r>
              <w:rPr>
                <w:rFonts w:hint="eastAsia"/>
                <w:bCs/>
                <w:color w:val="000000" w:themeColor="text1"/>
                <w:sz w:val="24"/>
                <w:szCs w:val="32"/>
                <w:highlight w:val="none"/>
                <w:lang w:val="en-US" w:eastAsia="zh-CN"/>
                <w14:textFill>
                  <w14:solidFill>
                    <w14:schemeClr w14:val="tx1"/>
                  </w14:solidFill>
                </w14:textFill>
              </w:rPr>
              <w:t>1.6273</w:t>
            </w:r>
            <w:r>
              <w:rPr>
                <w:rFonts w:hint="eastAsia"/>
                <w:bCs/>
                <w:color w:val="000000" w:themeColor="text1"/>
                <w:sz w:val="24"/>
                <w:szCs w:val="32"/>
                <w:highlight w:val="none"/>
                <w:lang w:eastAsia="zh-CN"/>
                <w14:textFill>
                  <w14:solidFill>
                    <w14:schemeClr w14:val="tx1"/>
                  </w14:solidFill>
                </w14:textFill>
              </w:rPr>
              <w:t>t/a，由建设单位向生态环境主管部门申请倍量调剂获得。</w:t>
            </w:r>
          </w:p>
          <w:p w14:paraId="5C221BBC">
            <w:pPr>
              <w:spacing w:line="360" w:lineRule="auto"/>
              <w:ind w:firstLine="480" w:firstLineChars="200"/>
              <w:rPr>
                <w:rFonts w:hint="default"/>
                <w:bCs/>
                <w:color w:val="000000" w:themeColor="text1"/>
                <w:sz w:val="24"/>
                <w:szCs w:val="32"/>
                <w:highlight w:val="none"/>
                <w:lang w:val="en-US" w:eastAsia="zh-CN"/>
                <w14:textFill>
                  <w14:solidFill>
                    <w14:schemeClr w14:val="tx1"/>
                  </w14:solidFill>
                </w14:textFill>
              </w:rPr>
            </w:pPr>
            <w:r>
              <w:rPr>
                <w:rFonts w:hint="eastAsia"/>
                <w:bCs/>
                <w:color w:val="000000" w:themeColor="text1"/>
                <w:sz w:val="24"/>
                <w:szCs w:val="32"/>
                <w:highlight w:val="none"/>
                <w:lang w:eastAsia="zh-CN"/>
                <w14:textFill>
                  <w14:solidFill>
                    <w14:schemeClr w14:val="tx1"/>
                  </w14:solidFill>
                </w14:textFill>
              </w:rPr>
              <w:t>本次项目新增的NO</w:t>
            </w:r>
            <w:r>
              <w:rPr>
                <w:rFonts w:hint="eastAsia"/>
                <w:bCs/>
                <w:color w:val="000000" w:themeColor="text1"/>
                <w:sz w:val="24"/>
                <w:szCs w:val="32"/>
                <w:highlight w:val="none"/>
                <w:lang w:val="en-US" w:eastAsia="zh-CN"/>
                <w14:textFill>
                  <w14:solidFill>
                    <w14:schemeClr w14:val="tx1"/>
                  </w14:solidFill>
                </w14:textFill>
              </w:rPr>
              <w:t>x</w:t>
            </w:r>
            <w:r>
              <w:rPr>
                <w:rFonts w:hint="eastAsia"/>
                <w:bCs/>
                <w:color w:val="000000" w:themeColor="text1"/>
                <w:sz w:val="24"/>
                <w:szCs w:val="32"/>
                <w:highlight w:val="none"/>
                <w:lang w:eastAsia="zh-CN"/>
                <w14:textFill>
                  <w14:solidFill>
                    <w14:schemeClr w14:val="tx1"/>
                  </w14:solidFill>
                </w14:textFill>
              </w:rPr>
              <w:t>排放量</w:t>
            </w:r>
            <w:r>
              <w:rPr>
                <w:rFonts w:hint="eastAsia"/>
                <w:bCs/>
                <w:color w:val="000000" w:themeColor="text1"/>
                <w:sz w:val="24"/>
                <w:szCs w:val="32"/>
                <w:highlight w:val="none"/>
                <w:lang w:val="en-US" w:eastAsia="zh-CN"/>
                <w14:textFill>
                  <w14:solidFill>
                    <w14:schemeClr w14:val="tx1"/>
                  </w14:solidFill>
                </w14:textFill>
              </w:rPr>
              <w:t>0.0001</w:t>
            </w:r>
            <w:r>
              <w:rPr>
                <w:rFonts w:hint="eastAsia"/>
                <w:bCs/>
                <w:color w:val="000000" w:themeColor="text1"/>
                <w:sz w:val="24"/>
                <w:szCs w:val="32"/>
                <w:highlight w:val="none"/>
                <w:lang w:eastAsia="zh-CN"/>
                <w14:textFill>
                  <w14:solidFill>
                    <w14:schemeClr w14:val="tx1"/>
                  </w14:solidFill>
                </w14:textFill>
              </w:rPr>
              <w:t>t/a。根据《福州市生态环境局关于落实“奋勇争先”行动进一步服务和促进民营经济高质量发展的通知》（榕环保综〔20</w:t>
            </w:r>
            <w:r>
              <w:rPr>
                <w:rFonts w:hint="eastAsia"/>
                <w:bCs/>
                <w:color w:val="000000" w:themeColor="text1"/>
                <w:sz w:val="24"/>
                <w:szCs w:val="32"/>
                <w:highlight w:val="none"/>
                <w:lang w:val="en-US" w:eastAsia="zh-CN"/>
                <w14:textFill>
                  <w14:solidFill>
                    <w14:schemeClr w14:val="tx1"/>
                  </w14:solidFill>
                </w14:textFill>
              </w:rPr>
              <w:t>25</w:t>
            </w:r>
            <w:r>
              <w:rPr>
                <w:rFonts w:hint="eastAsia"/>
                <w:bCs/>
                <w:color w:val="000000" w:themeColor="text1"/>
                <w:sz w:val="24"/>
                <w:szCs w:val="32"/>
                <w:highlight w:val="none"/>
                <w:lang w:eastAsia="zh-CN"/>
                <w14:textFill>
                  <w14:solidFill>
                    <w14:schemeClr w14:val="tx1"/>
                  </w14:solidFill>
                </w14:textFill>
              </w:rPr>
              <w:t>〕47号）文件，“对于氮氧化物新增年排放量小于0.1吨的建设项目，豁免购买排污权交易指标，无需提交总量来源说明”。</w:t>
            </w:r>
            <w:r>
              <w:rPr>
                <w:rFonts w:hint="eastAsia"/>
                <w:bCs/>
                <w:color w:val="000000" w:themeColor="text1"/>
                <w:sz w:val="24"/>
                <w:szCs w:val="32"/>
                <w:highlight w:val="none"/>
                <w:lang w:val="en-US" w:eastAsia="zh-CN"/>
                <w14:textFill>
                  <w14:solidFill>
                    <w14:schemeClr w14:val="tx1"/>
                  </w14:solidFill>
                </w14:textFill>
              </w:rPr>
              <w:t>因此本项目新增的</w:t>
            </w:r>
            <w:r>
              <w:rPr>
                <w:rFonts w:hint="eastAsia"/>
                <w:bCs/>
                <w:color w:val="000000" w:themeColor="text1"/>
                <w:sz w:val="24"/>
                <w:szCs w:val="32"/>
                <w:highlight w:val="none"/>
                <w:lang w:eastAsia="zh-CN"/>
                <w14:textFill>
                  <w14:solidFill>
                    <w14:schemeClr w14:val="tx1"/>
                  </w14:solidFill>
                </w14:textFill>
              </w:rPr>
              <w:t>NO</w:t>
            </w:r>
            <w:r>
              <w:rPr>
                <w:rFonts w:hint="eastAsia"/>
                <w:bCs/>
                <w:color w:val="000000" w:themeColor="text1"/>
                <w:sz w:val="24"/>
                <w:szCs w:val="32"/>
                <w:highlight w:val="none"/>
                <w:lang w:val="en-US" w:eastAsia="zh-CN"/>
                <w14:textFill>
                  <w14:solidFill>
                    <w14:schemeClr w14:val="tx1"/>
                  </w14:solidFill>
                </w14:textFill>
              </w:rPr>
              <w:t>x</w:t>
            </w:r>
            <w:r>
              <w:rPr>
                <w:rFonts w:hint="eastAsia"/>
                <w:bCs/>
                <w:color w:val="000000" w:themeColor="text1"/>
                <w:sz w:val="24"/>
                <w:szCs w:val="32"/>
                <w:highlight w:val="none"/>
                <w:lang w:eastAsia="zh-CN"/>
                <w14:textFill>
                  <w14:solidFill>
                    <w14:schemeClr w14:val="tx1"/>
                  </w14:solidFill>
                </w14:textFill>
              </w:rPr>
              <w:t>排放量豁免购买排污权交易指标，无需提交总量来源说明。</w:t>
            </w:r>
          </w:p>
          <w:p w14:paraId="696CB5CD">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56EFA1BF">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67D630E5">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5594D983">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10C658F0">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21769987">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327AC0B0">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67780263">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52A093B1">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21C09CC4">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38E14968">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2CEC2F12">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6754378B">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p w14:paraId="15E675B8">
            <w:pPr>
              <w:spacing w:line="360" w:lineRule="auto"/>
              <w:ind w:firstLine="480" w:firstLineChars="200"/>
              <w:rPr>
                <w:rFonts w:hint="eastAsia"/>
                <w:bCs/>
                <w:color w:val="000000" w:themeColor="text1"/>
                <w:sz w:val="24"/>
                <w:szCs w:val="32"/>
                <w:highlight w:val="none"/>
                <w:lang w:eastAsia="zh-CN"/>
                <w14:textFill>
                  <w14:solidFill>
                    <w14:schemeClr w14:val="tx1"/>
                  </w14:solidFill>
                </w14:textFill>
              </w:rPr>
            </w:pPr>
          </w:p>
        </w:tc>
      </w:tr>
    </w:tbl>
    <w:p w14:paraId="683BD9F0">
      <w:pPr>
        <w:pStyle w:val="26"/>
        <w:widowControl w:val="0"/>
        <w:spacing w:before="0" w:beforeAutospacing="0" w:after="0" w:afterAutospacing="0" w:line="360" w:lineRule="auto"/>
        <w:jc w:val="both"/>
        <w:rPr>
          <w:rFonts w:ascii="Times New Roman" w:hAnsi="Times New Roman"/>
          <w:color w:val="000000" w:themeColor="text1"/>
          <w:kern w:val="2"/>
          <w:szCs w:val="36"/>
          <w:highlight w:val="none"/>
          <w14:textFill>
            <w14:solidFill>
              <w14:schemeClr w14:val="tx1"/>
            </w14:solidFill>
          </w14:textFill>
        </w:rPr>
      </w:pPr>
    </w:p>
    <w:p w14:paraId="5FDEAB55">
      <w:pPr>
        <w:pStyle w:val="26"/>
        <w:widowControl w:val="0"/>
        <w:spacing w:before="0" w:beforeAutospacing="0" w:after="0" w:afterAutospacing="0" w:line="360" w:lineRule="auto"/>
        <w:ind w:firstLine="480" w:firstLineChars="200"/>
        <w:jc w:val="both"/>
        <w:rPr>
          <w:rFonts w:ascii="Times New Roman" w:hAnsi="Times New Roman"/>
          <w:color w:val="000000" w:themeColor="text1"/>
          <w:kern w:val="2"/>
          <w:szCs w:val="36"/>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C3AFB97">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12" w:name="_Toc5854"/>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bookmarkEnd w:id="1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5"/>
        <w:gridCol w:w="8346"/>
      </w:tblGrid>
      <w:tr w14:paraId="38F63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635" w:type="dxa"/>
            <w:tcMar>
              <w:left w:w="28" w:type="dxa"/>
              <w:right w:w="28" w:type="dxa"/>
            </w:tcMar>
            <w:vAlign w:val="center"/>
          </w:tcPr>
          <w:p w14:paraId="6DD29A42">
            <w:pPr>
              <w:pStyle w:val="26"/>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施工</w:t>
            </w:r>
          </w:p>
          <w:p w14:paraId="4374BDFA">
            <w:pPr>
              <w:pStyle w:val="26"/>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期环</w:t>
            </w:r>
          </w:p>
          <w:p w14:paraId="70A8FE27">
            <w:pPr>
              <w:pStyle w:val="26"/>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境保</w:t>
            </w:r>
          </w:p>
          <w:p w14:paraId="1E2B124F">
            <w:pPr>
              <w:pStyle w:val="26"/>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护措</w:t>
            </w:r>
          </w:p>
          <w:p w14:paraId="756A2927">
            <w:pPr>
              <w:pStyle w:val="26"/>
              <w:adjustRightInd w:val="0"/>
              <w:snapToGrid w:val="0"/>
              <w:spacing w:before="0" w:beforeAutospacing="0" w:after="0" w:afterAutospacing="0"/>
              <w:jc w:val="center"/>
              <w:rPr>
                <w:rFonts w:cs="宋体"/>
                <w:bCs/>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施</w:t>
            </w:r>
          </w:p>
        </w:tc>
        <w:tc>
          <w:tcPr>
            <w:tcW w:w="8346" w:type="dxa"/>
            <w:vAlign w:val="center"/>
          </w:tcPr>
          <w:p w14:paraId="1B86A4EF">
            <w:pPr>
              <w:pStyle w:val="26"/>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jc w:val="both"/>
              <w:textAlignment w:val="auto"/>
              <w:rPr>
                <w:rFonts w:hint="default" w:eastAsia="宋体" w:cs="宋体"/>
                <w:color w:val="000000" w:themeColor="text1"/>
                <w:sz w:val="24"/>
                <w:highlight w:val="none"/>
                <w:lang w:val="en-US" w:eastAsia="zh-CN"/>
                <w14:textFill>
                  <w14:solidFill>
                    <w14:schemeClr w14:val="tx1"/>
                  </w14:solidFill>
                </w14:textFill>
              </w:rPr>
            </w:pPr>
            <w:r>
              <w:rPr>
                <w:rFonts w:hint="eastAsia" w:ascii="Times New Roman" w:hAnsi="Times New Roman" w:cs="宋体"/>
                <w:color w:val="000000" w:themeColor="text1"/>
                <w:kern w:val="2"/>
                <w:sz w:val="24"/>
                <w:szCs w:val="24"/>
                <w:highlight w:val="none"/>
                <w14:textFill>
                  <w14:solidFill>
                    <w14:schemeClr w14:val="tx1"/>
                  </w14:solidFill>
                </w14:textFill>
              </w:rPr>
              <w:t>本项目厂址位于福州市高新区南屿镇窗厦村尧溪路3号2#厂房2层，根据现场勘查，该厂房主体结构已经建成，因此不存在厂房等主体工程施工期环境影响。项目施工期主要为厂房内部装修、设备安装、调试阶段产生的环境问题，本项目设备安装、调试简单，且时间较短，因此，随着设备安装、调试完毕后，项目施工期也将结束，施工期环境影响也</w:t>
            </w:r>
            <w:r>
              <w:rPr>
                <w:rFonts w:hint="eastAsia" w:ascii="Times New Roman" w:hAnsi="Times New Roman" w:cs="宋体"/>
                <w:color w:val="000000" w:themeColor="text1"/>
                <w:kern w:val="2"/>
                <w:sz w:val="24"/>
                <w:szCs w:val="24"/>
                <w:highlight w:val="none"/>
                <w:lang w:eastAsia="zh-CN"/>
                <w14:textFill>
                  <w14:solidFill>
                    <w14:schemeClr w14:val="tx1"/>
                  </w14:solidFill>
                </w14:textFill>
              </w:rPr>
              <w:t>随之</w:t>
            </w:r>
            <w:r>
              <w:rPr>
                <w:rFonts w:hint="eastAsia" w:ascii="Times New Roman" w:hAnsi="Times New Roman" w:cs="宋体"/>
                <w:color w:val="000000" w:themeColor="text1"/>
                <w:kern w:val="2"/>
                <w:sz w:val="24"/>
                <w:szCs w:val="24"/>
                <w:highlight w:val="none"/>
                <w14:textFill>
                  <w14:solidFill>
                    <w14:schemeClr w14:val="tx1"/>
                  </w14:solidFill>
                </w14:textFill>
              </w:rPr>
              <w:t>消失，不会对周边环境</w:t>
            </w:r>
            <w:r>
              <w:rPr>
                <w:rFonts w:hint="eastAsia" w:ascii="Times New Roman" w:hAnsi="Times New Roman" w:cs="宋体"/>
                <w:color w:val="000000" w:themeColor="text1"/>
                <w:kern w:val="2"/>
                <w:sz w:val="24"/>
                <w:szCs w:val="24"/>
                <w:highlight w:val="none"/>
                <w:lang w:val="en-US" w:eastAsia="zh-CN"/>
                <w14:textFill>
                  <w14:solidFill>
                    <w14:schemeClr w14:val="tx1"/>
                  </w14:solidFill>
                </w14:textFill>
              </w:rPr>
              <w:t>造成</w:t>
            </w:r>
            <w:r>
              <w:rPr>
                <w:rFonts w:hint="eastAsia" w:ascii="Times New Roman" w:hAnsi="Times New Roman" w:cs="宋体"/>
                <w:color w:val="000000" w:themeColor="text1"/>
                <w:kern w:val="2"/>
                <w:sz w:val="24"/>
                <w:szCs w:val="24"/>
                <w:highlight w:val="none"/>
                <w14:textFill>
                  <w14:solidFill>
                    <w14:schemeClr w14:val="tx1"/>
                  </w14:solidFill>
                </w14:textFill>
              </w:rPr>
              <w:t>影响。</w:t>
            </w:r>
          </w:p>
        </w:tc>
      </w:tr>
      <w:tr w14:paraId="5EB67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35" w:type="dxa"/>
            <w:tcMar>
              <w:left w:w="28" w:type="dxa"/>
              <w:right w:w="28" w:type="dxa"/>
            </w:tcMar>
            <w:vAlign w:val="center"/>
          </w:tcPr>
          <w:p w14:paraId="4D60A2FB">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运营期环境影响和保护措施</w:t>
            </w:r>
          </w:p>
        </w:tc>
        <w:tc>
          <w:tcPr>
            <w:tcW w:w="8346" w:type="dxa"/>
            <w:vAlign w:val="center"/>
          </w:tcPr>
          <w:p w14:paraId="5F1F693B">
            <w:pPr>
              <w:pStyle w:val="37"/>
              <w:rPr>
                <w:color w:val="000000" w:themeColor="text1"/>
                <w:sz w:val="24"/>
                <w:szCs w:val="21"/>
                <w:highlight w:val="none"/>
                <w14:textFill>
                  <w14:solidFill>
                    <w14:schemeClr w14:val="tx1"/>
                  </w14:solidFill>
                </w14:textFill>
              </w:rPr>
            </w:pPr>
            <w:r>
              <w:rPr>
                <w:rFonts w:hint="eastAsia"/>
                <w:color w:val="000000" w:themeColor="text1"/>
                <w:sz w:val="24"/>
                <w:szCs w:val="21"/>
                <w:highlight w:val="none"/>
                <w14:textFill>
                  <w14:solidFill>
                    <w14:schemeClr w14:val="tx1"/>
                  </w14:solidFill>
                </w14:textFill>
              </w:rPr>
              <w:t>4.1 运营期大气环境影响分析和污染防治措施</w:t>
            </w:r>
          </w:p>
          <w:p w14:paraId="6CE5342E">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4.1.1废气源强核算</w:t>
            </w:r>
          </w:p>
          <w:p w14:paraId="7DEB2359">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一</w:t>
            </w:r>
            <w:r>
              <w:rPr>
                <w:rFonts w:hint="eastAsia" w:cs="宋体"/>
                <w:color w:val="000000" w:themeColor="text1"/>
                <w:sz w:val="24"/>
                <w:szCs w:val="32"/>
                <w:highlight w:val="none"/>
                <w14:textFill>
                  <w14:solidFill>
                    <w14:schemeClr w14:val="tx1"/>
                  </w14:solidFill>
                </w14:textFill>
              </w:rPr>
              <w:t>）粉尘废气</w:t>
            </w:r>
          </w:p>
          <w:p w14:paraId="700268C9">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项目拟在</w:t>
            </w:r>
            <w:r>
              <w:rPr>
                <w:rFonts w:hint="eastAsia" w:cs="宋体"/>
                <w:color w:val="000000" w:themeColor="text1"/>
                <w:sz w:val="24"/>
                <w:szCs w:val="32"/>
                <w:highlight w:val="none"/>
                <w:lang w:val="en-US" w:eastAsia="zh-CN"/>
                <w14:textFill>
                  <w14:solidFill>
                    <w14:schemeClr w14:val="tx1"/>
                  </w14:solidFill>
                </w14:textFill>
              </w:rPr>
              <w:t>细磨、抛光、切割环节会产生粉尘废气。</w:t>
            </w:r>
            <w:r>
              <w:rPr>
                <w:rFonts w:hint="eastAsia" w:cs="宋体"/>
                <w:color w:val="000000" w:themeColor="text1"/>
                <w:sz w:val="24"/>
                <w:szCs w:val="32"/>
                <w:highlight w:val="none"/>
                <w14:textFill>
                  <w14:solidFill>
                    <w14:schemeClr w14:val="tx1"/>
                  </w14:solidFill>
                </w14:textFill>
              </w:rPr>
              <w:t>参照《排放源统计调查产排污核算方法和系数手册》—38-40电子行业系数手册机械加工工序中的产排污系数表，机械加工、切割过程粉尘产污系数为0.2841g/kg-原料，本项目原料为</w:t>
            </w:r>
            <w:r>
              <w:rPr>
                <w:rFonts w:hint="eastAsia" w:cs="宋体"/>
                <w:color w:val="000000" w:themeColor="text1"/>
                <w:sz w:val="24"/>
                <w:szCs w:val="32"/>
                <w:highlight w:val="none"/>
                <w:lang w:val="en-US" w:eastAsia="zh-CN"/>
                <w14:textFill>
                  <w14:solidFill>
                    <w14:schemeClr w14:val="tx1"/>
                  </w14:solidFill>
                </w14:textFill>
              </w:rPr>
              <w:t>15.2</w:t>
            </w:r>
            <w:r>
              <w:rPr>
                <w:rFonts w:hint="eastAsia" w:cs="宋体"/>
                <w:color w:val="000000" w:themeColor="text1"/>
                <w:sz w:val="24"/>
                <w:szCs w:val="32"/>
                <w:highlight w:val="none"/>
                <w14:textFill>
                  <w14:solidFill>
                    <w14:schemeClr w14:val="tx1"/>
                  </w14:solidFill>
                </w14:textFill>
              </w:rPr>
              <w:t>t/a，则产生粉尘量为0.</w:t>
            </w:r>
            <w:r>
              <w:rPr>
                <w:rFonts w:hint="eastAsia" w:cs="宋体"/>
                <w:color w:val="000000" w:themeColor="text1"/>
                <w:sz w:val="24"/>
                <w:szCs w:val="32"/>
                <w:highlight w:val="none"/>
                <w:lang w:val="en-US" w:eastAsia="zh-CN"/>
                <w14:textFill>
                  <w14:solidFill>
                    <w14:schemeClr w14:val="tx1"/>
                  </w14:solidFill>
                </w14:textFill>
              </w:rPr>
              <w:t>0043</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eastAsia="zh-CN"/>
                <w14:textFill>
                  <w14:solidFill>
                    <w14:schemeClr w14:val="tx1"/>
                  </w14:solidFill>
                </w14:textFill>
              </w:rPr>
              <w:t>。</w:t>
            </w:r>
          </w:p>
          <w:p w14:paraId="2A0F1F28">
            <w:pPr>
              <w:spacing w:line="360" w:lineRule="auto"/>
              <w:ind w:firstLine="480" w:firstLineChars="200"/>
              <w:rPr>
                <w:rFonts w:hint="eastAsia" w:eastAsia="宋体"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本项目车间各生产环节之间均进行了隔断，细磨、抛光、切割等均</w:t>
            </w:r>
            <w:r>
              <w:rPr>
                <w:rFonts w:hint="eastAsia" w:cs="宋体"/>
                <w:color w:val="000000" w:themeColor="text1"/>
                <w:sz w:val="24"/>
                <w:szCs w:val="32"/>
                <w:highlight w:val="none"/>
                <w:lang w:val="en-US" w:eastAsia="zh-CN"/>
                <w14:textFill>
                  <w14:solidFill>
                    <w14:schemeClr w14:val="tx1"/>
                  </w14:solidFill>
                </w14:textFill>
              </w:rPr>
              <w:t>采用硬质隔断，</w:t>
            </w:r>
            <w:r>
              <w:rPr>
                <w:rFonts w:hint="eastAsia" w:cs="宋体"/>
                <w:color w:val="000000" w:themeColor="text1"/>
                <w:sz w:val="24"/>
                <w:szCs w:val="32"/>
                <w:highlight w:val="none"/>
                <w14:textFill>
                  <w14:solidFill>
                    <w14:schemeClr w14:val="tx1"/>
                  </w14:solidFill>
                </w14:textFill>
              </w:rPr>
              <w:t>单独</w:t>
            </w:r>
            <w:r>
              <w:rPr>
                <w:rFonts w:hint="eastAsia" w:cs="宋体"/>
                <w:color w:val="000000" w:themeColor="text1"/>
                <w:sz w:val="24"/>
                <w:szCs w:val="32"/>
                <w:highlight w:val="none"/>
                <w:lang w:val="en-US" w:eastAsia="zh-CN"/>
                <w14:textFill>
                  <w14:solidFill>
                    <w14:schemeClr w14:val="tx1"/>
                  </w14:solidFill>
                </w14:textFill>
              </w:rPr>
              <w:t>操作间；</w:t>
            </w:r>
            <w:r>
              <w:rPr>
                <w:rFonts w:hint="eastAsia" w:cs="宋体"/>
                <w:color w:val="000000" w:themeColor="text1"/>
                <w:sz w:val="24"/>
                <w:szCs w:val="32"/>
                <w:highlight w:val="none"/>
                <w14:textFill>
                  <w14:solidFill>
                    <w14:schemeClr w14:val="tx1"/>
                  </w14:solidFill>
                </w14:textFill>
              </w:rPr>
              <w:t>项目拟在</w:t>
            </w:r>
            <w:r>
              <w:rPr>
                <w:rFonts w:hint="eastAsia" w:cs="宋体"/>
                <w:color w:val="000000" w:themeColor="text1"/>
                <w:sz w:val="24"/>
                <w:szCs w:val="32"/>
                <w:highlight w:val="none"/>
                <w:lang w:val="en-US" w:eastAsia="zh-CN"/>
                <w14:textFill>
                  <w14:solidFill>
                    <w14:schemeClr w14:val="tx1"/>
                  </w14:solidFill>
                </w14:textFill>
              </w:rPr>
              <w:t>细磨、抛光、切割</w:t>
            </w:r>
            <w:r>
              <w:rPr>
                <w:rFonts w:hint="eastAsia" w:cs="宋体"/>
                <w:color w:val="000000" w:themeColor="text1"/>
                <w:sz w:val="24"/>
                <w:szCs w:val="32"/>
                <w:highlight w:val="none"/>
                <w14:textFill>
                  <w14:solidFill>
                    <w14:schemeClr w14:val="tx1"/>
                  </w14:solidFill>
                </w14:textFill>
              </w:rPr>
              <w:t>工段上方设置集气罩收集粉尘，采用</w:t>
            </w:r>
            <w:r>
              <w:rPr>
                <w:rFonts w:hint="eastAsia" w:cs="宋体"/>
                <w:color w:val="000000" w:themeColor="text1"/>
                <w:sz w:val="24"/>
                <w:szCs w:val="32"/>
                <w:highlight w:val="none"/>
                <w:lang w:val="en-US" w:eastAsia="zh-CN"/>
                <w14:textFill>
                  <w14:solidFill>
                    <w14:schemeClr w14:val="tx1"/>
                  </w14:solidFill>
                </w14:textFill>
              </w:rPr>
              <w:t>局部</w:t>
            </w:r>
            <w:r>
              <w:rPr>
                <w:rFonts w:hint="eastAsia" w:cs="宋体"/>
                <w:color w:val="000000" w:themeColor="text1"/>
                <w:sz w:val="24"/>
                <w:szCs w:val="32"/>
                <w:highlight w:val="none"/>
                <w14:textFill>
                  <w14:solidFill>
                    <w14:schemeClr w14:val="tx1"/>
                  </w14:solidFill>
                </w14:textFill>
              </w:rPr>
              <w:t>顶吸式收集方式。本项目除尘设施设计风机风量为1800m</w:t>
            </w:r>
            <w:r>
              <w:rPr>
                <w:rFonts w:hint="eastAsia" w:cs="宋体"/>
                <w:color w:val="000000" w:themeColor="text1"/>
                <w:sz w:val="24"/>
                <w:szCs w:val="32"/>
                <w:highlight w:val="none"/>
                <w:vertAlign w:val="superscript"/>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/h，</w:t>
            </w:r>
            <w:r>
              <w:rPr>
                <w:rFonts w:hint="eastAsia" w:cs="宋体"/>
                <w:color w:val="000000" w:themeColor="text1"/>
                <w:sz w:val="24"/>
                <w:szCs w:val="32"/>
                <w:highlight w:val="none"/>
                <w:lang w:val="en-US" w:eastAsia="zh-CN"/>
                <w14:textFill>
                  <w14:solidFill>
                    <w14:schemeClr w14:val="tx1"/>
                  </w14:solidFill>
                </w14:textFill>
              </w:rPr>
              <w:t>局部换风体积15</w:t>
            </w:r>
            <w:r>
              <w:rPr>
                <w:rFonts w:hint="eastAsia" w:cs="宋体"/>
                <w:color w:val="000000" w:themeColor="text1"/>
                <w:sz w:val="24"/>
                <w:szCs w:val="32"/>
                <w:highlight w:val="none"/>
                <w14:textFill>
                  <w14:solidFill>
                    <w14:schemeClr w14:val="tx1"/>
                  </w14:solidFill>
                </w14:textFill>
              </w:rPr>
              <w:t>0m</w:t>
            </w:r>
            <w:r>
              <w:rPr>
                <w:rFonts w:hint="eastAsia" w:cs="宋体"/>
                <w:color w:val="000000" w:themeColor="text1"/>
                <w:sz w:val="24"/>
                <w:szCs w:val="32"/>
                <w:highlight w:val="none"/>
                <w:vertAlign w:val="superscript"/>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/h</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每小时换风次数10次，</w:t>
            </w:r>
            <w:r>
              <w:rPr>
                <w:rFonts w:hint="eastAsia" w:cs="宋体"/>
                <w:color w:val="000000" w:themeColor="text1"/>
                <w:sz w:val="24"/>
                <w:szCs w:val="32"/>
                <w:highlight w:val="none"/>
                <w14:textFill>
                  <w14:solidFill>
                    <w14:schemeClr w14:val="tx1"/>
                  </w14:solidFill>
                </w14:textFill>
              </w:rPr>
              <w:t>可满足收集要求</w:t>
            </w:r>
            <w:r>
              <w:rPr>
                <w:rFonts w:hint="eastAsia" w:cs="宋体"/>
                <w:color w:val="000000" w:themeColor="text1"/>
                <w:sz w:val="24"/>
                <w:szCs w:val="32"/>
                <w:highlight w:val="none"/>
                <w:lang w:eastAsia="zh-CN"/>
                <w14:textFill>
                  <w14:solidFill>
                    <w14:schemeClr w14:val="tx1"/>
                  </w14:solidFill>
                </w14:textFill>
              </w:rPr>
              <w:t>。</w:t>
            </w:r>
          </w:p>
          <w:p w14:paraId="3FAF183E">
            <w:pPr>
              <w:spacing w:line="360" w:lineRule="auto"/>
              <w:ind w:firstLine="480" w:firstLineChars="200"/>
              <w:rPr>
                <w:rFonts w:hint="eastAsia"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收集效率：根据《主要污染物总量减排核算技术指南（2022年修订）》，密闭式集气罩收集效率为80%；</w:t>
            </w:r>
          </w:p>
          <w:p w14:paraId="4ACB3D30">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处理效率：参照《环境工程设计手册（修订版）》（湖南科学技术出版社)，布袋除尘器对颗粒物的净化效率在99%以上，本环评取99%。</w:t>
            </w:r>
          </w:p>
          <w:p w14:paraId="71187B1F">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粉尘废气经收集后通过“布袋除尘器”处理后通过</w:t>
            </w:r>
            <w:r>
              <w:rPr>
                <w:rFonts w:hint="eastAsia" w:cs="宋体"/>
                <w:color w:val="000000" w:themeColor="text1"/>
                <w:sz w:val="24"/>
                <w:szCs w:val="32"/>
                <w:highlight w:val="none"/>
                <w:lang w:val="en-US" w:eastAsia="zh-CN"/>
                <w14:textFill>
                  <w14:solidFill>
                    <w14:schemeClr w14:val="tx1"/>
                  </w14:solidFill>
                </w14:textFill>
              </w:rPr>
              <w:t>30</w:t>
            </w:r>
            <w:r>
              <w:rPr>
                <w:rFonts w:hint="eastAsia" w:cs="宋体"/>
                <w:color w:val="000000" w:themeColor="text1"/>
                <w:sz w:val="24"/>
                <w:szCs w:val="32"/>
                <w:highlight w:val="none"/>
                <w14:textFill>
                  <w14:solidFill>
                    <w14:schemeClr w14:val="tx1"/>
                  </w14:solidFill>
                </w14:textFill>
              </w:rPr>
              <w:t>m高排气筒排放。</w:t>
            </w:r>
            <w:r>
              <w:rPr>
                <w:rFonts w:hint="eastAsia" w:cs="宋体"/>
                <w:color w:val="000000" w:themeColor="text1"/>
                <w:sz w:val="24"/>
                <w:szCs w:val="32"/>
                <w:highlight w:val="none"/>
                <w:lang w:val="en-US" w:eastAsia="zh-CN"/>
                <w14:textFill>
                  <w14:solidFill>
                    <w14:schemeClr w14:val="tx1"/>
                  </w14:solidFill>
                </w14:textFill>
              </w:rPr>
              <w:t>本项目所在1#厂房共4层，建筑总高度23.4m，排气筒高出建筑物6.6m。</w:t>
            </w:r>
          </w:p>
          <w:p w14:paraId="1ABFA0B9">
            <w:pPr>
              <w:spacing w:line="360" w:lineRule="auto"/>
              <w:ind w:firstLine="480" w:firstLineChars="200"/>
              <w:rPr>
                <w:rFonts w:hint="eastAsia"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因此本项目粉尘废气经</w:t>
            </w:r>
            <w:r>
              <w:rPr>
                <w:rFonts w:hint="eastAsia" w:cs="宋体"/>
                <w:color w:val="000000" w:themeColor="text1"/>
                <w:sz w:val="24"/>
                <w:szCs w:val="32"/>
                <w:highlight w:val="none"/>
                <w14:textFill>
                  <w14:solidFill>
                    <w14:schemeClr w14:val="tx1"/>
                  </w14:solidFill>
                </w14:textFill>
              </w:rPr>
              <w:t>集气罩+布袋除尘器处理</w:t>
            </w:r>
            <w:r>
              <w:rPr>
                <w:rFonts w:hint="eastAsia" w:cs="宋体"/>
                <w:color w:val="000000" w:themeColor="text1"/>
                <w:sz w:val="24"/>
                <w:szCs w:val="32"/>
                <w:highlight w:val="none"/>
                <w:lang w:val="en-US" w:eastAsia="zh-CN"/>
                <w14:textFill>
                  <w14:solidFill>
                    <w14:schemeClr w14:val="tx1"/>
                  </w14:solidFill>
                </w14:textFill>
              </w:rPr>
              <w:t>后排放的颗粒物的量为0.000035</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无组织排放量为0.0009</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eastAsia="zh-CN"/>
                <w14:textFill>
                  <w14:solidFill>
                    <w14:schemeClr w14:val="tx1"/>
                  </w14:solidFill>
                </w14:textFill>
              </w:rPr>
              <w:t>。</w:t>
            </w:r>
          </w:p>
          <w:p w14:paraId="30BD5D4D">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本项目年工作时长按2000h，因此本项目有组织粉尘废气产生与排放情况见下表。</w:t>
            </w:r>
          </w:p>
          <w:p w14:paraId="0E4A87FD">
            <w:pPr>
              <w:spacing w:line="360" w:lineRule="auto"/>
              <w:jc w:val="center"/>
              <w:rPr>
                <w:rFonts w:ascii="宋体" w:cs="宋体"/>
                <w:b/>
                <w:bCs w:val="0"/>
                <w:color w:val="000000" w:themeColor="text1"/>
                <w:kern w:val="0"/>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 xml:space="preserve">表 </w:t>
            </w:r>
            <w:r>
              <w:rPr>
                <w:b/>
                <w:bCs w:val="0"/>
                <w:color w:val="000000" w:themeColor="text1"/>
                <w:sz w:val="24"/>
                <w:szCs w:val="24"/>
                <w:highlight w:val="none"/>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.1</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1</w:t>
            </w:r>
            <w:r>
              <w:rPr>
                <w:b/>
                <w:bCs w:val="0"/>
                <w:color w:val="000000" w:themeColor="text1"/>
                <w:sz w:val="24"/>
                <w:szCs w:val="24"/>
                <w:highlight w:val="none"/>
                <w14:textFill>
                  <w14:solidFill>
                    <w14:schemeClr w14:val="tx1"/>
                  </w14:solidFill>
                </w14:textFill>
              </w:rPr>
              <w:t xml:space="preserve">  </w:t>
            </w:r>
            <w:r>
              <w:rPr>
                <w:rFonts w:hint="eastAsia"/>
                <w:b/>
                <w:bCs w:val="0"/>
                <w:color w:val="000000" w:themeColor="text1"/>
                <w:sz w:val="24"/>
                <w:szCs w:val="24"/>
                <w:highlight w:val="none"/>
                <w:lang w:val="en-US" w:eastAsia="zh-CN"/>
                <w14:textFill>
                  <w14:solidFill>
                    <w14:schemeClr w14:val="tx1"/>
                  </w14:solidFill>
                </w14:textFill>
              </w:rPr>
              <w:t>本项目有组织粉尘废气产排情况</w:t>
            </w:r>
            <w:r>
              <w:rPr>
                <w:rFonts w:hint="eastAsia"/>
                <w:b/>
                <w:bCs w:val="0"/>
                <w:color w:val="000000" w:themeColor="text1"/>
                <w:sz w:val="24"/>
                <w:szCs w:val="24"/>
                <w:highlight w:val="none"/>
                <w14:textFill>
                  <w14:solidFill>
                    <w14:schemeClr w14:val="tx1"/>
                  </w14:solidFill>
                </w14:textFill>
              </w:rPr>
              <w:t>一览表</w:t>
            </w:r>
          </w:p>
          <w:tbl>
            <w:tblPr>
              <w:tblStyle w:val="31"/>
              <w:tblW w:w="5000" w:type="pct"/>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475"/>
              <w:gridCol w:w="550"/>
              <w:gridCol w:w="663"/>
              <w:gridCol w:w="662"/>
              <w:gridCol w:w="654"/>
              <w:gridCol w:w="690"/>
              <w:gridCol w:w="420"/>
              <w:gridCol w:w="600"/>
              <w:gridCol w:w="660"/>
              <w:gridCol w:w="645"/>
              <w:gridCol w:w="420"/>
              <w:gridCol w:w="420"/>
              <w:gridCol w:w="375"/>
              <w:gridCol w:w="368"/>
            </w:tblGrid>
            <w:tr w14:paraId="6F0A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rPr>
              <w:tc>
                <w:tcPr>
                  <w:tcW w:w="518" w:type="dxa"/>
                  <w:vMerge w:val="restart"/>
                  <w:shd w:val="clear" w:color="auto" w:fill="auto"/>
                  <w:vAlign w:val="center"/>
                </w:tcPr>
                <w:p w14:paraId="3CD2B76B">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排气筒名称</w:t>
                  </w:r>
                </w:p>
              </w:tc>
              <w:tc>
                <w:tcPr>
                  <w:tcW w:w="475" w:type="dxa"/>
                  <w:vMerge w:val="restart"/>
                  <w:shd w:val="clear" w:color="auto" w:fill="auto"/>
                  <w:vAlign w:val="center"/>
                </w:tcPr>
                <w:p w14:paraId="1F4D59AE">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排放源名称</w:t>
                  </w:r>
                </w:p>
              </w:tc>
              <w:tc>
                <w:tcPr>
                  <w:tcW w:w="550" w:type="dxa"/>
                  <w:vMerge w:val="restart"/>
                  <w:shd w:val="clear" w:color="auto" w:fill="auto"/>
                  <w:vAlign w:val="center"/>
                </w:tcPr>
                <w:p w14:paraId="4FE1C03F">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污染物名称</w:t>
                  </w:r>
                </w:p>
              </w:tc>
              <w:tc>
                <w:tcPr>
                  <w:tcW w:w="1979" w:type="dxa"/>
                  <w:gridSpan w:val="3"/>
                  <w:shd w:val="clear" w:color="auto" w:fill="auto"/>
                  <w:vAlign w:val="center"/>
                </w:tcPr>
                <w:p w14:paraId="3204A839">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产生情况</w:t>
                  </w:r>
                </w:p>
              </w:tc>
              <w:tc>
                <w:tcPr>
                  <w:tcW w:w="690" w:type="dxa"/>
                  <w:vMerge w:val="restart"/>
                  <w:shd w:val="clear" w:color="auto" w:fill="auto"/>
                  <w:vAlign w:val="center"/>
                </w:tcPr>
                <w:p w14:paraId="3625EB57">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治理措施</w:t>
                  </w:r>
                </w:p>
              </w:tc>
              <w:tc>
                <w:tcPr>
                  <w:tcW w:w="420" w:type="dxa"/>
                  <w:vMerge w:val="restart"/>
                  <w:shd w:val="clear" w:color="auto" w:fill="auto"/>
                  <w:vAlign w:val="center"/>
                </w:tcPr>
                <w:p w14:paraId="4D7E84A7">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去除率</w:t>
                  </w:r>
                </w:p>
              </w:tc>
              <w:tc>
                <w:tcPr>
                  <w:tcW w:w="1905" w:type="dxa"/>
                  <w:gridSpan w:val="3"/>
                  <w:shd w:val="clear" w:color="auto" w:fill="auto"/>
                  <w:vAlign w:val="center"/>
                </w:tcPr>
                <w:p w14:paraId="780F7B48">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排放情况</w:t>
                  </w:r>
                </w:p>
              </w:tc>
              <w:tc>
                <w:tcPr>
                  <w:tcW w:w="1583" w:type="dxa"/>
                  <w:gridSpan w:val="4"/>
                  <w:shd w:val="clear" w:color="auto" w:fill="auto"/>
                  <w:vAlign w:val="center"/>
                </w:tcPr>
                <w:p w14:paraId="36F15A5B">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排放口参数</w:t>
                  </w:r>
                </w:p>
              </w:tc>
            </w:tr>
            <w:tr w14:paraId="2ACE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rPr>
              <w:tc>
                <w:tcPr>
                  <w:tcW w:w="518" w:type="dxa"/>
                  <w:vMerge w:val="continue"/>
                  <w:shd w:val="clear" w:color="auto" w:fill="auto"/>
                  <w:vAlign w:val="center"/>
                </w:tcPr>
                <w:p w14:paraId="1C5DB0E0">
                  <w:pPr>
                    <w:jc w:val="center"/>
                    <w:rPr>
                      <w:rFonts w:hint="default" w:eastAsia="宋体"/>
                      <w:color w:val="000000" w:themeColor="text1"/>
                      <w:sz w:val="21"/>
                      <w:szCs w:val="21"/>
                      <w:highlight w:val="none"/>
                      <w:lang w:val="en-US" w:eastAsia="zh-CN"/>
                      <w14:textFill>
                        <w14:solidFill>
                          <w14:schemeClr w14:val="tx1"/>
                        </w14:solidFill>
                      </w14:textFill>
                    </w:rPr>
                  </w:pPr>
                </w:p>
              </w:tc>
              <w:tc>
                <w:tcPr>
                  <w:tcW w:w="475" w:type="dxa"/>
                  <w:vMerge w:val="continue"/>
                  <w:shd w:val="clear" w:color="auto" w:fill="auto"/>
                  <w:vAlign w:val="center"/>
                </w:tcPr>
                <w:p w14:paraId="27834F44">
                  <w:pPr>
                    <w:jc w:val="center"/>
                    <w:rPr>
                      <w:rFonts w:hint="default" w:eastAsia="宋体"/>
                      <w:color w:val="000000" w:themeColor="text1"/>
                      <w:sz w:val="21"/>
                      <w:szCs w:val="21"/>
                      <w:highlight w:val="none"/>
                      <w:lang w:val="en-US" w:eastAsia="zh-CN"/>
                      <w14:textFill>
                        <w14:solidFill>
                          <w14:schemeClr w14:val="tx1"/>
                        </w14:solidFill>
                      </w14:textFill>
                    </w:rPr>
                  </w:pPr>
                </w:p>
              </w:tc>
              <w:tc>
                <w:tcPr>
                  <w:tcW w:w="550" w:type="dxa"/>
                  <w:vMerge w:val="continue"/>
                  <w:shd w:val="clear" w:color="auto" w:fill="auto"/>
                  <w:vAlign w:val="center"/>
                </w:tcPr>
                <w:p w14:paraId="6594B202">
                  <w:pPr>
                    <w:jc w:val="center"/>
                    <w:rPr>
                      <w:rFonts w:hint="default" w:eastAsia="宋体"/>
                      <w:color w:val="000000" w:themeColor="text1"/>
                      <w:sz w:val="21"/>
                      <w:szCs w:val="21"/>
                      <w:highlight w:val="none"/>
                      <w:lang w:val="en-US" w:eastAsia="zh-CN"/>
                      <w14:textFill>
                        <w14:solidFill>
                          <w14:schemeClr w14:val="tx1"/>
                        </w14:solidFill>
                      </w14:textFill>
                    </w:rPr>
                  </w:pPr>
                </w:p>
              </w:tc>
              <w:tc>
                <w:tcPr>
                  <w:tcW w:w="663" w:type="dxa"/>
                  <w:shd w:val="clear" w:color="auto" w:fill="auto"/>
                  <w:vAlign w:val="center"/>
                </w:tcPr>
                <w:p w14:paraId="38903390">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浓度mg/m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662" w:type="dxa"/>
                  <w:shd w:val="clear" w:color="auto" w:fill="auto"/>
                  <w:vAlign w:val="center"/>
                </w:tcPr>
                <w:p w14:paraId="08216A37">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速率kg/h</w:t>
                  </w:r>
                </w:p>
              </w:tc>
              <w:tc>
                <w:tcPr>
                  <w:tcW w:w="654" w:type="dxa"/>
                  <w:shd w:val="clear" w:color="auto" w:fill="auto"/>
                  <w:vAlign w:val="center"/>
                </w:tcPr>
                <w:p w14:paraId="6949B7F1">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产生量t/a</w:t>
                  </w:r>
                </w:p>
              </w:tc>
              <w:tc>
                <w:tcPr>
                  <w:tcW w:w="690" w:type="dxa"/>
                  <w:vMerge w:val="continue"/>
                  <w:shd w:val="clear" w:color="auto" w:fill="auto"/>
                  <w:vAlign w:val="center"/>
                </w:tcPr>
                <w:p w14:paraId="4A8F166E">
                  <w:pPr>
                    <w:jc w:val="center"/>
                    <w:rPr>
                      <w:color w:val="000000" w:themeColor="text1"/>
                      <w:sz w:val="21"/>
                      <w:szCs w:val="21"/>
                      <w:highlight w:val="none"/>
                      <w14:textFill>
                        <w14:solidFill>
                          <w14:schemeClr w14:val="tx1"/>
                        </w14:solidFill>
                      </w14:textFill>
                    </w:rPr>
                  </w:pPr>
                </w:p>
              </w:tc>
              <w:tc>
                <w:tcPr>
                  <w:tcW w:w="420" w:type="dxa"/>
                  <w:vMerge w:val="continue"/>
                  <w:shd w:val="clear" w:color="auto" w:fill="auto"/>
                  <w:vAlign w:val="center"/>
                </w:tcPr>
                <w:p w14:paraId="1A997413">
                  <w:pPr>
                    <w:jc w:val="center"/>
                    <w:rPr>
                      <w:color w:val="000000" w:themeColor="text1"/>
                      <w:sz w:val="21"/>
                      <w:szCs w:val="21"/>
                      <w:highlight w:val="none"/>
                      <w14:textFill>
                        <w14:solidFill>
                          <w14:schemeClr w14:val="tx1"/>
                        </w14:solidFill>
                      </w14:textFill>
                    </w:rPr>
                  </w:pPr>
                </w:p>
              </w:tc>
              <w:tc>
                <w:tcPr>
                  <w:tcW w:w="600" w:type="dxa"/>
                  <w:shd w:val="clear" w:color="auto" w:fill="auto"/>
                  <w:vAlign w:val="center"/>
                </w:tcPr>
                <w:p w14:paraId="79861F7A">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浓度mg/m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660" w:type="dxa"/>
                  <w:shd w:val="clear" w:color="auto" w:fill="auto"/>
                  <w:vAlign w:val="center"/>
                </w:tcPr>
                <w:p w14:paraId="43723283">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速率kg/h</w:t>
                  </w:r>
                </w:p>
              </w:tc>
              <w:tc>
                <w:tcPr>
                  <w:tcW w:w="645" w:type="dxa"/>
                  <w:shd w:val="clear" w:color="auto" w:fill="auto"/>
                  <w:vAlign w:val="center"/>
                </w:tcPr>
                <w:p w14:paraId="5A2239B5">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排放量t/a</w:t>
                  </w:r>
                </w:p>
              </w:tc>
              <w:tc>
                <w:tcPr>
                  <w:tcW w:w="420" w:type="dxa"/>
                  <w:shd w:val="clear" w:color="auto" w:fill="auto"/>
                  <w:vAlign w:val="center"/>
                </w:tcPr>
                <w:p w14:paraId="739AE3A9">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高度m</w:t>
                  </w:r>
                </w:p>
              </w:tc>
              <w:tc>
                <w:tcPr>
                  <w:tcW w:w="420" w:type="dxa"/>
                  <w:shd w:val="clear" w:color="auto" w:fill="auto"/>
                  <w:vAlign w:val="center"/>
                </w:tcPr>
                <w:p w14:paraId="778D620A">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内径m</w:t>
                  </w:r>
                </w:p>
              </w:tc>
              <w:tc>
                <w:tcPr>
                  <w:tcW w:w="375" w:type="dxa"/>
                  <w:shd w:val="clear" w:color="auto" w:fill="auto"/>
                  <w:vAlign w:val="center"/>
                </w:tcPr>
                <w:p w14:paraId="36F09A78">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温度℃</w:t>
                  </w:r>
                </w:p>
              </w:tc>
              <w:tc>
                <w:tcPr>
                  <w:tcW w:w="368" w:type="dxa"/>
                  <w:shd w:val="clear" w:color="auto" w:fill="auto"/>
                  <w:vAlign w:val="center"/>
                </w:tcPr>
                <w:p w14:paraId="1584152C">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方式</w:t>
                  </w:r>
                </w:p>
              </w:tc>
            </w:tr>
            <w:tr w14:paraId="7EC5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8" w:type="dxa"/>
                  <w:shd w:val="clear" w:color="auto" w:fill="auto"/>
                  <w:vAlign w:val="center"/>
                </w:tcPr>
                <w:p w14:paraId="2FAD1E70">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DA00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475" w:type="dxa"/>
                  <w:shd w:val="clear" w:color="auto" w:fill="auto"/>
                  <w:vAlign w:val="center"/>
                </w:tcPr>
                <w:p w14:paraId="65BF21FA">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粉尘废气</w:t>
                  </w:r>
                </w:p>
              </w:tc>
              <w:tc>
                <w:tcPr>
                  <w:tcW w:w="550" w:type="dxa"/>
                  <w:shd w:val="clear" w:color="auto" w:fill="auto"/>
                  <w:vAlign w:val="center"/>
                </w:tcPr>
                <w:p w14:paraId="6EAD31EE">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663" w:type="dxa"/>
                  <w:shd w:val="clear" w:color="auto" w:fill="auto"/>
                  <w:vAlign w:val="center"/>
                </w:tcPr>
                <w:p w14:paraId="5DC63CA8">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662" w:type="dxa"/>
                  <w:shd w:val="clear" w:color="auto" w:fill="auto"/>
                  <w:vAlign w:val="center"/>
                </w:tcPr>
                <w:p w14:paraId="45CB0E18">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654" w:type="dxa"/>
                  <w:shd w:val="clear" w:color="auto" w:fill="auto"/>
                  <w:vAlign w:val="center"/>
                </w:tcPr>
                <w:p w14:paraId="24C2BAB2">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0.0043 </w:t>
                  </w:r>
                </w:p>
              </w:tc>
              <w:tc>
                <w:tcPr>
                  <w:tcW w:w="690" w:type="dxa"/>
                  <w:shd w:val="clear" w:color="auto" w:fill="auto"/>
                  <w:vAlign w:val="center"/>
                </w:tcPr>
                <w:p w14:paraId="43F7E66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集气罩</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布袋除尘器</w:t>
                  </w:r>
                </w:p>
              </w:tc>
              <w:tc>
                <w:tcPr>
                  <w:tcW w:w="420" w:type="dxa"/>
                  <w:shd w:val="clear" w:color="auto" w:fill="auto"/>
                  <w:vAlign w:val="center"/>
                </w:tcPr>
                <w:p w14:paraId="382B7D38">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99</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00" w:type="dxa"/>
                  <w:shd w:val="clear" w:color="auto" w:fill="auto"/>
                  <w:vAlign w:val="center"/>
                </w:tcPr>
                <w:p w14:paraId="41A4406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660" w:type="dxa"/>
                  <w:shd w:val="clear" w:color="auto" w:fill="auto"/>
                  <w:vAlign w:val="center"/>
                </w:tcPr>
                <w:p w14:paraId="5E17400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0.000017</w:t>
                  </w:r>
                </w:p>
              </w:tc>
              <w:tc>
                <w:tcPr>
                  <w:tcW w:w="645" w:type="dxa"/>
                  <w:shd w:val="clear" w:color="auto" w:fill="auto"/>
                  <w:vAlign w:val="center"/>
                </w:tcPr>
                <w:p w14:paraId="5AB27C9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0.0000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345</w:t>
                  </w:r>
                </w:p>
              </w:tc>
              <w:tc>
                <w:tcPr>
                  <w:tcW w:w="420" w:type="dxa"/>
                  <w:shd w:val="clear" w:color="auto" w:fill="auto"/>
                  <w:vAlign w:val="center"/>
                </w:tcPr>
                <w:p w14:paraId="63DA4DF4">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420" w:type="dxa"/>
                  <w:shd w:val="clear" w:color="auto" w:fill="auto"/>
                  <w:vAlign w:val="center"/>
                </w:tcPr>
                <w:p w14:paraId="4116A42B">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0.25</w:t>
                  </w:r>
                </w:p>
              </w:tc>
              <w:tc>
                <w:tcPr>
                  <w:tcW w:w="375" w:type="dxa"/>
                  <w:shd w:val="clear" w:color="auto" w:fill="auto"/>
                  <w:vAlign w:val="center"/>
                </w:tcPr>
                <w:p w14:paraId="6FB6F6BA">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368" w:type="dxa"/>
                  <w:shd w:val="clear" w:color="auto" w:fill="auto"/>
                  <w:vAlign w:val="center"/>
                </w:tcPr>
                <w:p w14:paraId="5ED2E3C3">
                  <w:pPr>
                    <w:keepNext w:val="0"/>
                    <w:keepLines w:val="0"/>
                    <w:widowControl/>
                    <w:suppressLineNumbers w:val="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bl>
          <w:p w14:paraId="4976FA9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二</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有机废气</w:t>
            </w:r>
          </w:p>
          <w:p w14:paraId="494569D5">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w:t>
            </w:r>
            <w:r>
              <w:rPr>
                <w:rFonts w:hint="eastAsia" w:cs="宋体"/>
                <w:color w:val="000000" w:themeColor="text1"/>
                <w:sz w:val="24"/>
                <w:szCs w:val="32"/>
                <w:highlight w:val="none"/>
                <w14:textFill>
                  <w14:solidFill>
                    <w14:schemeClr w14:val="tx1"/>
                  </w14:solidFill>
                </w14:textFill>
              </w:rPr>
              <w:t>项目</w:t>
            </w:r>
            <w:r>
              <w:rPr>
                <w:rFonts w:hint="eastAsia" w:cs="宋体"/>
                <w:color w:val="000000" w:themeColor="text1"/>
                <w:sz w:val="24"/>
                <w:szCs w:val="32"/>
                <w:highlight w:val="none"/>
                <w:lang w:val="en-US" w:eastAsia="zh-CN"/>
                <w14:textFill>
                  <w14:solidFill>
                    <w14:schemeClr w14:val="tx1"/>
                  </w14:solidFill>
                </w14:textFill>
              </w:rPr>
              <w:t>产品1的</w:t>
            </w:r>
            <w:r>
              <w:rPr>
                <w:rFonts w:hint="eastAsia" w:cs="宋体"/>
                <w:color w:val="000000" w:themeColor="text1"/>
                <w:sz w:val="24"/>
                <w:szCs w:val="32"/>
                <w:highlight w:val="none"/>
                <w14:textFill>
                  <w14:solidFill>
                    <w14:schemeClr w14:val="tx1"/>
                  </w14:solidFill>
                </w14:textFill>
              </w:rPr>
              <w:t>清洗</w:t>
            </w:r>
            <w:r>
              <w:rPr>
                <w:rFonts w:hint="eastAsia" w:cs="宋体"/>
                <w:color w:val="000000" w:themeColor="text1"/>
                <w:sz w:val="24"/>
                <w:szCs w:val="32"/>
                <w:highlight w:val="none"/>
                <w:lang w:val="en-US" w:eastAsia="zh-CN"/>
                <w14:textFill>
                  <w14:solidFill>
                    <w14:schemeClr w14:val="tx1"/>
                  </w14:solidFill>
                </w14:textFill>
              </w:rPr>
              <w:t>检验</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装配、检测等环节，以及产品2的清洗、涂胶、烘烤、去残胶、清洁检测等环节，</w:t>
            </w:r>
            <w:r>
              <w:rPr>
                <w:rFonts w:hint="eastAsia" w:cs="宋体"/>
                <w:color w:val="000000" w:themeColor="text1"/>
                <w:sz w:val="24"/>
                <w:szCs w:val="32"/>
                <w:highlight w:val="none"/>
                <w14:textFill>
                  <w14:solidFill>
                    <w14:schemeClr w14:val="tx1"/>
                  </w14:solidFill>
                </w14:textFill>
              </w:rPr>
              <w:t>将产生有机废气（以非甲烷总烃计）。</w:t>
            </w:r>
          </w:p>
          <w:p w14:paraId="6824EA07">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1</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清洗检验工段中超声波清洗环节使用清洗剂有机废气</w:t>
            </w:r>
          </w:p>
          <w:p w14:paraId="09DEC4A8">
            <w:pPr>
              <w:spacing w:line="360" w:lineRule="auto"/>
              <w:ind w:firstLine="480" w:firstLineChars="200"/>
              <w:rPr>
                <w:rFonts w:hint="eastAsia"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根据清洗剂理化性质可知，清洗剂挥发性有机物占比为60%～80%（本报告以70%计），由于清洗剂成分中脂肪</w:t>
            </w:r>
            <w:r>
              <w:rPr>
                <w:rFonts w:hint="eastAsia" w:cs="宋体"/>
                <w:color w:val="000000" w:themeColor="text1"/>
                <w:sz w:val="24"/>
                <w:szCs w:val="32"/>
                <w:highlight w:val="none"/>
                <w:lang w:val="en-US" w:eastAsia="zh-CN"/>
                <w14:textFill>
                  <w14:solidFill>
                    <w14:schemeClr w14:val="tx1"/>
                  </w14:solidFill>
                </w14:textFill>
              </w:rPr>
              <w:t>醚</w:t>
            </w:r>
            <w:r>
              <w:rPr>
                <w:rFonts w:hint="eastAsia" w:cs="宋体"/>
                <w:color w:val="000000" w:themeColor="text1"/>
                <w:sz w:val="24"/>
                <w:szCs w:val="32"/>
                <w:highlight w:val="none"/>
                <w14:textFill>
                  <w14:solidFill>
                    <w14:schemeClr w14:val="tx1"/>
                  </w14:solidFill>
                </w14:textFill>
              </w:rPr>
              <w:t>、脂肪醇的沸点较高，挥发性有机物</w:t>
            </w:r>
            <w:r>
              <w:rPr>
                <w:rFonts w:hint="eastAsia" w:cs="宋体"/>
                <w:color w:val="000000" w:themeColor="text1"/>
                <w:sz w:val="24"/>
                <w:szCs w:val="32"/>
                <w:highlight w:val="none"/>
                <w:lang w:val="en-US" w:eastAsia="zh-CN"/>
                <w14:textFill>
                  <w14:solidFill>
                    <w14:schemeClr w14:val="tx1"/>
                  </w14:solidFill>
                </w14:textFill>
              </w:rPr>
              <w:t>挥发率一般为15%～30%，</w:t>
            </w:r>
            <w:r>
              <w:rPr>
                <w:rFonts w:hint="eastAsia" w:cs="宋体"/>
                <w:color w:val="000000" w:themeColor="text1"/>
                <w:sz w:val="24"/>
                <w:szCs w:val="32"/>
                <w:highlight w:val="none"/>
                <w14:textFill>
                  <w14:solidFill>
                    <w14:schemeClr w14:val="tx1"/>
                  </w14:solidFill>
                </w14:textFill>
              </w:rPr>
              <w:t>本报告以最不利影响计（</w:t>
            </w:r>
            <w:r>
              <w:rPr>
                <w:rFonts w:hint="eastAsia" w:cs="宋体"/>
                <w:color w:val="000000" w:themeColor="text1"/>
                <w:sz w:val="24"/>
                <w:szCs w:val="32"/>
                <w:highlight w:val="none"/>
                <w:lang w:val="en-US" w:eastAsia="zh-CN"/>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0%挥发），项目清洗剂用量为</w:t>
            </w:r>
            <w:r>
              <w:rPr>
                <w:rFonts w:hint="eastAsia" w:cs="宋体"/>
                <w:color w:val="000000" w:themeColor="text1"/>
                <w:sz w:val="24"/>
                <w:szCs w:val="32"/>
                <w:highlight w:val="none"/>
                <w:lang w:val="en-US" w:eastAsia="zh-CN"/>
                <w14:textFill>
                  <w14:solidFill>
                    <w14:schemeClr w14:val="tx1"/>
                  </w14:solidFill>
                </w14:textFill>
              </w:rPr>
              <w:t>12</w:t>
            </w:r>
            <w:r>
              <w:rPr>
                <w:rFonts w:hint="eastAsia" w:cs="宋体"/>
                <w:color w:val="000000" w:themeColor="text1"/>
                <w:sz w:val="24"/>
                <w:szCs w:val="32"/>
                <w:highlight w:val="none"/>
                <w14:textFill>
                  <w14:solidFill>
                    <w14:schemeClr w14:val="tx1"/>
                  </w14:solidFill>
                </w14:textFill>
              </w:rPr>
              <w:t>t/a，则产生的有机废气为</w:t>
            </w:r>
            <w:r>
              <w:rPr>
                <w:rFonts w:hint="eastAsia" w:cs="宋体"/>
                <w:color w:val="000000" w:themeColor="text1"/>
                <w:sz w:val="24"/>
                <w:szCs w:val="32"/>
                <w:highlight w:val="none"/>
                <w:lang w:val="en-US" w:eastAsia="zh-CN"/>
                <w14:textFill>
                  <w14:solidFill>
                    <w14:schemeClr w14:val="tx1"/>
                  </w14:solidFill>
                </w14:textFill>
              </w:rPr>
              <w:t>2.52</w:t>
            </w:r>
            <w:r>
              <w:rPr>
                <w:rFonts w:hint="eastAsia" w:cs="宋体"/>
                <w:color w:val="000000" w:themeColor="text1"/>
                <w:sz w:val="24"/>
                <w:szCs w:val="32"/>
                <w:highlight w:val="none"/>
                <w14:textFill>
                  <w14:solidFill>
                    <w14:schemeClr w14:val="tx1"/>
                  </w14:solidFill>
                </w14:textFill>
              </w:rPr>
              <w:t>t/a。</w:t>
            </w:r>
          </w:p>
          <w:p w14:paraId="26ED7C03">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（2）胶装工段使用胶水有机废气</w:t>
            </w:r>
          </w:p>
          <w:p w14:paraId="5F47D711">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参照《排放源统计调查产排污核算方法和系数手册》—机械行业系数手册粘接工序中的产排污系数表，粘接过程产污系数为60kg/t-原料，本项目胶水总用量为2.835kg/a，则有机废气产生量为0.0002t/a。</w:t>
            </w:r>
          </w:p>
          <w:p w14:paraId="739C39B3">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（3）产品1检测工段使用无水乙醇、无水乙醚、丙酮过程产生的有机废气</w:t>
            </w:r>
          </w:p>
          <w:p w14:paraId="42DE08C8">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检测过程使用有机溶剂（无水乙醇、无水乙醚、丙酮）产生的有机废气， 本报告以最不利影响计（100%挥发），检测环节使用的无水乙醇、无水乙醚、丙酮用量分别为2t/a、0.3t/a、1t/a，则产生的有机废气为3.3t/a。</w:t>
            </w:r>
          </w:p>
          <w:p w14:paraId="0AEC19D3">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（4）产品2清洗、去残胶、清洁检测工段使用无水乙醇、无水乙醚、丙酮等产生的有机废气</w:t>
            </w:r>
          </w:p>
          <w:p w14:paraId="7D28C030">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产品2清洗、去残胶、清洁检测工段使用有机溶剂（无水乙醇、无水乙醚、丙酮）产生的有机废气，本报告以最不利影响计（100%挥发），上述环节使用的无水乙醇、无水乙醚、丙酮用量分别为0.3t/a、0.3t/a、0.2t/a，则产生的有机废气为0.8t/a。</w:t>
            </w:r>
          </w:p>
          <w:p w14:paraId="0D12271B">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去残胶过程使用的NMP沸点＞200℃，去残胶在常温下进行，故不考虑 NMP的挥发。</w:t>
            </w:r>
          </w:p>
          <w:p w14:paraId="3E84705E">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（5）产品2涂胶、烘烤工段使用AZ光刻胶、增粘剂六甲基二硅杂氮烷、稀释剂1,2-丙二醇甲醚醋酸酯产生的有机废气</w:t>
            </w:r>
          </w:p>
          <w:p w14:paraId="1BF731F3">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光刻胶主要成分为酚醛树脂和丙二醇甲醚乙酸酯，其中丙二醇甲醚乙酸酯沸点在146℃左右，含量约占80%。年使用量50L，密度0.966g/cm</w:t>
            </w:r>
            <w:r>
              <w:rPr>
                <w:rFonts w:hint="eastAsia" w:cs="宋体"/>
                <w:color w:val="000000" w:themeColor="text1"/>
                <w:sz w:val="24"/>
                <w:szCs w:val="32"/>
                <w:highlight w:val="none"/>
                <w:vertAlign w:val="superscript"/>
                <w:lang w:val="en-US" w:eastAsia="zh-CN"/>
                <w14:textFill>
                  <w14:solidFill>
                    <w14:schemeClr w14:val="tx1"/>
                  </w14:solidFill>
                </w14:textFill>
              </w:rPr>
              <w:t>3</w:t>
            </w:r>
            <w:r>
              <w:rPr>
                <w:rFonts w:hint="eastAsia" w:cs="宋体"/>
                <w:color w:val="000000" w:themeColor="text1"/>
                <w:sz w:val="24"/>
                <w:szCs w:val="32"/>
                <w:highlight w:val="none"/>
                <w:lang w:val="en-US" w:eastAsia="zh-CN"/>
                <w14:textFill>
                  <w14:solidFill>
                    <w14:schemeClr w14:val="tx1"/>
                  </w14:solidFill>
                </w14:textFill>
              </w:rPr>
              <w:t>，经折算使用量0.0483t/a，挥发性有机物含量为0.0386t/a。</w:t>
            </w:r>
          </w:p>
          <w:p w14:paraId="51D72989">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增粘剂成分为六甲基二硅胺烷，沸点在126℃左右。年使用量5L，密度0.774g/cm</w:t>
            </w:r>
            <w:r>
              <w:rPr>
                <w:rFonts w:hint="eastAsia" w:cs="宋体"/>
                <w:color w:val="000000" w:themeColor="text1"/>
                <w:sz w:val="24"/>
                <w:szCs w:val="32"/>
                <w:highlight w:val="none"/>
                <w:vertAlign w:val="superscript"/>
                <w:lang w:val="en-US" w:eastAsia="zh-CN"/>
                <w14:textFill>
                  <w14:solidFill>
                    <w14:schemeClr w14:val="tx1"/>
                  </w14:solidFill>
                </w14:textFill>
              </w:rPr>
              <w:t>3</w:t>
            </w:r>
            <w:r>
              <w:rPr>
                <w:rFonts w:hint="eastAsia" w:cs="宋体"/>
                <w:color w:val="000000" w:themeColor="text1"/>
                <w:sz w:val="24"/>
                <w:szCs w:val="32"/>
                <w:highlight w:val="none"/>
                <w:lang w:val="en-US" w:eastAsia="zh-CN"/>
                <w14:textFill>
                  <w14:solidFill>
                    <w14:schemeClr w14:val="tx1"/>
                  </w14:solidFill>
                </w14:textFill>
              </w:rPr>
              <w:t>，经折算使用量0.00387t/a。</w:t>
            </w:r>
          </w:p>
          <w:p w14:paraId="1B1B718C">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稀释剂成分为1,2-丙二醇甲醚醋酸酯，沸点在146℃左右。年使用量20L，密度0.96g/cm</w:t>
            </w:r>
            <w:r>
              <w:rPr>
                <w:rFonts w:hint="eastAsia" w:cs="宋体"/>
                <w:color w:val="000000" w:themeColor="text1"/>
                <w:sz w:val="24"/>
                <w:szCs w:val="32"/>
                <w:highlight w:val="none"/>
                <w:vertAlign w:val="superscript"/>
                <w:lang w:val="en-US" w:eastAsia="zh-CN"/>
                <w14:textFill>
                  <w14:solidFill>
                    <w14:schemeClr w14:val="tx1"/>
                  </w14:solidFill>
                </w14:textFill>
              </w:rPr>
              <w:t>3</w:t>
            </w:r>
            <w:r>
              <w:rPr>
                <w:rFonts w:hint="eastAsia" w:cs="宋体"/>
                <w:color w:val="000000" w:themeColor="text1"/>
                <w:sz w:val="24"/>
                <w:szCs w:val="32"/>
                <w:highlight w:val="none"/>
                <w:lang w:val="en-US" w:eastAsia="zh-CN"/>
                <w14:textFill>
                  <w14:solidFill>
                    <w14:schemeClr w14:val="tx1"/>
                  </w14:solidFill>
                </w14:textFill>
              </w:rPr>
              <w:t>，经折算使用量0.0192t/a。</w:t>
            </w:r>
          </w:p>
          <w:p w14:paraId="4FEEBC68">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涂胶、烘烤环节上述原辅料残留约20%～30%于光刻胶干膜中，未残留的70%～80%按照涂胶、烘烤环节全部挥发考虑，本次评价按保守未残留的80%全部挥发考虑，则产生的有机废气为0.0494t/a。</w:t>
            </w:r>
          </w:p>
          <w:p w14:paraId="2ED3A266">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上述（1）~（5）有机废气污染物产生量合计为6.6694t/a。</w:t>
            </w:r>
          </w:p>
          <w:p w14:paraId="66319045">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（6）收集效率、处理效率及排放量</w:t>
            </w:r>
          </w:p>
          <w:p w14:paraId="7ADE6113">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收集效率：</w:t>
            </w:r>
            <w:r>
              <w:rPr>
                <w:rFonts w:hint="eastAsia" w:cs="宋体"/>
                <w:color w:val="000000" w:themeColor="text1"/>
                <w:sz w:val="24"/>
                <w:szCs w:val="32"/>
                <w:highlight w:val="none"/>
                <w14:textFill>
                  <w14:solidFill>
                    <w14:schemeClr w14:val="tx1"/>
                  </w14:solidFill>
                </w14:textFill>
              </w:rPr>
              <w:t>本项目车间除出入外，其他均为密闭，</w:t>
            </w:r>
            <w:r>
              <w:rPr>
                <w:rFonts w:hint="eastAsia" w:cs="宋体"/>
                <w:color w:val="000000" w:themeColor="text1"/>
                <w:sz w:val="24"/>
                <w:szCs w:val="32"/>
                <w:highlight w:val="none"/>
                <w:lang w:val="en-US" w:eastAsia="zh-CN"/>
                <w14:textFill>
                  <w14:solidFill>
                    <w14:schemeClr w14:val="tx1"/>
                  </w14:solidFill>
                </w14:textFill>
              </w:rPr>
              <w:t>集气罩负压收集，</w:t>
            </w:r>
            <w:r>
              <w:rPr>
                <w:rFonts w:hint="eastAsia" w:cs="宋体"/>
                <w:color w:val="000000" w:themeColor="text1"/>
                <w:sz w:val="24"/>
                <w:szCs w:val="32"/>
                <w:highlight w:val="none"/>
                <w14:textFill>
                  <w14:solidFill>
                    <w14:schemeClr w14:val="tx1"/>
                  </w14:solidFill>
                </w14:textFill>
              </w:rPr>
              <w:t>要求废气收集系统与生产设备自动同步启动</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根据《主要污染物总量减排核算技术指南（2022年修订）》，密闭式集气罩负压收集效率为90%；因此本项目有机废气无组织排放量为0.6669</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eastAsia="zh-CN"/>
                <w14:textFill>
                  <w14:solidFill>
                    <w14:schemeClr w14:val="tx1"/>
                  </w14:solidFill>
                </w14:textFill>
              </w:rPr>
              <w:t>。</w:t>
            </w:r>
          </w:p>
          <w:p w14:paraId="780DE126">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处理效率：本项目采用</w:t>
            </w:r>
            <w:r>
              <w:rPr>
                <w:rFonts w:hint="eastAsia" w:cs="宋体"/>
                <w:color w:val="000000" w:themeColor="text1"/>
                <w:sz w:val="24"/>
                <w:szCs w:val="32"/>
                <w:highlight w:val="none"/>
                <w:lang w:val="en-US" w:eastAsia="zh-CN"/>
                <w14:textFill>
                  <w14:solidFill>
                    <w14:schemeClr w14:val="tx1"/>
                  </w14:solidFill>
                </w14:textFill>
              </w:rPr>
              <w:t>密闭式</w:t>
            </w:r>
            <w:r>
              <w:rPr>
                <w:rFonts w:hint="eastAsia" w:cs="宋体"/>
                <w:color w:val="000000" w:themeColor="text1"/>
                <w:sz w:val="24"/>
                <w:szCs w:val="32"/>
                <w:highlight w:val="none"/>
                <w14:textFill>
                  <w14:solidFill>
                    <w14:schemeClr w14:val="tx1"/>
                  </w14:solidFill>
                </w14:textFill>
              </w:rPr>
              <w:t>集气罩</w:t>
            </w:r>
            <w:r>
              <w:rPr>
                <w:rFonts w:hint="eastAsia" w:cs="宋体"/>
                <w:color w:val="000000" w:themeColor="text1"/>
                <w:sz w:val="24"/>
                <w:szCs w:val="32"/>
                <w:highlight w:val="none"/>
                <w:lang w:val="en-US" w:eastAsia="zh-CN"/>
                <w14:textFill>
                  <w14:solidFill>
                    <w14:schemeClr w14:val="tx1"/>
                  </w14:solidFill>
                </w14:textFill>
              </w:rPr>
              <w:t>负压收集</w:t>
            </w:r>
            <w:r>
              <w:rPr>
                <w:rFonts w:hint="eastAsia" w:cs="宋体"/>
                <w:color w:val="000000" w:themeColor="text1"/>
                <w:sz w:val="24"/>
                <w:szCs w:val="32"/>
                <w:highlight w:val="none"/>
                <w14:textFill>
                  <w14:solidFill>
                    <w14:schemeClr w14:val="tx1"/>
                  </w14:solidFill>
                </w14:textFill>
              </w:rPr>
              <w:t>+二级活性炭吸附处理产生的废气。</w:t>
            </w:r>
            <w:r>
              <w:rPr>
                <w:rFonts w:hint="eastAsia" w:cs="宋体"/>
                <w:color w:val="000000" w:themeColor="text1"/>
                <w:sz w:val="24"/>
                <w:szCs w:val="32"/>
                <w:highlight w:val="none"/>
                <w:lang w:val="en-US" w:eastAsia="zh-CN"/>
                <w14:textFill>
                  <w14:solidFill>
                    <w14:schemeClr w14:val="tx1"/>
                  </w14:solidFill>
                </w14:textFill>
              </w:rPr>
              <w:t>参照《深圳市工业有机废气治理用活性炭更换技术指引(试行)》(深环办〔2023〕66号)附录A的工业有机废气治理用活性炭技术指标及试验方法，活性炭单级吸附效率为60%；本项目有机废气主要利用二级活性炭吸附处理，则本项目采用的二级活性炭吸附总处理效率为1-(1-60%)×(1-60%)=84%。</w:t>
            </w:r>
          </w:p>
          <w:p w14:paraId="34871209">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各股有机废气经各自集气罩收集后合并引至“二级活性炭吸附装置”处理后由一根30米高排气筒排放。本项目所在1#厂房共4层，建筑总高度23.4m，排气筒高出建筑物6.6m。</w:t>
            </w:r>
          </w:p>
          <w:p w14:paraId="2C1CEEE4">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本项目</w:t>
            </w:r>
            <w:r>
              <w:rPr>
                <w:rFonts w:hint="eastAsia" w:cs="宋体"/>
                <w:color w:val="000000" w:themeColor="text1"/>
                <w:sz w:val="24"/>
                <w:szCs w:val="32"/>
                <w:highlight w:val="none"/>
                <w:lang w:val="en-US" w:eastAsia="zh-CN"/>
                <w14:textFill>
                  <w14:solidFill>
                    <w14:schemeClr w14:val="tx1"/>
                  </w14:solidFill>
                </w14:textFill>
              </w:rPr>
              <w:t>产品1的</w:t>
            </w:r>
            <w:r>
              <w:rPr>
                <w:rFonts w:hint="eastAsia" w:cs="宋体"/>
                <w:color w:val="000000" w:themeColor="text1"/>
                <w:sz w:val="24"/>
                <w:szCs w:val="32"/>
                <w:highlight w:val="none"/>
                <w14:textFill>
                  <w14:solidFill>
                    <w14:schemeClr w14:val="tx1"/>
                  </w14:solidFill>
                </w14:textFill>
              </w:rPr>
              <w:t>清洗</w:t>
            </w:r>
            <w:r>
              <w:rPr>
                <w:rFonts w:hint="eastAsia" w:cs="宋体"/>
                <w:color w:val="000000" w:themeColor="text1"/>
                <w:sz w:val="24"/>
                <w:szCs w:val="32"/>
                <w:highlight w:val="none"/>
                <w:lang w:val="en-US" w:eastAsia="zh-CN"/>
                <w14:textFill>
                  <w14:solidFill>
                    <w14:schemeClr w14:val="tx1"/>
                  </w14:solidFill>
                </w14:textFill>
              </w:rPr>
              <w:t>检验</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装配、检测等环节，以及产品2的清洗、涂胶、烘烤、去残胶、清洁检测等环节，</w:t>
            </w:r>
            <w:r>
              <w:rPr>
                <w:rFonts w:hint="eastAsia" w:cs="宋体"/>
                <w:color w:val="000000" w:themeColor="text1"/>
                <w:sz w:val="24"/>
                <w:szCs w:val="32"/>
                <w:highlight w:val="none"/>
                <w14:textFill>
                  <w14:solidFill>
                    <w14:schemeClr w14:val="tx1"/>
                  </w14:solidFill>
                </w14:textFill>
              </w:rPr>
              <w:t>均</w:t>
            </w:r>
            <w:r>
              <w:rPr>
                <w:rFonts w:hint="eastAsia" w:cs="宋体"/>
                <w:color w:val="000000" w:themeColor="text1"/>
                <w:sz w:val="24"/>
                <w:szCs w:val="32"/>
                <w:highlight w:val="none"/>
                <w:lang w:val="en-US" w:eastAsia="zh-CN"/>
                <w14:textFill>
                  <w14:solidFill>
                    <w14:schemeClr w14:val="tx1"/>
                  </w14:solidFill>
                </w14:textFill>
              </w:rPr>
              <w:t>采用硬质隔断，</w:t>
            </w:r>
            <w:r>
              <w:rPr>
                <w:rFonts w:hint="eastAsia" w:cs="宋体"/>
                <w:color w:val="000000" w:themeColor="text1"/>
                <w:sz w:val="24"/>
                <w:szCs w:val="32"/>
                <w:highlight w:val="none"/>
                <w14:textFill>
                  <w14:solidFill>
                    <w14:schemeClr w14:val="tx1"/>
                  </w14:solidFill>
                </w14:textFill>
              </w:rPr>
              <w:t>单独</w:t>
            </w:r>
            <w:r>
              <w:rPr>
                <w:rFonts w:hint="eastAsia" w:cs="宋体"/>
                <w:color w:val="000000" w:themeColor="text1"/>
                <w:sz w:val="24"/>
                <w:szCs w:val="32"/>
                <w:highlight w:val="none"/>
                <w:lang w:val="en-US" w:eastAsia="zh-CN"/>
                <w14:textFill>
                  <w14:solidFill>
                    <w14:schemeClr w14:val="tx1"/>
                  </w14:solidFill>
                </w14:textFill>
              </w:rPr>
              <w:t>操作间；</w:t>
            </w:r>
            <w:r>
              <w:rPr>
                <w:rFonts w:hint="eastAsia" w:cs="宋体"/>
                <w:color w:val="000000" w:themeColor="text1"/>
                <w:sz w:val="24"/>
                <w:szCs w:val="32"/>
                <w:highlight w:val="none"/>
                <w14:textFill>
                  <w14:solidFill>
                    <w14:schemeClr w14:val="tx1"/>
                  </w14:solidFill>
                </w14:textFill>
              </w:rPr>
              <w:t>项目拟在</w:t>
            </w:r>
            <w:r>
              <w:rPr>
                <w:rFonts w:hint="eastAsia" w:cs="宋体"/>
                <w:color w:val="000000" w:themeColor="text1"/>
                <w:sz w:val="24"/>
                <w:szCs w:val="32"/>
                <w:highlight w:val="none"/>
                <w:lang w:val="en-US" w:eastAsia="zh-CN"/>
                <w14:textFill>
                  <w14:solidFill>
                    <w14:schemeClr w14:val="tx1"/>
                  </w14:solidFill>
                </w14:textFill>
              </w:rPr>
              <w:t>各环节</w:t>
            </w:r>
            <w:r>
              <w:rPr>
                <w:rFonts w:hint="eastAsia" w:cs="宋体"/>
                <w:color w:val="000000" w:themeColor="text1"/>
                <w:sz w:val="24"/>
                <w:szCs w:val="32"/>
                <w:highlight w:val="none"/>
                <w14:textFill>
                  <w14:solidFill>
                    <w14:schemeClr w14:val="tx1"/>
                  </w14:solidFill>
                </w14:textFill>
              </w:rPr>
              <w:t>上方设置集气罩收集</w:t>
            </w:r>
            <w:r>
              <w:rPr>
                <w:rFonts w:hint="eastAsia" w:cs="宋体"/>
                <w:color w:val="000000" w:themeColor="text1"/>
                <w:sz w:val="24"/>
                <w:szCs w:val="32"/>
                <w:highlight w:val="none"/>
                <w:lang w:val="en-US" w:eastAsia="zh-CN"/>
                <w14:textFill>
                  <w14:solidFill>
                    <w14:schemeClr w14:val="tx1"/>
                  </w14:solidFill>
                </w14:textFill>
              </w:rPr>
              <w:t>有机废气</w:t>
            </w:r>
            <w:r>
              <w:rPr>
                <w:rFonts w:hint="eastAsia" w:cs="宋体"/>
                <w:color w:val="000000" w:themeColor="text1"/>
                <w:sz w:val="24"/>
                <w:szCs w:val="32"/>
                <w:highlight w:val="none"/>
                <w14:textFill>
                  <w14:solidFill>
                    <w14:schemeClr w14:val="tx1"/>
                  </w14:solidFill>
                </w14:textFill>
              </w:rPr>
              <w:t>，采用</w:t>
            </w:r>
            <w:r>
              <w:rPr>
                <w:rFonts w:hint="eastAsia" w:cs="宋体"/>
                <w:color w:val="000000" w:themeColor="text1"/>
                <w:sz w:val="24"/>
                <w:szCs w:val="32"/>
                <w:highlight w:val="none"/>
                <w:lang w:val="en-US" w:eastAsia="zh-CN"/>
                <w14:textFill>
                  <w14:solidFill>
                    <w14:schemeClr w14:val="tx1"/>
                  </w14:solidFill>
                </w14:textFill>
              </w:rPr>
              <w:t>局部</w:t>
            </w:r>
            <w:r>
              <w:rPr>
                <w:rFonts w:hint="eastAsia" w:cs="宋体"/>
                <w:color w:val="000000" w:themeColor="text1"/>
                <w:sz w:val="24"/>
                <w:szCs w:val="32"/>
                <w:highlight w:val="none"/>
                <w14:textFill>
                  <w14:solidFill>
                    <w14:schemeClr w14:val="tx1"/>
                  </w14:solidFill>
                </w14:textFill>
              </w:rPr>
              <w:t>顶吸式收集方式。本项目</w:t>
            </w:r>
            <w:r>
              <w:rPr>
                <w:rFonts w:hint="eastAsia" w:cs="宋体"/>
                <w:color w:val="000000" w:themeColor="text1"/>
                <w:sz w:val="24"/>
                <w:szCs w:val="32"/>
                <w:highlight w:val="none"/>
                <w:lang w:val="en-US" w:eastAsia="zh-CN"/>
                <w14:textFill>
                  <w14:solidFill>
                    <w14:schemeClr w14:val="tx1"/>
                  </w14:solidFill>
                </w14:textFill>
              </w:rPr>
              <w:t>有机废气收集</w:t>
            </w:r>
            <w:r>
              <w:rPr>
                <w:rFonts w:hint="eastAsia" w:cs="宋体"/>
                <w:color w:val="000000" w:themeColor="text1"/>
                <w:sz w:val="24"/>
                <w:szCs w:val="32"/>
                <w:highlight w:val="none"/>
                <w14:textFill>
                  <w14:solidFill>
                    <w14:schemeClr w14:val="tx1"/>
                  </w14:solidFill>
                </w14:textFill>
              </w:rPr>
              <w:t>设施设计风机风量为</w:t>
            </w:r>
            <w:r>
              <w:rPr>
                <w:rFonts w:hint="eastAsia" w:cs="宋体"/>
                <w:color w:val="000000" w:themeColor="text1"/>
                <w:sz w:val="24"/>
                <w:szCs w:val="32"/>
                <w:highlight w:val="none"/>
                <w:lang w:val="en-US" w:eastAsia="zh-CN"/>
                <w14:textFill>
                  <w14:solidFill>
                    <w14:schemeClr w14:val="tx1"/>
                  </w14:solidFill>
                </w14:textFill>
              </w:rPr>
              <w:t>72</w:t>
            </w:r>
            <w:r>
              <w:rPr>
                <w:rFonts w:hint="eastAsia" w:cs="宋体"/>
                <w:color w:val="000000" w:themeColor="text1"/>
                <w:sz w:val="24"/>
                <w:szCs w:val="32"/>
                <w:highlight w:val="none"/>
                <w14:textFill>
                  <w14:solidFill>
                    <w14:schemeClr w14:val="tx1"/>
                  </w14:solidFill>
                </w14:textFill>
              </w:rPr>
              <w:t>00m</w:t>
            </w:r>
            <w:r>
              <w:rPr>
                <w:rFonts w:hint="eastAsia" w:cs="宋体"/>
                <w:color w:val="000000" w:themeColor="text1"/>
                <w:sz w:val="24"/>
                <w:szCs w:val="32"/>
                <w:highlight w:val="none"/>
                <w:vertAlign w:val="superscript"/>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/h，</w:t>
            </w:r>
            <w:r>
              <w:rPr>
                <w:rFonts w:hint="eastAsia" w:cs="宋体"/>
                <w:color w:val="000000" w:themeColor="text1"/>
                <w:sz w:val="24"/>
                <w:szCs w:val="32"/>
                <w:highlight w:val="none"/>
                <w:lang w:val="en-US" w:eastAsia="zh-CN"/>
                <w14:textFill>
                  <w14:solidFill>
                    <w14:schemeClr w14:val="tx1"/>
                  </w14:solidFill>
                </w14:textFill>
              </w:rPr>
              <w:t>局部换风体积550</w:t>
            </w:r>
            <w:r>
              <w:rPr>
                <w:rFonts w:hint="eastAsia" w:cs="宋体"/>
                <w:color w:val="000000" w:themeColor="text1"/>
                <w:sz w:val="24"/>
                <w:szCs w:val="32"/>
                <w:highlight w:val="none"/>
                <w14:textFill>
                  <w14:solidFill>
                    <w14:schemeClr w14:val="tx1"/>
                  </w14:solidFill>
                </w14:textFill>
              </w:rPr>
              <w:t>m</w:t>
            </w:r>
            <w:r>
              <w:rPr>
                <w:rFonts w:hint="eastAsia" w:cs="宋体"/>
                <w:color w:val="000000" w:themeColor="text1"/>
                <w:sz w:val="24"/>
                <w:szCs w:val="32"/>
                <w:highlight w:val="none"/>
                <w:vertAlign w:val="superscript"/>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/h</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每小时换风次数12次，</w:t>
            </w:r>
            <w:r>
              <w:rPr>
                <w:rFonts w:hint="eastAsia" w:cs="宋体"/>
                <w:color w:val="000000" w:themeColor="text1"/>
                <w:sz w:val="24"/>
                <w:szCs w:val="32"/>
                <w:highlight w:val="none"/>
                <w14:textFill>
                  <w14:solidFill>
                    <w14:schemeClr w14:val="tx1"/>
                  </w14:solidFill>
                </w14:textFill>
              </w:rPr>
              <w:t>可满足收集要求</w:t>
            </w:r>
            <w:r>
              <w:rPr>
                <w:rFonts w:hint="eastAsia" w:cs="宋体"/>
                <w:color w:val="000000" w:themeColor="text1"/>
                <w:sz w:val="24"/>
                <w:szCs w:val="32"/>
                <w:highlight w:val="none"/>
                <w:lang w:eastAsia="zh-CN"/>
                <w14:textFill>
                  <w14:solidFill>
                    <w14:schemeClr w14:val="tx1"/>
                  </w14:solidFill>
                </w14:textFill>
              </w:rPr>
              <w:t>。</w:t>
            </w:r>
          </w:p>
          <w:p w14:paraId="27C8AFB2">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本项目年工作时长按2000h，因此本项目有机废气产生与排放情况见下表。</w:t>
            </w:r>
          </w:p>
          <w:p w14:paraId="2109B167">
            <w:pPr>
              <w:spacing w:line="360" w:lineRule="auto"/>
              <w:jc w:val="center"/>
              <w:rPr>
                <w:rFonts w:ascii="宋体" w:cs="宋体"/>
                <w:b/>
                <w:bCs w:val="0"/>
                <w:color w:val="000000" w:themeColor="text1"/>
                <w:kern w:val="0"/>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 xml:space="preserve">表 </w:t>
            </w:r>
            <w:r>
              <w:rPr>
                <w:b/>
                <w:bCs w:val="0"/>
                <w:color w:val="000000" w:themeColor="text1"/>
                <w:sz w:val="24"/>
                <w:szCs w:val="24"/>
                <w:highlight w:val="none"/>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.1</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2</w:t>
            </w:r>
            <w:r>
              <w:rPr>
                <w:b/>
                <w:bCs w:val="0"/>
                <w:color w:val="000000" w:themeColor="text1"/>
                <w:sz w:val="24"/>
                <w:szCs w:val="24"/>
                <w:highlight w:val="none"/>
                <w14:textFill>
                  <w14:solidFill>
                    <w14:schemeClr w14:val="tx1"/>
                  </w14:solidFill>
                </w14:textFill>
              </w:rPr>
              <w:t xml:space="preserve">  </w:t>
            </w:r>
            <w:r>
              <w:rPr>
                <w:rFonts w:hint="eastAsia"/>
                <w:b/>
                <w:bCs w:val="0"/>
                <w:color w:val="000000" w:themeColor="text1"/>
                <w:sz w:val="24"/>
                <w:szCs w:val="24"/>
                <w:highlight w:val="none"/>
                <w:lang w:val="en-US" w:eastAsia="zh-CN"/>
                <w14:textFill>
                  <w14:solidFill>
                    <w14:schemeClr w14:val="tx1"/>
                  </w14:solidFill>
                </w14:textFill>
              </w:rPr>
              <w:t>本项目有组织有机废气产排情况</w:t>
            </w:r>
            <w:r>
              <w:rPr>
                <w:rFonts w:hint="eastAsia"/>
                <w:b/>
                <w:bCs w:val="0"/>
                <w:color w:val="000000" w:themeColor="text1"/>
                <w:sz w:val="24"/>
                <w:szCs w:val="24"/>
                <w:highlight w:val="none"/>
                <w14:textFill>
                  <w14:solidFill>
                    <w14:schemeClr w14:val="tx1"/>
                  </w14:solidFill>
                </w14:textFill>
              </w:rPr>
              <w:t>一览表</w:t>
            </w:r>
          </w:p>
          <w:tbl>
            <w:tblPr>
              <w:tblStyle w:val="31"/>
              <w:tblW w:w="5000" w:type="pct"/>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475"/>
              <w:gridCol w:w="550"/>
              <w:gridCol w:w="663"/>
              <w:gridCol w:w="662"/>
              <w:gridCol w:w="654"/>
              <w:gridCol w:w="690"/>
              <w:gridCol w:w="420"/>
              <w:gridCol w:w="600"/>
              <w:gridCol w:w="660"/>
              <w:gridCol w:w="645"/>
              <w:gridCol w:w="420"/>
              <w:gridCol w:w="420"/>
              <w:gridCol w:w="375"/>
              <w:gridCol w:w="368"/>
            </w:tblGrid>
            <w:tr w14:paraId="1106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rPr>
              <w:tc>
                <w:tcPr>
                  <w:tcW w:w="518" w:type="dxa"/>
                  <w:vMerge w:val="restart"/>
                  <w:shd w:val="clear" w:color="auto" w:fill="auto"/>
                  <w:vAlign w:val="center"/>
                </w:tcPr>
                <w:p w14:paraId="5C9F7D6F">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排气筒名称</w:t>
                  </w:r>
                </w:p>
              </w:tc>
              <w:tc>
                <w:tcPr>
                  <w:tcW w:w="475" w:type="dxa"/>
                  <w:vMerge w:val="restart"/>
                  <w:shd w:val="clear" w:color="auto" w:fill="auto"/>
                  <w:vAlign w:val="center"/>
                </w:tcPr>
                <w:p w14:paraId="65F5A403">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排放源名称</w:t>
                  </w:r>
                </w:p>
              </w:tc>
              <w:tc>
                <w:tcPr>
                  <w:tcW w:w="550" w:type="dxa"/>
                  <w:vMerge w:val="restart"/>
                  <w:shd w:val="clear" w:color="auto" w:fill="auto"/>
                  <w:vAlign w:val="center"/>
                </w:tcPr>
                <w:p w14:paraId="6C049166">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污染物名称</w:t>
                  </w:r>
                </w:p>
              </w:tc>
              <w:tc>
                <w:tcPr>
                  <w:tcW w:w="1979" w:type="dxa"/>
                  <w:gridSpan w:val="3"/>
                  <w:shd w:val="clear" w:color="auto" w:fill="auto"/>
                  <w:vAlign w:val="center"/>
                </w:tcPr>
                <w:p w14:paraId="64F5C427">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产生情况</w:t>
                  </w:r>
                </w:p>
              </w:tc>
              <w:tc>
                <w:tcPr>
                  <w:tcW w:w="690" w:type="dxa"/>
                  <w:vMerge w:val="restart"/>
                  <w:shd w:val="clear" w:color="auto" w:fill="auto"/>
                  <w:vAlign w:val="center"/>
                </w:tcPr>
                <w:p w14:paraId="01526774">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治理措施</w:t>
                  </w:r>
                </w:p>
              </w:tc>
              <w:tc>
                <w:tcPr>
                  <w:tcW w:w="420" w:type="dxa"/>
                  <w:vMerge w:val="restart"/>
                  <w:shd w:val="clear" w:color="auto" w:fill="auto"/>
                  <w:vAlign w:val="center"/>
                </w:tcPr>
                <w:p w14:paraId="62F85684">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去除率</w:t>
                  </w:r>
                </w:p>
              </w:tc>
              <w:tc>
                <w:tcPr>
                  <w:tcW w:w="1905" w:type="dxa"/>
                  <w:gridSpan w:val="3"/>
                  <w:shd w:val="clear" w:color="auto" w:fill="auto"/>
                  <w:vAlign w:val="center"/>
                </w:tcPr>
                <w:p w14:paraId="58D504DF">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排放情况</w:t>
                  </w:r>
                </w:p>
              </w:tc>
              <w:tc>
                <w:tcPr>
                  <w:tcW w:w="1583" w:type="dxa"/>
                  <w:gridSpan w:val="4"/>
                  <w:shd w:val="clear" w:color="auto" w:fill="auto"/>
                  <w:vAlign w:val="center"/>
                </w:tcPr>
                <w:p w14:paraId="6A9D4677">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排放口参数</w:t>
                  </w:r>
                </w:p>
              </w:tc>
            </w:tr>
            <w:tr w14:paraId="5600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rPr>
              <w:tc>
                <w:tcPr>
                  <w:tcW w:w="518" w:type="dxa"/>
                  <w:vMerge w:val="continue"/>
                  <w:shd w:val="clear" w:color="auto" w:fill="auto"/>
                  <w:vAlign w:val="center"/>
                </w:tcPr>
                <w:p w14:paraId="1ABAC50F">
                  <w:pPr>
                    <w:jc w:val="center"/>
                    <w:rPr>
                      <w:rFonts w:hint="default" w:eastAsia="宋体"/>
                      <w:color w:val="000000" w:themeColor="text1"/>
                      <w:sz w:val="21"/>
                      <w:szCs w:val="21"/>
                      <w:highlight w:val="none"/>
                      <w:lang w:val="en-US" w:eastAsia="zh-CN"/>
                      <w14:textFill>
                        <w14:solidFill>
                          <w14:schemeClr w14:val="tx1"/>
                        </w14:solidFill>
                      </w14:textFill>
                    </w:rPr>
                  </w:pPr>
                </w:p>
              </w:tc>
              <w:tc>
                <w:tcPr>
                  <w:tcW w:w="475" w:type="dxa"/>
                  <w:vMerge w:val="continue"/>
                  <w:shd w:val="clear" w:color="auto" w:fill="auto"/>
                  <w:vAlign w:val="center"/>
                </w:tcPr>
                <w:p w14:paraId="4D410E8A">
                  <w:pPr>
                    <w:jc w:val="center"/>
                    <w:rPr>
                      <w:rFonts w:hint="default" w:eastAsia="宋体"/>
                      <w:color w:val="000000" w:themeColor="text1"/>
                      <w:sz w:val="21"/>
                      <w:szCs w:val="21"/>
                      <w:highlight w:val="none"/>
                      <w:lang w:val="en-US" w:eastAsia="zh-CN"/>
                      <w14:textFill>
                        <w14:solidFill>
                          <w14:schemeClr w14:val="tx1"/>
                        </w14:solidFill>
                      </w14:textFill>
                    </w:rPr>
                  </w:pPr>
                </w:p>
              </w:tc>
              <w:tc>
                <w:tcPr>
                  <w:tcW w:w="550" w:type="dxa"/>
                  <w:vMerge w:val="continue"/>
                  <w:shd w:val="clear" w:color="auto" w:fill="auto"/>
                  <w:vAlign w:val="center"/>
                </w:tcPr>
                <w:p w14:paraId="34542222">
                  <w:pPr>
                    <w:jc w:val="center"/>
                    <w:rPr>
                      <w:rFonts w:hint="default" w:eastAsia="宋体"/>
                      <w:color w:val="000000" w:themeColor="text1"/>
                      <w:sz w:val="21"/>
                      <w:szCs w:val="21"/>
                      <w:highlight w:val="none"/>
                      <w:lang w:val="en-US" w:eastAsia="zh-CN"/>
                      <w14:textFill>
                        <w14:solidFill>
                          <w14:schemeClr w14:val="tx1"/>
                        </w14:solidFill>
                      </w14:textFill>
                    </w:rPr>
                  </w:pPr>
                </w:p>
              </w:tc>
              <w:tc>
                <w:tcPr>
                  <w:tcW w:w="663" w:type="dxa"/>
                  <w:shd w:val="clear" w:color="auto" w:fill="auto"/>
                  <w:vAlign w:val="center"/>
                </w:tcPr>
                <w:p w14:paraId="2C207CAE">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浓度mg/m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662" w:type="dxa"/>
                  <w:shd w:val="clear" w:color="auto" w:fill="auto"/>
                  <w:vAlign w:val="center"/>
                </w:tcPr>
                <w:p w14:paraId="4AB88FAC">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速率kg/h</w:t>
                  </w:r>
                </w:p>
              </w:tc>
              <w:tc>
                <w:tcPr>
                  <w:tcW w:w="654" w:type="dxa"/>
                  <w:shd w:val="clear" w:color="auto" w:fill="auto"/>
                  <w:vAlign w:val="center"/>
                </w:tcPr>
                <w:p w14:paraId="78A2A7E9">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产生量t/a</w:t>
                  </w:r>
                </w:p>
              </w:tc>
              <w:tc>
                <w:tcPr>
                  <w:tcW w:w="690" w:type="dxa"/>
                  <w:vMerge w:val="continue"/>
                  <w:shd w:val="clear" w:color="auto" w:fill="auto"/>
                  <w:vAlign w:val="center"/>
                </w:tcPr>
                <w:p w14:paraId="1E0B8E8C">
                  <w:pPr>
                    <w:jc w:val="center"/>
                    <w:rPr>
                      <w:color w:val="000000" w:themeColor="text1"/>
                      <w:sz w:val="21"/>
                      <w:szCs w:val="21"/>
                      <w:highlight w:val="none"/>
                      <w14:textFill>
                        <w14:solidFill>
                          <w14:schemeClr w14:val="tx1"/>
                        </w14:solidFill>
                      </w14:textFill>
                    </w:rPr>
                  </w:pPr>
                </w:p>
              </w:tc>
              <w:tc>
                <w:tcPr>
                  <w:tcW w:w="420" w:type="dxa"/>
                  <w:vMerge w:val="continue"/>
                  <w:shd w:val="clear" w:color="auto" w:fill="auto"/>
                  <w:vAlign w:val="center"/>
                </w:tcPr>
                <w:p w14:paraId="0CC00F3B">
                  <w:pPr>
                    <w:jc w:val="center"/>
                    <w:rPr>
                      <w:color w:val="000000" w:themeColor="text1"/>
                      <w:sz w:val="21"/>
                      <w:szCs w:val="21"/>
                      <w:highlight w:val="none"/>
                      <w14:textFill>
                        <w14:solidFill>
                          <w14:schemeClr w14:val="tx1"/>
                        </w14:solidFill>
                      </w14:textFill>
                    </w:rPr>
                  </w:pPr>
                </w:p>
              </w:tc>
              <w:tc>
                <w:tcPr>
                  <w:tcW w:w="600" w:type="dxa"/>
                  <w:shd w:val="clear" w:color="auto" w:fill="auto"/>
                  <w:vAlign w:val="center"/>
                </w:tcPr>
                <w:p w14:paraId="353DF78F">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浓度mg/m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660" w:type="dxa"/>
                  <w:shd w:val="clear" w:color="auto" w:fill="auto"/>
                  <w:vAlign w:val="center"/>
                </w:tcPr>
                <w:p w14:paraId="46B6D0FA">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速率kg/h</w:t>
                  </w:r>
                </w:p>
              </w:tc>
              <w:tc>
                <w:tcPr>
                  <w:tcW w:w="645" w:type="dxa"/>
                  <w:shd w:val="clear" w:color="auto" w:fill="auto"/>
                  <w:vAlign w:val="center"/>
                </w:tcPr>
                <w:p w14:paraId="252716E7">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排放量t/a</w:t>
                  </w:r>
                </w:p>
              </w:tc>
              <w:tc>
                <w:tcPr>
                  <w:tcW w:w="420" w:type="dxa"/>
                  <w:shd w:val="clear" w:color="auto" w:fill="auto"/>
                  <w:vAlign w:val="center"/>
                </w:tcPr>
                <w:p w14:paraId="4E779AED">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高度m</w:t>
                  </w:r>
                </w:p>
              </w:tc>
              <w:tc>
                <w:tcPr>
                  <w:tcW w:w="420" w:type="dxa"/>
                  <w:shd w:val="clear" w:color="auto" w:fill="auto"/>
                  <w:vAlign w:val="center"/>
                </w:tcPr>
                <w:p w14:paraId="5EC02CEC">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内径m</w:t>
                  </w:r>
                </w:p>
              </w:tc>
              <w:tc>
                <w:tcPr>
                  <w:tcW w:w="375" w:type="dxa"/>
                  <w:shd w:val="clear" w:color="auto" w:fill="auto"/>
                  <w:vAlign w:val="center"/>
                </w:tcPr>
                <w:p w14:paraId="2A35BC7F">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温度℃</w:t>
                  </w:r>
                </w:p>
              </w:tc>
              <w:tc>
                <w:tcPr>
                  <w:tcW w:w="368" w:type="dxa"/>
                  <w:shd w:val="clear" w:color="auto" w:fill="auto"/>
                  <w:vAlign w:val="center"/>
                </w:tcPr>
                <w:p w14:paraId="7B40E193">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方式</w:t>
                  </w:r>
                </w:p>
              </w:tc>
            </w:tr>
            <w:tr w14:paraId="24FB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8" w:type="dxa"/>
                  <w:shd w:val="clear" w:color="auto" w:fill="auto"/>
                  <w:vAlign w:val="center"/>
                </w:tcPr>
                <w:p w14:paraId="7EC2E41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DA00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475" w:type="dxa"/>
                  <w:shd w:val="clear" w:color="auto" w:fill="auto"/>
                  <w:vAlign w:val="center"/>
                </w:tcPr>
                <w:p w14:paraId="2546AD8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有机废气</w:t>
                  </w:r>
                </w:p>
              </w:tc>
              <w:tc>
                <w:tcPr>
                  <w:tcW w:w="550" w:type="dxa"/>
                  <w:shd w:val="clear" w:color="auto" w:fill="auto"/>
                  <w:vAlign w:val="center"/>
                </w:tcPr>
                <w:p w14:paraId="7E58754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NMHC</w:t>
                  </w:r>
                </w:p>
              </w:tc>
              <w:tc>
                <w:tcPr>
                  <w:tcW w:w="663" w:type="dxa"/>
                  <w:shd w:val="clear" w:color="auto" w:fill="auto"/>
                  <w:vAlign w:val="center"/>
                </w:tcPr>
                <w:p w14:paraId="2D92F9B7">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463.15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662" w:type="dxa"/>
                  <w:shd w:val="clear" w:color="auto" w:fill="auto"/>
                  <w:vAlign w:val="center"/>
                </w:tcPr>
                <w:p w14:paraId="079EEE78">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3.3347 </w:t>
                  </w:r>
                </w:p>
              </w:tc>
              <w:tc>
                <w:tcPr>
                  <w:tcW w:w="654" w:type="dxa"/>
                  <w:shd w:val="clear" w:color="auto" w:fill="auto"/>
                  <w:vAlign w:val="center"/>
                </w:tcPr>
                <w:p w14:paraId="55A52E11">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6.6694 </w:t>
                  </w:r>
                </w:p>
              </w:tc>
              <w:tc>
                <w:tcPr>
                  <w:tcW w:w="690" w:type="dxa"/>
                  <w:shd w:val="clear" w:color="auto" w:fill="auto"/>
                  <w:vAlign w:val="center"/>
                </w:tcPr>
                <w:p w14:paraId="62A165A4">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集气罩</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+二级活性炭</w:t>
                  </w:r>
                </w:p>
              </w:tc>
              <w:tc>
                <w:tcPr>
                  <w:tcW w:w="420" w:type="dxa"/>
                  <w:shd w:val="clear" w:color="auto" w:fill="auto"/>
                  <w:vAlign w:val="center"/>
                </w:tcPr>
                <w:p w14:paraId="5E9296A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84</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00" w:type="dxa"/>
                  <w:shd w:val="clear" w:color="auto" w:fill="auto"/>
                  <w:vAlign w:val="center"/>
                </w:tcPr>
                <w:p w14:paraId="44A29716">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66.69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660" w:type="dxa"/>
                  <w:shd w:val="clear" w:color="auto" w:fill="auto"/>
                  <w:vAlign w:val="center"/>
                </w:tcPr>
                <w:p w14:paraId="15D59261">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0.4802</w:t>
                  </w:r>
                </w:p>
              </w:tc>
              <w:tc>
                <w:tcPr>
                  <w:tcW w:w="645" w:type="dxa"/>
                  <w:shd w:val="clear" w:color="auto" w:fill="auto"/>
                  <w:vAlign w:val="center"/>
                </w:tcPr>
                <w:p w14:paraId="34996D1E">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0.9604</w:t>
                  </w:r>
                </w:p>
              </w:tc>
              <w:tc>
                <w:tcPr>
                  <w:tcW w:w="420" w:type="dxa"/>
                  <w:shd w:val="clear" w:color="auto" w:fill="auto"/>
                  <w:vAlign w:val="center"/>
                </w:tcPr>
                <w:p w14:paraId="5455B0F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420" w:type="dxa"/>
                  <w:shd w:val="clear" w:color="auto" w:fill="auto"/>
                  <w:vAlign w:val="center"/>
                </w:tcPr>
                <w:p w14:paraId="06B6E59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0.35</w:t>
                  </w:r>
                </w:p>
              </w:tc>
              <w:tc>
                <w:tcPr>
                  <w:tcW w:w="375" w:type="dxa"/>
                  <w:shd w:val="clear" w:color="auto" w:fill="auto"/>
                  <w:vAlign w:val="center"/>
                </w:tcPr>
                <w:p w14:paraId="0BF7882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368" w:type="dxa"/>
                  <w:shd w:val="clear" w:color="auto" w:fill="auto"/>
                  <w:vAlign w:val="center"/>
                </w:tcPr>
                <w:p w14:paraId="7C6573E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连续</w:t>
                  </w:r>
                </w:p>
              </w:tc>
            </w:tr>
          </w:tbl>
          <w:p w14:paraId="044DD5C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三</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酸性废气</w:t>
            </w:r>
          </w:p>
          <w:p w14:paraId="0F2031C7">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w:t>
            </w:r>
            <w:r>
              <w:rPr>
                <w:rFonts w:hint="eastAsia" w:cs="宋体"/>
                <w:color w:val="000000" w:themeColor="text1"/>
                <w:sz w:val="24"/>
                <w:szCs w:val="32"/>
                <w:highlight w:val="none"/>
                <w14:textFill>
                  <w14:solidFill>
                    <w14:schemeClr w14:val="tx1"/>
                  </w14:solidFill>
                </w14:textFill>
              </w:rPr>
              <w:t>项目</w:t>
            </w:r>
            <w:r>
              <w:rPr>
                <w:rFonts w:hint="eastAsia" w:cs="宋体"/>
                <w:color w:val="000000" w:themeColor="text1"/>
                <w:sz w:val="24"/>
                <w:szCs w:val="32"/>
                <w:highlight w:val="none"/>
                <w:lang w:val="en-US" w:eastAsia="zh-CN"/>
                <w14:textFill>
                  <w14:solidFill>
                    <w14:schemeClr w14:val="tx1"/>
                  </w14:solidFill>
                </w14:textFill>
              </w:rPr>
              <w:t>产品1的</w:t>
            </w:r>
            <w:r>
              <w:rPr>
                <w:rFonts w:hint="eastAsia" w:cs="宋体"/>
                <w:color w:val="000000" w:themeColor="text1"/>
                <w:sz w:val="24"/>
                <w:szCs w:val="32"/>
                <w:highlight w:val="none"/>
                <w14:textFill>
                  <w14:solidFill>
                    <w14:schemeClr w14:val="tx1"/>
                  </w14:solidFill>
                </w14:textFill>
              </w:rPr>
              <w:t>清洗</w:t>
            </w:r>
            <w:r>
              <w:rPr>
                <w:rFonts w:hint="eastAsia" w:cs="宋体"/>
                <w:color w:val="000000" w:themeColor="text1"/>
                <w:sz w:val="24"/>
                <w:szCs w:val="32"/>
                <w:highlight w:val="none"/>
                <w:lang w:val="en-US" w:eastAsia="zh-CN"/>
                <w14:textFill>
                  <w14:solidFill>
                    <w14:schemeClr w14:val="tx1"/>
                  </w14:solidFill>
                </w14:textFill>
              </w:rPr>
              <w:t>检验环节，以及产品2的金属刻蚀、玻璃刻蚀等环节，</w:t>
            </w:r>
            <w:r>
              <w:rPr>
                <w:rFonts w:hint="eastAsia" w:cs="宋体"/>
                <w:color w:val="000000" w:themeColor="text1"/>
                <w:sz w:val="24"/>
                <w:szCs w:val="32"/>
                <w:highlight w:val="none"/>
                <w14:textFill>
                  <w14:solidFill>
                    <w14:schemeClr w14:val="tx1"/>
                  </w14:solidFill>
                </w14:textFill>
              </w:rPr>
              <w:t>将产生</w:t>
            </w:r>
            <w:r>
              <w:rPr>
                <w:rFonts w:hint="eastAsia" w:cs="宋体"/>
                <w:color w:val="000000" w:themeColor="text1"/>
                <w:sz w:val="24"/>
                <w:szCs w:val="32"/>
                <w:highlight w:val="none"/>
                <w:lang w:val="en-US" w:eastAsia="zh-CN"/>
                <w14:textFill>
                  <w14:solidFill>
                    <w14:schemeClr w14:val="tx1"/>
                  </w14:solidFill>
                </w14:textFill>
              </w:rPr>
              <w:t>酸性</w:t>
            </w:r>
            <w:r>
              <w:rPr>
                <w:rFonts w:hint="eastAsia" w:cs="宋体"/>
                <w:color w:val="000000" w:themeColor="text1"/>
                <w:sz w:val="24"/>
                <w:szCs w:val="32"/>
                <w:highlight w:val="none"/>
                <w14:textFill>
                  <w14:solidFill>
                    <w14:schemeClr w14:val="tx1"/>
                  </w14:solidFill>
                </w14:textFill>
              </w:rPr>
              <w:t>废气。</w:t>
            </w:r>
          </w:p>
          <w:p w14:paraId="52CA78ED">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（1）</w:t>
            </w:r>
            <w:r>
              <w:rPr>
                <w:rFonts w:hint="eastAsia" w:cs="宋体"/>
                <w:color w:val="000000" w:themeColor="text1"/>
                <w:sz w:val="24"/>
                <w:szCs w:val="32"/>
                <w:highlight w:val="none"/>
                <w14:textFill>
                  <w14:solidFill>
                    <w14:schemeClr w14:val="tx1"/>
                  </w14:solidFill>
                </w14:textFill>
              </w:rPr>
              <w:t>清洗</w:t>
            </w:r>
            <w:r>
              <w:rPr>
                <w:rFonts w:hint="eastAsia" w:cs="宋体"/>
                <w:color w:val="000000" w:themeColor="text1"/>
                <w:sz w:val="24"/>
                <w:szCs w:val="32"/>
                <w:highlight w:val="none"/>
                <w:lang w:val="en-US" w:eastAsia="zh-CN"/>
                <w14:textFill>
                  <w14:solidFill>
                    <w14:schemeClr w14:val="tx1"/>
                  </w14:solidFill>
                </w14:textFill>
              </w:rPr>
              <w:t>检验工序的酸性废气</w:t>
            </w:r>
          </w:p>
          <w:p w14:paraId="20629D47">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产品1采用硫酸进行清洗检验，清洗过程产生硫酸雾。本项目年使用98%硫酸20t。浓硫酸是高沸点难挥发的强酸，其挥发性远小于盐酸、硝酸、氢氟酸等，浓硫酸挥发量占使用量比例保守按0.05%，则本项目硫酸雾产生量0.0098t/a。</w:t>
            </w:r>
          </w:p>
          <w:p w14:paraId="7BF0F251">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（2）金属刻蚀、玻璃刻蚀等工序的酸性废气</w:t>
            </w:r>
          </w:p>
          <w:p w14:paraId="5ABA26BC">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产品2的金属刻蚀环节使用磷酸、硝酸，会产生硫酸雾、硝酸雾，玻璃刻蚀使用氢氟酸、盐酸，会产生氟化物、氯化氢。</w:t>
            </w:r>
          </w:p>
          <w:p w14:paraId="666193FD">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磷酸为高沸点难挥发酸，磷酸雾产生量可忽略不计。</w:t>
            </w:r>
          </w:p>
          <w:p w14:paraId="160D1E8D">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68%硝酸年使用量100L，其密度1.408g/cm</w:t>
            </w:r>
            <w:r>
              <w:rPr>
                <w:rFonts w:hint="eastAsia" w:cs="宋体"/>
                <w:color w:val="000000" w:themeColor="text1"/>
                <w:sz w:val="24"/>
                <w:szCs w:val="32"/>
                <w:highlight w:val="none"/>
                <w:vertAlign w:val="superscript"/>
                <w:lang w:val="en-US" w:eastAsia="zh-CN"/>
                <w14:textFill>
                  <w14:solidFill>
                    <w14:schemeClr w14:val="tx1"/>
                  </w14:solidFill>
                </w14:textFill>
              </w:rPr>
              <w:t>3</w:t>
            </w:r>
            <w:r>
              <w:rPr>
                <w:rFonts w:hint="eastAsia" w:cs="宋体"/>
                <w:color w:val="000000" w:themeColor="text1"/>
                <w:sz w:val="24"/>
                <w:szCs w:val="32"/>
                <w:highlight w:val="none"/>
                <w:lang w:val="en-US" w:eastAsia="zh-CN"/>
                <w14:textFill>
                  <w14:solidFill>
                    <w14:schemeClr w14:val="tx1"/>
                  </w14:solidFill>
                </w14:textFill>
              </w:rPr>
              <w:t>，经折算使用量0.0957t/a。硝酸挥发量占使用量比例保守按0.5%，则本项目硝酸雾产生量0.0005</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val="en-US" w:eastAsia="zh-CN"/>
                <w14:textFill>
                  <w14:solidFill>
                    <w14:schemeClr w14:val="tx1"/>
                  </w14:solidFill>
                </w14:textFill>
              </w:rPr>
              <w:t>。</w:t>
            </w:r>
          </w:p>
          <w:p w14:paraId="36BB6555">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10%氢氟酸年使用量2500L，其密度1.038g/cm</w:t>
            </w:r>
            <w:r>
              <w:rPr>
                <w:rFonts w:hint="eastAsia" w:cs="宋体"/>
                <w:color w:val="000000" w:themeColor="text1"/>
                <w:sz w:val="24"/>
                <w:szCs w:val="32"/>
                <w:highlight w:val="none"/>
                <w:vertAlign w:val="superscript"/>
                <w:lang w:val="en-US" w:eastAsia="zh-CN"/>
                <w14:textFill>
                  <w14:solidFill>
                    <w14:schemeClr w14:val="tx1"/>
                  </w14:solidFill>
                </w14:textFill>
              </w:rPr>
              <w:t>3</w:t>
            </w:r>
            <w:r>
              <w:rPr>
                <w:rFonts w:hint="eastAsia" w:cs="宋体"/>
                <w:color w:val="000000" w:themeColor="text1"/>
                <w:sz w:val="24"/>
                <w:szCs w:val="32"/>
                <w:highlight w:val="none"/>
                <w:lang w:val="en-US" w:eastAsia="zh-CN"/>
                <w14:textFill>
                  <w14:solidFill>
                    <w14:schemeClr w14:val="tx1"/>
                  </w14:solidFill>
                </w14:textFill>
              </w:rPr>
              <w:t>，经折算使用量0.26t/a。氢氟酸挥发量占使用量比例保守按1.0%，则氟化物产生量0.0026</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val="en-US" w:eastAsia="zh-CN"/>
                <w14:textFill>
                  <w14:solidFill>
                    <w14:schemeClr w14:val="tx1"/>
                  </w14:solidFill>
                </w14:textFill>
              </w:rPr>
              <w:t>。</w:t>
            </w:r>
          </w:p>
          <w:p w14:paraId="6D9EEE9C">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氟化铵年使用量0.03t。1mol氟化铵分解出1molHF，分解率保守按10%，则氟化物产生量0.0016</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val="en-US" w:eastAsia="zh-CN"/>
                <w14:textFill>
                  <w14:solidFill>
                    <w14:schemeClr w14:val="tx1"/>
                  </w14:solidFill>
                </w14:textFill>
              </w:rPr>
              <w:t>。</w:t>
            </w:r>
          </w:p>
          <w:p w14:paraId="3E28B3B9">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37%盐酸年使用量30L，其密度1.189g/cm</w:t>
            </w:r>
            <w:r>
              <w:rPr>
                <w:rFonts w:hint="eastAsia" w:cs="宋体"/>
                <w:color w:val="000000" w:themeColor="text1"/>
                <w:sz w:val="24"/>
                <w:szCs w:val="32"/>
                <w:highlight w:val="none"/>
                <w:vertAlign w:val="superscript"/>
                <w:lang w:val="en-US" w:eastAsia="zh-CN"/>
                <w14:textFill>
                  <w14:solidFill>
                    <w14:schemeClr w14:val="tx1"/>
                  </w14:solidFill>
                </w14:textFill>
              </w:rPr>
              <w:t>3</w:t>
            </w:r>
            <w:r>
              <w:rPr>
                <w:rFonts w:hint="eastAsia" w:cs="宋体"/>
                <w:color w:val="000000" w:themeColor="text1"/>
                <w:sz w:val="24"/>
                <w:szCs w:val="32"/>
                <w:highlight w:val="none"/>
                <w:lang w:val="en-US" w:eastAsia="zh-CN"/>
                <w14:textFill>
                  <w14:solidFill>
                    <w14:schemeClr w14:val="tx1"/>
                  </w14:solidFill>
                </w14:textFill>
              </w:rPr>
              <w:t>，经折算使用量0.0132t/a。硝酸挥发量占使用量比例保守按0.8%，则本项目硝酸雾产生量0.0001</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val="en-US" w:eastAsia="zh-CN"/>
                <w14:textFill>
                  <w14:solidFill>
                    <w14:schemeClr w14:val="tx1"/>
                  </w14:solidFill>
                </w14:textFill>
              </w:rPr>
              <w:t>。</w:t>
            </w:r>
          </w:p>
          <w:p w14:paraId="0D873150">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（3）收集效率、处理效率及排放量</w:t>
            </w:r>
          </w:p>
          <w:p w14:paraId="658E50EA">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收集效率：</w:t>
            </w:r>
            <w:r>
              <w:rPr>
                <w:rFonts w:hint="eastAsia" w:cs="宋体"/>
                <w:color w:val="000000" w:themeColor="text1"/>
                <w:sz w:val="24"/>
                <w:szCs w:val="32"/>
                <w:highlight w:val="none"/>
                <w14:textFill>
                  <w14:solidFill>
                    <w14:schemeClr w14:val="tx1"/>
                  </w14:solidFill>
                </w14:textFill>
              </w:rPr>
              <w:t>本项目生产车间为微负压超洁净车间，生产线自动化程度高，全封闭操作，废气经</w:t>
            </w:r>
            <w:r>
              <w:rPr>
                <w:rFonts w:hint="eastAsia" w:cs="宋体"/>
                <w:color w:val="000000" w:themeColor="text1"/>
                <w:sz w:val="24"/>
                <w:szCs w:val="32"/>
                <w:highlight w:val="none"/>
                <w:lang w:val="en-US" w:eastAsia="zh-CN"/>
                <w14:textFill>
                  <w14:solidFill>
                    <w14:schemeClr w14:val="tx1"/>
                  </w14:solidFill>
                </w14:textFill>
              </w:rPr>
              <w:t>密闭</w:t>
            </w:r>
            <w:r>
              <w:rPr>
                <w:rFonts w:hint="eastAsia" w:cs="宋体"/>
                <w:color w:val="000000" w:themeColor="text1"/>
                <w:sz w:val="24"/>
                <w:szCs w:val="32"/>
                <w:highlight w:val="none"/>
                <w14:textFill>
                  <w14:solidFill>
                    <w14:schemeClr w14:val="tx1"/>
                  </w14:solidFill>
                </w14:textFill>
              </w:rPr>
              <w:t>集气管道收集至酸性气体处理系统处理</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根据《主要污染物总量减排核算技术指南（2022年修订）》，密闭管道收集效率为95%。</w:t>
            </w:r>
          </w:p>
          <w:p w14:paraId="3929FAB3">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处理效率：</w:t>
            </w:r>
            <w:r>
              <w:rPr>
                <w:rFonts w:hint="eastAsia" w:cs="宋体"/>
                <w:color w:val="000000" w:themeColor="text1"/>
                <w:sz w:val="24"/>
                <w:szCs w:val="32"/>
                <w:highlight w:val="none"/>
                <w:lang w:val="en-US" w:eastAsia="zh-CN"/>
                <w14:textFill>
                  <w14:solidFill>
                    <w14:schemeClr w14:val="tx1"/>
                  </w14:solidFill>
                </w14:textFill>
              </w:rPr>
              <w:t>本项目采用洗涤塔喷淋中和液(NaOH溶液)处理酸性废气。参考同类型厦门天马显示科技有限公司第6代柔性AMOLED生产线项目，碱液喷淋塔对酸性废气的处理效率保守取90%。</w:t>
            </w:r>
          </w:p>
          <w:p w14:paraId="50C86AE8">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各股酸性废气经各自密闭</w:t>
            </w:r>
            <w:r>
              <w:rPr>
                <w:rFonts w:hint="eastAsia" w:cs="宋体"/>
                <w:color w:val="000000" w:themeColor="text1"/>
                <w:sz w:val="24"/>
                <w:szCs w:val="32"/>
                <w:highlight w:val="none"/>
                <w14:textFill>
                  <w14:solidFill>
                    <w14:schemeClr w14:val="tx1"/>
                  </w14:solidFill>
                </w14:textFill>
              </w:rPr>
              <w:t>集气管道</w:t>
            </w:r>
            <w:r>
              <w:rPr>
                <w:rFonts w:hint="eastAsia" w:cs="宋体"/>
                <w:color w:val="000000" w:themeColor="text1"/>
                <w:sz w:val="24"/>
                <w:szCs w:val="32"/>
                <w:highlight w:val="none"/>
                <w:lang w:val="en-US" w:eastAsia="zh-CN"/>
                <w14:textFill>
                  <w14:solidFill>
                    <w14:schemeClr w14:val="tx1"/>
                  </w14:solidFill>
                </w14:textFill>
              </w:rPr>
              <w:t>收集至碱液喷淋塔处理后由一根30米高排气筒排放。本项目所在1#厂房共4层，建筑总高度23.4m，排气筒高出建筑物6.6m。</w:t>
            </w:r>
          </w:p>
          <w:p w14:paraId="10E120D3">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本项目</w:t>
            </w:r>
            <w:r>
              <w:rPr>
                <w:rFonts w:hint="eastAsia" w:cs="宋体"/>
                <w:color w:val="000000" w:themeColor="text1"/>
                <w:sz w:val="24"/>
                <w:szCs w:val="32"/>
                <w:highlight w:val="none"/>
                <w:lang w:val="en-US" w:eastAsia="zh-CN"/>
                <w14:textFill>
                  <w14:solidFill>
                    <w14:schemeClr w14:val="tx1"/>
                  </w14:solidFill>
                </w14:textFill>
              </w:rPr>
              <w:t>产品1的</w:t>
            </w:r>
            <w:r>
              <w:rPr>
                <w:rFonts w:hint="eastAsia" w:cs="宋体"/>
                <w:color w:val="000000" w:themeColor="text1"/>
                <w:sz w:val="24"/>
                <w:szCs w:val="32"/>
                <w:highlight w:val="none"/>
                <w14:textFill>
                  <w14:solidFill>
                    <w14:schemeClr w14:val="tx1"/>
                  </w14:solidFill>
                </w14:textFill>
              </w:rPr>
              <w:t>清洗</w:t>
            </w:r>
            <w:r>
              <w:rPr>
                <w:rFonts w:hint="eastAsia" w:cs="宋体"/>
                <w:color w:val="000000" w:themeColor="text1"/>
                <w:sz w:val="24"/>
                <w:szCs w:val="32"/>
                <w:highlight w:val="none"/>
                <w:lang w:val="en-US" w:eastAsia="zh-CN"/>
                <w14:textFill>
                  <w14:solidFill>
                    <w14:schemeClr w14:val="tx1"/>
                  </w14:solidFill>
                </w14:textFill>
              </w:rPr>
              <w:t>检验环节，以及产品2的金属刻蚀、玻璃刻蚀等环节，</w:t>
            </w:r>
            <w:r>
              <w:rPr>
                <w:rFonts w:hint="eastAsia" w:cs="宋体"/>
                <w:color w:val="000000" w:themeColor="text1"/>
                <w:sz w:val="24"/>
                <w:szCs w:val="32"/>
                <w:highlight w:val="none"/>
                <w14:textFill>
                  <w14:solidFill>
                    <w14:schemeClr w14:val="tx1"/>
                  </w14:solidFill>
                </w14:textFill>
              </w:rPr>
              <w:t>均</w:t>
            </w:r>
            <w:r>
              <w:rPr>
                <w:rFonts w:hint="eastAsia" w:cs="宋体"/>
                <w:color w:val="000000" w:themeColor="text1"/>
                <w:sz w:val="24"/>
                <w:szCs w:val="32"/>
                <w:highlight w:val="none"/>
                <w:lang w:val="en-US" w:eastAsia="zh-CN"/>
                <w14:textFill>
                  <w14:solidFill>
                    <w14:schemeClr w14:val="tx1"/>
                  </w14:solidFill>
                </w14:textFill>
              </w:rPr>
              <w:t>采用硬质隔断，</w:t>
            </w:r>
            <w:r>
              <w:rPr>
                <w:rFonts w:hint="eastAsia" w:cs="宋体"/>
                <w:color w:val="000000" w:themeColor="text1"/>
                <w:sz w:val="24"/>
                <w:szCs w:val="32"/>
                <w:highlight w:val="none"/>
                <w14:textFill>
                  <w14:solidFill>
                    <w14:schemeClr w14:val="tx1"/>
                  </w14:solidFill>
                </w14:textFill>
              </w:rPr>
              <w:t>单独</w:t>
            </w:r>
            <w:r>
              <w:rPr>
                <w:rFonts w:hint="eastAsia" w:cs="宋体"/>
                <w:color w:val="000000" w:themeColor="text1"/>
                <w:sz w:val="24"/>
                <w:szCs w:val="32"/>
                <w:highlight w:val="none"/>
                <w:lang w:val="en-US" w:eastAsia="zh-CN"/>
                <w14:textFill>
                  <w14:solidFill>
                    <w14:schemeClr w14:val="tx1"/>
                  </w14:solidFill>
                </w14:textFill>
              </w:rPr>
              <w:t>操作间；</w:t>
            </w:r>
            <w:r>
              <w:rPr>
                <w:rFonts w:hint="eastAsia" w:cs="宋体"/>
                <w:color w:val="000000" w:themeColor="text1"/>
                <w:sz w:val="24"/>
                <w:szCs w:val="32"/>
                <w:highlight w:val="none"/>
                <w14:textFill>
                  <w14:solidFill>
                    <w14:schemeClr w14:val="tx1"/>
                  </w14:solidFill>
                </w14:textFill>
              </w:rPr>
              <w:t>项目拟在</w:t>
            </w:r>
            <w:r>
              <w:rPr>
                <w:rFonts w:hint="eastAsia" w:cs="宋体"/>
                <w:color w:val="000000" w:themeColor="text1"/>
                <w:sz w:val="24"/>
                <w:szCs w:val="32"/>
                <w:highlight w:val="none"/>
                <w:lang w:val="en-US" w:eastAsia="zh-CN"/>
                <w14:textFill>
                  <w14:solidFill>
                    <w14:schemeClr w14:val="tx1"/>
                  </w14:solidFill>
                </w14:textFill>
              </w:rPr>
              <w:t>各环节</w:t>
            </w:r>
            <w:r>
              <w:rPr>
                <w:rFonts w:hint="eastAsia" w:cs="宋体"/>
                <w:color w:val="000000" w:themeColor="text1"/>
                <w:sz w:val="24"/>
                <w:szCs w:val="32"/>
                <w:highlight w:val="none"/>
                <w14:textFill>
                  <w14:solidFill>
                    <w14:schemeClr w14:val="tx1"/>
                  </w14:solidFill>
                </w14:textFill>
              </w:rPr>
              <w:t>上方设置集气罩收集</w:t>
            </w:r>
            <w:r>
              <w:rPr>
                <w:rFonts w:hint="eastAsia" w:cs="宋体"/>
                <w:color w:val="000000" w:themeColor="text1"/>
                <w:sz w:val="24"/>
                <w:szCs w:val="32"/>
                <w:highlight w:val="none"/>
                <w:lang w:val="en-US" w:eastAsia="zh-CN"/>
                <w14:textFill>
                  <w14:solidFill>
                    <w14:schemeClr w14:val="tx1"/>
                  </w14:solidFill>
                </w14:textFill>
              </w:rPr>
              <w:t>酸性废气</w:t>
            </w:r>
            <w:r>
              <w:rPr>
                <w:rFonts w:hint="eastAsia" w:cs="宋体"/>
                <w:color w:val="000000" w:themeColor="text1"/>
                <w:sz w:val="24"/>
                <w:szCs w:val="32"/>
                <w:highlight w:val="none"/>
                <w14:textFill>
                  <w14:solidFill>
                    <w14:schemeClr w14:val="tx1"/>
                  </w14:solidFill>
                </w14:textFill>
              </w:rPr>
              <w:t>，采用</w:t>
            </w:r>
            <w:r>
              <w:rPr>
                <w:rFonts w:hint="eastAsia" w:cs="宋体"/>
                <w:color w:val="000000" w:themeColor="text1"/>
                <w:sz w:val="24"/>
                <w:szCs w:val="32"/>
                <w:highlight w:val="none"/>
                <w:lang w:val="en-US" w:eastAsia="zh-CN"/>
                <w14:textFill>
                  <w14:solidFill>
                    <w14:schemeClr w14:val="tx1"/>
                  </w14:solidFill>
                </w14:textFill>
              </w:rPr>
              <w:t>局部</w:t>
            </w:r>
            <w:r>
              <w:rPr>
                <w:rFonts w:hint="eastAsia" w:cs="宋体"/>
                <w:color w:val="000000" w:themeColor="text1"/>
                <w:sz w:val="24"/>
                <w:szCs w:val="32"/>
                <w:highlight w:val="none"/>
                <w14:textFill>
                  <w14:solidFill>
                    <w14:schemeClr w14:val="tx1"/>
                  </w14:solidFill>
                </w14:textFill>
              </w:rPr>
              <w:t>顶吸式收集方式。本项目</w:t>
            </w:r>
            <w:r>
              <w:rPr>
                <w:rFonts w:hint="eastAsia" w:cs="宋体"/>
                <w:color w:val="000000" w:themeColor="text1"/>
                <w:sz w:val="24"/>
                <w:szCs w:val="32"/>
                <w:highlight w:val="none"/>
                <w:lang w:val="en-US" w:eastAsia="zh-CN"/>
                <w14:textFill>
                  <w14:solidFill>
                    <w14:schemeClr w14:val="tx1"/>
                  </w14:solidFill>
                </w14:textFill>
              </w:rPr>
              <w:t>酸性废气收集</w:t>
            </w:r>
            <w:r>
              <w:rPr>
                <w:rFonts w:hint="eastAsia" w:cs="宋体"/>
                <w:color w:val="000000" w:themeColor="text1"/>
                <w:sz w:val="24"/>
                <w:szCs w:val="32"/>
                <w:highlight w:val="none"/>
                <w14:textFill>
                  <w14:solidFill>
                    <w14:schemeClr w14:val="tx1"/>
                  </w14:solidFill>
                </w14:textFill>
              </w:rPr>
              <w:t>设施设计风机风量为</w:t>
            </w:r>
            <w:r>
              <w:rPr>
                <w:rFonts w:hint="eastAsia" w:cs="宋体"/>
                <w:color w:val="000000" w:themeColor="text1"/>
                <w:sz w:val="24"/>
                <w:szCs w:val="32"/>
                <w:highlight w:val="none"/>
                <w:lang w:val="en-US" w:eastAsia="zh-CN"/>
                <w14:textFill>
                  <w14:solidFill>
                    <w14:schemeClr w14:val="tx1"/>
                  </w14:solidFill>
                </w14:textFill>
              </w:rPr>
              <w:t>45</w:t>
            </w:r>
            <w:r>
              <w:rPr>
                <w:rFonts w:hint="eastAsia" w:cs="宋体"/>
                <w:color w:val="000000" w:themeColor="text1"/>
                <w:sz w:val="24"/>
                <w:szCs w:val="32"/>
                <w:highlight w:val="none"/>
                <w14:textFill>
                  <w14:solidFill>
                    <w14:schemeClr w14:val="tx1"/>
                  </w14:solidFill>
                </w14:textFill>
              </w:rPr>
              <w:t>00m</w:t>
            </w:r>
            <w:r>
              <w:rPr>
                <w:rFonts w:hint="eastAsia" w:cs="宋体"/>
                <w:color w:val="000000" w:themeColor="text1"/>
                <w:sz w:val="24"/>
                <w:szCs w:val="32"/>
                <w:highlight w:val="none"/>
                <w:vertAlign w:val="superscript"/>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/h，</w:t>
            </w:r>
            <w:r>
              <w:rPr>
                <w:rFonts w:hint="eastAsia" w:cs="宋体"/>
                <w:color w:val="000000" w:themeColor="text1"/>
                <w:sz w:val="24"/>
                <w:szCs w:val="32"/>
                <w:highlight w:val="none"/>
                <w:lang w:val="en-US" w:eastAsia="zh-CN"/>
                <w14:textFill>
                  <w14:solidFill>
                    <w14:schemeClr w14:val="tx1"/>
                  </w14:solidFill>
                </w14:textFill>
              </w:rPr>
              <w:t>局部换风体积350</w:t>
            </w:r>
            <w:r>
              <w:rPr>
                <w:rFonts w:hint="eastAsia" w:cs="宋体"/>
                <w:color w:val="000000" w:themeColor="text1"/>
                <w:sz w:val="24"/>
                <w:szCs w:val="32"/>
                <w:highlight w:val="none"/>
                <w14:textFill>
                  <w14:solidFill>
                    <w14:schemeClr w14:val="tx1"/>
                  </w14:solidFill>
                </w14:textFill>
              </w:rPr>
              <w:t>m</w:t>
            </w:r>
            <w:r>
              <w:rPr>
                <w:rFonts w:hint="eastAsia" w:cs="宋体"/>
                <w:color w:val="000000" w:themeColor="text1"/>
                <w:sz w:val="24"/>
                <w:szCs w:val="32"/>
                <w:highlight w:val="none"/>
                <w:vertAlign w:val="superscript"/>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/h</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每小时换风次数12次，</w:t>
            </w:r>
            <w:r>
              <w:rPr>
                <w:rFonts w:hint="eastAsia" w:cs="宋体"/>
                <w:color w:val="000000" w:themeColor="text1"/>
                <w:sz w:val="24"/>
                <w:szCs w:val="32"/>
                <w:highlight w:val="none"/>
                <w14:textFill>
                  <w14:solidFill>
                    <w14:schemeClr w14:val="tx1"/>
                  </w14:solidFill>
                </w14:textFill>
              </w:rPr>
              <w:t>可满足收集要求</w:t>
            </w:r>
            <w:r>
              <w:rPr>
                <w:rFonts w:hint="eastAsia" w:cs="宋体"/>
                <w:color w:val="000000" w:themeColor="text1"/>
                <w:sz w:val="24"/>
                <w:szCs w:val="32"/>
                <w:highlight w:val="none"/>
                <w:lang w:eastAsia="zh-CN"/>
                <w14:textFill>
                  <w14:solidFill>
                    <w14:schemeClr w14:val="tx1"/>
                  </w14:solidFill>
                </w14:textFill>
              </w:rPr>
              <w:t>。</w:t>
            </w:r>
          </w:p>
          <w:p w14:paraId="506511C0">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本项目年工作时长按2000h，因此本项目酸性废气产生与排放情况见下表。</w:t>
            </w:r>
          </w:p>
          <w:p w14:paraId="08A9B6B2">
            <w:pPr>
              <w:spacing w:line="360" w:lineRule="auto"/>
              <w:jc w:val="center"/>
              <w:rPr>
                <w:rFonts w:hint="eastAsia"/>
                <w:b/>
                <w:bCs w:val="0"/>
                <w:color w:val="000000" w:themeColor="text1"/>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 xml:space="preserve">表 </w:t>
            </w:r>
            <w:r>
              <w:rPr>
                <w:b/>
                <w:bCs w:val="0"/>
                <w:color w:val="000000" w:themeColor="text1"/>
                <w:sz w:val="24"/>
                <w:szCs w:val="24"/>
                <w:highlight w:val="none"/>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.1</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3</w:t>
            </w:r>
            <w:r>
              <w:rPr>
                <w:b/>
                <w:bCs w:val="0"/>
                <w:color w:val="000000" w:themeColor="text1"/>
                <w:sz w:val="24"/>
                <w:szCs w:val="24"/>
                <w:highlight w:val="none"/>
                <w14:textFill>
                  <w14:solidFill>
                    <w14:schemeClr w14:val="tx1"/>
                  </w14:solidFill>
                </w14:textFill>
              </w:rPr>
              <w:t xml:space="preserve">  </w:t>
            </w:r>
            <w:r>
              <w:rPr>
                <w:rFonts w:hint="eastAsia"/>
                <w:b/>
                <w:bCs w:val="0"/>
                <w:color w:val="000000" w:themeColor="text1"/>
                <w:sz w:val="24"/>
                <w:szCs w:val="24"/>
                <w:highlight w:val="none"/>
                <w:lang w:val="en-US" w:eastAsia="zh-CN"/>
                <w14:textFill>
                  <w14:solidFill>
                    <w14:schemeClr w14:val="tx1"/>
                  </w14:solidFill>
                </w14:textFill>
              </w:rPr>
              <w:t>本项目有组织酸性废气产排情况</w:t>
            </w:r>
            <w:r>
              <w:rPr>
                <w:rFonts w:hint="eastAsia"/>
                <w:b/>
                <w:bCs w:val="0"/>
                <w:color w:val="000000" w:themeColor="text1"/>
                <w:sz w:val="24"/>
                <w:szCs w:val="24"/>
                <w:highlight w:val="none"/>
                <w14:textFill>
                  <w14:solidFill>
                    <w14:schemeClr w14:val="tx1"/>
                  </w14:solidFill>
                </w14:textFill>
              </w:rPr>
              <w:t>一览表</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493"/>
              <w:gridCol w:w="571"/>
              <w:gridCol w:w="558"/>
              <w:gridCol w:w="558"/>
              <w:gridCol w:w="675"/>
              <w:gridCol w:w="481"/>
              <w:gridCol w:w="481"/>
              <w:gridCol w:w="612"/>
              <w:gridCol w:w="558"/>
              <w:gridCol w:w="558"/>
              <w:gridCol w:w="481"/>
              <w:gridCol w:w="481"/>
              <w:gridCol w:w="481"/>
              <w:gridCol w:w="481"/>
            </w:tblGrid>
            <w:tr w14:paraId="2CDA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33F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排气筒名称</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8E6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排放源名称</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65F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污染物名称</w:t>
                  </w:r>
                </w:p>
              </w:tc>
              <w:tc>
                <w:tcPr>
                  <w:tcW w:w="439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566D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产生情况</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B89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治理措施</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40BF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去除率%</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B877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排放情况</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E0C8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排放口参数</w:t>
                  </w:r>
                </w:p>
              </w:tc>
            </w:tr>
            <w:tr w14:paraId="68BEC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60E3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3F3B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2562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83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浓度mg/m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00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速率kg/h</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8E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产生量t/a</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905D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9B7D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9B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浓度mg/m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AA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速率kg/h</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D9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排放量t/a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45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高度m</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95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内径m</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09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温度℃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FC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方式</w:t>
                  </w:r>
                </w:p>
              </w:tc>
            </w:tr>
            <w:tr w14:paraId="64563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548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DA00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E8F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酸性废气</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4B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81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1.0889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27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FC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E71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碱液喷淋塔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FD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90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0.1034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85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0.0005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23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0.0009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897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290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8703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56C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连续</w:t>
                  </w:r>
                </w:p>
              </w:tc>
            </w:tr>
            <w:tr w14:paraId="61316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8" w:hRule="atLeast"/>
                <w:jc w:val="center"/>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ACD1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16AA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B9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硝酸雾（以NO</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x</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D1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0.0532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3F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0.0002 </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DB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0.0005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48A7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8E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9E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0.0051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D2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0.000023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90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0.000045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37E9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8539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19CC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7078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CF4D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05A2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A3C3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02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49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0.4684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EB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0.0021 </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06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0.0042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54F5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E8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87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0.0445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23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0.0002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A0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0.0004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D272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4A2A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249B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849C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425B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ED30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E49B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E1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13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0.0117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D1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0.0001 </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8A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 xml:space="preserve">0.0001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6144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2E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1E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0.0011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CD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0.000005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50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0.000010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9256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CB6E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C31A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251C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bl>
          <w:p w14:paraId="59FF0B5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四</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碱性废气</w:t>
            </w:r>
          </w:p>
          <w:p w14:paraId="4B37E6C9">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w:t>
            </w:r>
            <w:r>
              <w:rPr>
                <w:rFonts w:hint="eastAsia" w:cs="宋体"/>
                <w:color w:val="000000" w:themeColor="text1"/>
                <w:sz w:val="24"/>
                <w:szCs w:val="32"/>
                <w:highlight w:val="none"/>
                <w14:textFill>
                  <w14:solidFill>
                    <w14:schemeClr w14:val="tx1"/>
                  </w14:solidFill>
                </w14:textFill>
              </w:rPr>
              <w:t>项目</w:t>
            </w:r>
            <w:r>
              <w:rPr>
                <w:rFonts w:hint="eastAsia" w:cs="宋体"/>
                <w:color w:val="000000" w:themeColor="text1"/>
                <w:sz w:val="24"/>
                <w:szCs w:val="32"/>
                <w:highlight w:val="none"/>
                <w:lang w:val="en-US" w:eastAsia="zh-CN"/>
                <w14:textFill>
                  <w14:solidFill>
                    <w14:schemeClr w14:val="tx1"/>
                  </w14:solidFill>
                </w14:textFill>
              </w:rPr>
              <w:t>产品2的显影环节，使用显影液四甲基氢氧化铵，</w:t>
            </w:r>
            <w:r>
              <w:rPr>
                <w:rFonts w:hint="eastAsia" w:cs="宋体"/>
                <w:color w:val="000000" w:themeColor="text1"/>
                <w:sz w:val="24"/>
                <w:szCs w:val="32"/>
                <w:highlight w:val="none"/>
                <w14:textFill>
                  <w14:solidFill>
                    <w14:schemeClr w14:val="tx1"/>
                  </w14:solidFill>
                </w14:textFill>
              </w:rPr>
              <w:t>将产生</w:t>
            </w:r>
            <w:r>
              <w:rPr>
                <w:rFonts w:hint="eastAsia" w:cs="宋体"/>
                <w:color w:val="000000" w:themeColor="text1"/>
                <w:sz w:val="24"/>
                <w:szCs w:val="32"/>
                <w:highlight w:val="none"/>
                <w:lang w:val="en-US" w:eastAsia="zh-CN"/>
                <w14:textFill>
                  <w14:solidFill>
                    <w14:schemeClr w14:val="tx1"/>
                  </w14:solidFill>
                </w14:textFill>
              </w:rPr>
              <w:t>碱性</w:t>
            </w:r>
            <w:r>
              <w:rPr>
                <w:rFonts w:hint="eastAsia" w:cs="宋体"/>
                <w:color w:val="000000" w:themeColor="text1"/>
                <w:sz w:val="24"/>
                <w:szCs w:val="32"/>
                <w:highlight w:val="none"/>
                <w14:textFill>
                  <w14:solidFill>
                    <w14:schemeClr w14:val="tx1"/>
                  </w14:solidFill>
                </w14:textFill>
              </w:rPr>
              <w:t>废气。</w:t>
            </w:r>
          </w:p>
          <w:p w14:paraId="7A0476E5">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显影液2.38%四甲基氢氧化铵（TMAH）年使用量4t，TMAH有效质量0.0952t，挥发量占使用量比例保守按1%，则本项目碱性废气产生量0.0009</w:t>
            </w:r>
            <w:r>
              <w:rPr>
                <w:rFonts w:hint="eastAsia" w:cs="宋体"/>
                <w:color w:val="000000" w:themeColor="text1"/>
                <w:sz w:val="24"/>
                <w:szCs w:val="32"/>
                <w:highlight w:val="none"/>
                <w14:textFill>
                  <w14:solidFill>
                    <w14:schemeClr w14:val="tx1"/>
                  </w14:solidFill>
                </w14:textFill>
              </w:rPr>
              <w:t>t/a</w:t>
            </w:r>
            <w:r>
              <w:rPr>
                <w:rFonts w:hint="eastAsia" w:cs="宋体"/>
                <w:color w:val="000000" w:themeColor="text1"/>
                <w:sz w:val="24"/>
                <w:szCs w:val="32"/>
                <w:highlight w:val="none"/>
                <w:lang w:val="en-US" w:eastAsia="zh-CN"/>
                <w14:textFill>
                  <w14:solidFill>
                    <w14:schemeClr w14:val="tx1"/>
                  </w14:solidFill>
                </w14:textFill>
              </w:rPr>
              <w:t>。</w:t>
            </w:r>
          </w:p>
          <w:p w14:paraId="59B06D67">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收集效率：</w:t>
            </w:r>
            <w:r>
              <w:rPr>
                <w:rFonts w:hint="eastAsia" w:cs="宋体"/>
                <w:color w:val="000000" w:themeColor="text1"/>
                <w:sz w:val="24"/>
                <w:szCs w:val="32"/>
                <w:highlight w:val="none"/>
                <w14:textFill>
                  <w14:solidFill>
                    <w14:schemeClr w14:val="tx1"/>
                  </w14:solidFill>
                </w14:textFill>
              </w:rPr>
              <w:t>本项目生产车间为微负压超洁净车间，生产线自动化程度高，全封闭操作，废气经</w:t>
            </w:r>
            <w:r>
              <w:rPr>
                <w:rFonts w:hint="eastAsia" w:cs="宋体"/>
                <w:color w:val="000000" w:themeColor="text1"/>
                <w:sz w:val="24"/>
                <w:szCs w:val="32"/>
                <w:highlight w:val="none"/>
                <w:lang w:val="en-US" w:eastAsia="zh-CN"/>
                <w14:textFill>
                  <w14:solidFill>
                    <w14:schemeClr w14:val="tx1"/>
                  </w14:solidFill>
                </w14:textFill>
              </w:rPr>
              <w:t>密闭</w:t>
            </w:r>
            <w:r>
              <w:rPr>
                <w:rFonts w:hint="eastAsia" w:cs="宋体"/>
                <w:color w:val="000000" w:themeColor="text1"/>
                <w:sz w:val="24"/>
                <w:szCs w:val="32"/>
                <w:highlight w:val="none"/>
                <w14:textFill>
                  <w14:solidFill>
                    <w14:schemeClr w14:val="tx1"/>
                  </w14:solidFill>
                </w14:textFill>
              </w:rPr>
              <w:t>集气管道收集至</w:t>
            </w:r>
            <w:r>
              <w:rPr>
                <w:rFonts w:hint="eastAsia" w:cs="宋体"/>
                <w:color w:val="000000" w:themeColor="text1"/>
                <w:sz w:val="24"/>
                <w:szCs w:val="32"/>
                <w:highlight w:val="none"/>
                <w:lang w:val="en-US" w:eastAsia="zh-CN"/>
                <w14:textFill>
                  <w14:solidFill>
                    <w14:schemeClr w14:val="tx1"/>
                  </w14:solidFill>
                </w14:textFill>
              </w:rPr>
              <w:t>碱性</w:t>
            </w:r>
            <w:r>
              <w:rPr>
                <w:rFonts w:hint="eastAsia" w:cs="宋体"/>
                <w:color w:val="000000" w:themeColor="text1"/>
                <w:sz w:val="24"/>
                <w:szCs w:val="32"/>
                <w:highlight w:val="none"/>
                <w14:textFill>
                  <w14:solidFill>
                    <w14:schemeClr w14:val="tx1"/>
                  </w14:solidFill>
                </w14:textFill>
              </w:rPr>
              <w:t>气体处理系统处理</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根据《主要污染物总量减排核算技术指南（2022年修订）》，密闭管道收集效率为95%。</w:t>
            </w:r>
          </w:p>
          <w:p w14:paraId="7313A92E">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处理效率：</w:t>
            </w:r>
            <w:r>
              <w:rPr>
                <w:rFonts w:hint="eastAsia" w:cs="宋体"/>
                <w:color w:val="000000" w:themeColor="text1"/>
                <w:sz w:val="24"/>
                <w:szCs w:val="32"/>
                <w:highlight w:val="none"/>
                <w:lang w:val="en-US" w:eastAsia="zh-CN"/>
                <w14:textFill>
                  <w14:solidFill>
                    <w14:schemeClr w14:val="tx1"/>
                  </w14:solidFill>
                </w14:textFill>
              </w:rPr>
              <w:t>本项目采用洗涤塔喷淋中和液(稀硫酸溶液)处理碱性废气。参考同类型厦门天马显示科技有限公司第6代柔性AMOLED生产线项目，稀硫酸喷淋塔对碱性废气的处理效率保守取90%。</w:t>
            </w:r>
          </w:p>
          <w:p w14:paraId="621E2964">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碱性废气经密闭</w:t>
            </w:r>
            <w:r>
              <w:rPr>
                <w:rFonts w:hint="eastAsia" w:cs="宋体"/>
                <w:color w:val="000000" w:themeColor="text1"/>
                <w:sz w:val="24"/>
                <w:szCs w:val="32"/>
                <w:highlight w:val="none"/>
                <w14:textFill>
                  <w14:solidFill>
                    <w14:schemeClr w14:val="tx1"/>
                  </w14:solidFill>
                </w14:textFill>
              </w:rPr>
              <w:t>集气管道</w:t>
            </w:r>
            <w:r>
              <w:rPr>
                <w:rFonts w:hint="eastAsia" w:cs="宋体"/>
                <w:color w:val="000000" w:themeColor="text1"/>
                <w:sz w:val="24"/>
                <w:szCs w:val="32"/>
                <w:highlight w:val="none"/>
                <w:lang w:val="en-US" w:eastAsia="zh-CN"/>
                <w14:textFill>
                  <w14:solidFill>
                    <w14:schemeClr w14:val="tx1"/>
                  </w14:solidFill>
                </w14:textFill>
              </w:rPr>
              <w:t>收集至稀硫酸喷淋塔处理后由一根30米高排气筒排放。本项目所在1#厂房共4层，建筑总高度23.4m，排气筒高出建筑物6.6m。</w:t>
            </w:r>
          </w:p>
          <w:p w14:paraId="3F5BB9DD">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本项目</w:t>
            </w:r>
            <w:r>
              <w:rPr>
                <w:rFonts w:hint="eastAsia" w:cs="宋体"/>
                <w:color w:val="000000" w:themeColor="text1"/>
                <w:sz w:val="24"/>
                <w:szCs w:val="32"/>
                <w:highlight w:val="none"/>
                <w:lang w:val="en-US" w:eastAsia="zh-CN"/>
                <w14:textFill>
                  <w14:solidFill>
                    <w14:schemeClr w14:val="tx1"/>
                  </w14:solidFill>
                </w14:textFill>
              </w:rPr>
              <w:t>产品2的显影环节采用硬质隔断，</w:t>
            </w:r>
            <w:r>
              <w:rPr>
                <w:rFonts w:hint="eastAsia" w:cs="宋体"/>
                <w:color w:val="000000" w:themeColor="text1"/>
                <w:sz w:val="24"/>
                <w:szCs w:val="32"/>
                <w:highlight w:val="none"/>
                <w14:textFill>
                  <w14:solidFill>
                    <w14:schemeClr w14:val="tx1"/>
                  </w14:solidFill>
                </w14:textFill>
              </w:rPr>
              <w:t>单独</w:t>
            </w:r>
            <w:r>
              <w:rPr>
                <w:rFonts w:hint="eastAsia" w:cs="宋体"/>
                <w:color w:val="000000" w:themeColor="text1"/>
                <w:sz w:val="24"/>
                <w:szCs w:val="32"/>
                <w:highlight w:val="none"/>
                <w:lang w:val="en-US" w:eastAsia="zh-CN"/>
                <w14:textFill>
                  <w14:solidFill>
                    <w14:schemeClr w14:val="tx1"/>
                  </w14:solidFill>
                </w14:textFill>
              </w:rPr>
              <w:t>操作间；</w:t>
            </w:r>
            <w:r>
              <w:rPr>
                <w:rFonts w:hint="eastAsia" w:cs="宋体"/>
                <w:color w:val="000000" w:themeColor="text1"/>
                <w:sz w:val="24"/>
                <w:szCs w:val="32"/>
                <w:highlight w:val="none"/>
                <w14:textFill>
                  <w14:solidFill>
                    <w14:schemeClr w14:val="tx1"/>
                  </w14:solidFill>
                </w14:textFill>
              </w:rPr>
              <w:t>项目拟在</w:t>
            </w:r>
            <w:r>
              <w:rPr>
                <w:rFonts w:hint="eastAsia" w:cs="宋体"/>
                <w:color w:val="000000" w:themeColor="text1"/>
                <w:sz w:val="24"/>
                <w:szCs w:val="32"/>
                <w:highlight w:val="none"/>
                <w:lang w:val="en-US" w:eastAsia="zh-CN"/>
                <w14:textFill>
                  <w14:solidFill>
                    <w14:schemeClr w14:val="tx1"/>
                  </w14:solidFill>
                </w14:textFill>
              </w:rPr>
              <w:t>该环节</w:t>
            </w:r>
            <w:r>
              <w:rPr>
                <w:rFonts w:hint="eastAsia" w:cs="宋体"/>
                <w:color w:val="000000" w:themeColor="text1"/>
                <w:sz w:val="24"/>
                <w:szCs w:val="32"/>
                <w:highlight w:val="none"/>
                <w14:textFill>
                  <w14:solidFill>
                    <w14:schemeClr w14:val="tx1"/>
                  </w14:solidFill>
                </w14:textFill>
              </w:rPr>
              <w:t>上方设置集气罩收集</w:t>
            </w:r>
            <w:r>
              <w:rPr>
                <w:rFonts w:hint="eastAsia" w:cs="宋体"/>
                <w:color w:val="000000" w:themeColor="text1"/>
                <w:sz w:val="24"/>
                <w:szCs w:val="32"/>
                <w:highlight w:val="none"/>
                <w:lang w:val="en-US" w:eastAsia="zh-CN"/>
                <w14:textFill>
                  <w14:solidFill>
                    <w14:schemeClr w14:val="tx1"/>
                  </w14:solidFill>
                </w14:textFill>
              </w:rPr>
              <w:t>碱性废气</w:t>
            </w:r>
            <w:r>
              <w:rPr>
                <w:rFonts w:hint="eastAsia" w:cs="宋体"/>
                <w:color w:val="000000" w:themeColor="text1"/>
                <w:sz w:val="24"/>
                <w:szCs w:val="32"/>
                <w:highlight w:val="none"/>
                <w14:textFill>
                  <w14:solidFill>
                    <w14:schemeClr w14:val="tx1"/>
                  </w14:solidFill>
                </w14:textFill>
              </w:rPr>
              <w:t>，采用</w:t>
            </w:r>
            <w:r>
              <w:rPr>
                <w:rFonts w:hint="eastAsia" w:cs="宋体"/>
                <w:color w:val="000000" w:themeColor="text1"/>
                <w:sz w:val="24"/>
                <w:szCs w:val="32"/>
                <w:highlight w:val="none"/>
                <w:lang w:val="en-US" w:eastAsia="zh-CN"/>
                <w14:textFill>
                  <w14:solidFill>
                    <w14:schemeClr w14:val="tx1"/>
                  </w14:solidFill>
                </w14:textFill>
              </w:rPr>
              <w:t>局部</w:t>
            </w:r>
            <w:r>
              <w:rPr>
                <w:rFonts w:hint="eastAsia" w:cs="宋体"/>
                <w:color w:val="000000" w:themeColor="text1"/>
                <w:sz w:val="24"/>
                <w:szCs w:val="32"/>
                <w:highlight w:val="none"/>
                <w14:textFill>
                  <w14:solidFill>
                    <w14:schemeClr w14:val="tx1"/>
                  </w14:solidFill>
                </w14:textFill>
              </w:rPr>
              <w:t>顶吸式收集方式。本项目</w:t>
            </w:r>
            <w:r>
              <w:rPr>
                <w:rFonts w:hint="eastAsia" w:cs="宋体"/>
                <w:color w:val="000000" w:themeColor="text1"/>
                <w:sz w:val="24"/>
                <w:szCs w:val="32"/>
                <w:highlight w:val="none"/>
                <w:lang w:val="en-US" w:eastAsia="zh-CN"/>
                <w14:textFill>
                  <w14:solidFill>
                    <w14:schemeClr w14:val="tx1"/>
                  </w14:solidFill>
                </w14:textFill>
              </w:rPr>
              <w:t>碱性废气收集</w:t>
            </w:r>
            <w:r>
              <w:rPr>
                <w:rFonts w:hint="eastAsia" w:cs="宋体"/>
                <w:color w:val="000000" w:themeColor="text1"/>
                <w:sz w:val="24"/>
                <w:szCs w:val="32"/>
                <w:highlight w:val="none"/>
                <w14:textFill>
                  <w14:solidFill>
                    <w14:schemeClr w14:val="tx1"/>
                  </w14:solidFill>
                </w14:textFill>
              </w:rPr>
              <w:t>设施设计风机风量为</w:t>
            </w:r>
            <w:r>
              <w:rPr>
                <w:rFonts w:hint="eastAsia" w:cs="宋体"/>
                <w:color w:val="000000" w:themeColor="text1"/>
                <w:sz w:val="24"/>
                <w:szCs w:val="32"/>
                <w:highlight w:val="none"/>
                <w:lang w:val="en-US" w:eastAsia="zh-CN"/>
                <w14:textFill>
                  <w14:solidFill>
                    <w14:schemeClr w14:val="tx1"/>
                  </w14:solidFill>
                </w14:textFill>
              </w:rPr>
              <w:t>2472</w:t>
            </w:r>
            <w:r>
              <w:rPr>
                <w:rFonts w:hint="eastAsia" w:cs="宋体"/>
                <w:color w:val="000000" w:themeColor="text1"/>
                <w:sz w:val="24"/>
                <w:szCs w:val="32"/>
                <w:highlight w:val="none"/>
                <w14:textFill>
                  <w14:solidFill>
                    <w14:schemeClr w14:val="tx1"/>
                  </w14:solidFill>
                </w14:textFill>
              </w:rPr>
              <w:t>m</w:t>
            </w:r>
            <w:r>
              <w:rPr>
                <w:rFonts w:hint="eastAsia" w:cs="宋体"/>
                <w:color w:val="000000" w:themeColor="text1"/>
                <w:sz w:val="24"/>
                <w:szCs w:val="32"/>
                <w:highlight w:val="none"/>
                <w:vertAlign w:val="superscript"/>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/h，</w:t>
            </w:r>
            <w:r>
              <w:rPr>
                <w:rFonts w:hint="eastAsia" w:cs="宋体"/>
                <w:color w:val="000000" w:themeColor="text1"/>
                <w:sz w:val="24"/>
                <w:szCs w:val="32"/>
                <w:highlight w:val="none"/>
                <w:lang w:val="en-US" w:eastAsia="zh-CN"/>
                <w14:textFill>
                  <w14:solidFill>
                    <w14:schemeClr w14:val="tx1"/>
                  </w14:solidFill>
                </w14:textFill>
              </w:rPr>
              <w:t>局部换风体积200</w:t>
            </w:r>
            <w:r>
              <w:rPr>
                <w:rFonts w:hint="eastAsia" w:cs="宋体"/>
                <w:color w:val="000000" w:themeColor="text1"/>
                <w:sz w:val="24"/>
                <w:szCs w:val="32"/>
                <w:highlight w:val="none"/>
                <w14:textFill>
                  <w14:solidFill>
                    <w14:schemeClr w14:val="tx1"/>
                  </w14:solidFill>
                </w14:textFill>
              </w:rPr>
              <w:t>m</w:t>
            </w:r>
            <w:r>
              <w:rPr>
                <w:rFonts w:hint="eastAsia" w:cs="宋体"/>
                <w:color w:val="000000" w:themeColor="text1"/>
                <w:sz w:val="24"/>
                <w:szCs w:val="32"/>
                <w:highlight w:val="none"/>
                <w:vertAlign w:val="superscript"/>
                <w14:textFill>
                  <w14:solidFill>
                    <w14:schemeClr w14:val="tx1"/>
                  </w14:solidFill>
                </w14:textFill>
              </w:rPr>
              <w:t>3</w:t>
            </w:r>
            <w:r>
              <w:rPr>
                <w:rFonts w:hint="eastAsia" w:cs="宋体"/>
                <w:color w:val="000000" w:themeColor="text1"/>
                <w:sz w:val="24"/>
                <w:szCs w:val="32"/>
                <w:highlight w:val="none"/>
                <w14:textFill>
                  <w14:solidFill>
                    <w14:schemeClr w14:val="tx1"/>
                  </w14:solidFill>
                </w14:textFill>
              </w:rPr>
              <w:t>/h</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每小时换风次数12次，</w:t>
            </w:r>
            <w:r>
              <w:rPr>
                <w:rFonts w:hint="eastAsia" w:cs="宋体"/>
                <w:color w:val="000000" w:themeColor="text1"/>
                <w:sz w:val="24"/>
                <w:szCs w:val="32"/>
                <w:highlight w:val="none"/>
                <w14:textFill>
                  <w14:solidFill>
                    <w14:schemeClr w14:val="tx1"/>
                  </w14:solidFill>
                </w14:textFill>
              </w:rPr>
              <w:t>可满足收集要求</w:t>
            </w:r>
            <w:r>
              <w:rPr>
                <w:rFonts w:hint="eastAsia" w:cs="宋体"/>
                <w:color w:val="000000" w:themeColor="text1"/>
                <w:sz w:val="24"/>
                <w:szCs w:val="32"/>
                <w:highlight w:val="none"/>
                <w:lang w:eastAsia="zh-CN"/>
                <w14:textFill>
                  <w14:solidFill>
                    <w14:schemeClr w14:val="tx1"/>
                  </w14:solidFill>
                </w14:textFill>
              </w:rPr>
              <w:t>。</w:t>
            </w:r>
          </w:p>
          <w:p w14:paraId="5A53FC09">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本项目年工作时长按2000h，因此本项目碱性废气产生与排放情况见下表。</w:t>
            </w:r>
          </w:p>
          <w:p w14:paraId="0EA1D6FB">
            <w:pPr>
              <w:spacing w:line="360" w:lineRule="auto"/>
              <w:jc w:val="center"/>
              <w:rPr>
                <w:rFonts w:hint="eastAsia"/>
                <w:b/>
                <w:bCs w:val="0"/>
                <w:color w:val="000000" w:themeColor="text1"/>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 xml:space="preserve">表 </w:t>
            </w:r>
            <w:r>
              <w:rPr>
                <w:b/>
                <w:bCs w:val="0"/>
                <w:color w:val="000000" w:themeColor="text1"/>
                <w:sz w:val="24"/>
                <w:szCs w:val="24"/>
                <w:highlight w:val="none"/>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.1</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4</w:t>
            </w:r>
            <w:r>
              <w:rPr>
                <w:b/>
                <w:bCs w:val="0"/>
                <w:color w:val="000000" w:themeColor="text1"/>
                <w:sz w:val="24"/>
                <w:szCs w:val="24"/>
                <w:highlight w:val="none"/>
                <w14:textFill>
                  <w14:solidFill>
                    <w14:schemeClr w14:val="tx1"/>
                  </w14:solidFill>
                </w14:textFill>
              </w:rPr>
              <w:t xml:space="preserve">  </w:t>
            </w:r>
            <w:r>
              <w:rPr>
                <w:rFonts w:hint="eastAsia"/>
                <w:b/>
                <w:bCs w:val="0"/>
                <w:color w:val="000000" w:themeColor="text1"/>
                <w:sz w:val="24"/>
                <w:szCs w:val="24"/>
                <w:highlight w:val="none"/>
                <w:lang w:val="en-US" w:eastAsia="zh-CN"/>
                <w14:textFill>
                  <w14:solidFill>
                    <w14:schemeClr w14:val="tx1"/>
                  </w14:solidFill>
                </w14:textFill>
              </w:rPr>
              <w:t>本项目有组织碱性废气产排情况</w:t>
            </w:r>
            <w:r>
              <w:rPr>
                <w:rFonts w:hint="eastAsia"/>
                <w:b/>
                <w:bCs w:val="0"/>
                <w:color w:val="000000" w:themeColor="text1"/>
                <w:sz w:val="24"/>
                <w:szCs w:val="24"/>
                <w:highlight w:val="none"/>
                <w14:textFill>
                  <w14:solidFill>
                    <w14:schemeClr w14:val="tx1"/>
                  </w14:solidFill>
                </w14:textFill>
              </w:rPr>
              <w:t>一览表</w:t>
            </w:r>
          </w:p>
          <w:tbl>
            <w:tblPr>
              <w:tblStyle w:val="30"/>
              <w:tblW w:w="81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493"/>
              <w:gridCol w:w="571"/>
              <w:gridCol w:w="558"/>
              <w:gridCol w:w="558"/>
              <w:gridCol w:w="675"/>
              <w:gridCol w:w="481"/>
              <w:gridCol w:w="481"/>
              <w:gridCol w:w="612"/>
              <w:gridCol w:w="558"/>
              <w:gridCol w:w="558"/>
              <w:gridCol w:w="481"/>
              <w:gridCol w:w="481"/>
              <w:gridCol w:w="481"/>
              <w:gridCol w:w="481"/>
            </w:tblGrid>
            <w:tr w14:paraId="4DB8A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66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F82444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排气筒名称</w:t>
                  </w:r>
                </w:p>
              </w:tc>
              <w:tc>
                <w:tcPr>
                  <w:tcW w:w="4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A7D334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排放源名称</w:t>
                  </w:r>
                </w:p>
              </w:tc>
              <w:tc>
                <w:tcPr>
                  <w:tcW w:w="57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EFDEC2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污染物名称</w:t>
                  </w:r>
                </w:p>
              </w:tc>
              <w:tc>
                <w:tcPr>
                  <w:tcW w:w="1791"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780D7B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产生情况</w:t>
                  </w:r>
                </w:p>
              </w:tc>
              <w:tc>
                <w:tcPr>
                  <w:tcW w:w="4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1399A7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治理措施</w:t>
                  </w:r>
                </w:p>
              </w:tc>
              <w:tc>
                <w:tcPr>
                  <w:tcW w:w="4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FE04B6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去除率</w:t>
                  </w:r>
                </w:p>
              </w:tc>
              <w:tc>
                <w:tcPr>
                  <w:tcW w:w="1728" w:type="dxa"/>
                  <w:gridSpan w:val="3"/>
                  <w:tcBorders>
                    <w:top w:val="single" w:color="000000" w:sz="8" w:space="0"/>
                    <w:left w:val="single" w:color="000000" w:sz="8" w:space="0"/>
                    <w:bottom w:val="nil"/>
                    <w:right w:val="single" w:color="000000" w:sz="8" w:space="0"/>
                  </w:tcBorders>
                  <w:shd w:val="clear" w:color="auto" w:fill="auto"/>
                  <w:vAlign w:val="center"/>
                </w:tcPr>
                <w:p w14:paraId="029540A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排放情况</w:t>
                  </w:r>
                </w:p>
              </w:tc>
              <w:tc>
                <w:tcPr>
                  <w:tcW w:w="1924" w:type="dxa"/>
                  <w:gridSpan w:val="4"/>
                  <w:tcBorders>
                    <w:top w:val="single" w:color="000000" w:sz="8" w:space="0"/>
                    <w:left w:val="single" w:color="000000" w:sz="8" w:space="0"/>
                    <w:bottom w:val="nil"/>
                    <w:right w:val="single" w:color="000000" w:sz="8" w:space="0"/>
                  </w:tcBorders>
                  <w:shd w:val="clear" w:color="auto" w:fill="auto"/>
                  <w:vAlign w:val="center"/>
                </w:tcPr>
                <w:p w14:paraId="7B09166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排放口参数</w:t>
                  </w:r>
                </w:p>
              </w:tc>
            </w:tr>
            <w:tr w14:paraId="52AE9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6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8ED813D">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94B1E9F">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6EF9908">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58" w:type="dxa"/>
                  <w:tcBorders>
                    <w:top w:val="nil"/>
                    <w:left w:val="single" w:color="000000" w:sz="8" w:space="0"/>
                    <w:bottom w:val="single" w:color="000000" w:sz="8" w:space="0"/>
                    <w:right w:val="single" w:color="000000" w:sz="8" w:space="0"/>
                  </w:tcBorders>
                  <w:shd w:val="clear" w:color="auto" w:fill="auto"/>
                  <w:vAlign w:val="center"/>
                </w:tcPr>
                <w:p w14:paraId="046484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558" w:type="dxa"/>
                  <w:tcBorders>
                    <w:top w:val="nil"/>
                    <w:left w:val="single" w:color="000000" w:sz="8" w:space="0"/>
                    <w:bottom w:val="single" w:color="000000" w:sz="8" w:space="0"/>
                    <w:right w:val="single" w:color="000000" w:sz="8" w:space="0"/>
                  </w:tcBorders>
                  <w:shd w:val="clear" w:color="auto" w:fill="auto"/>
                  <w:vAlign w:val="center"/>
                </w:tcPr>
                <w:p w14:paraId="4C027AD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速率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675" w:type="dxa"/>
                  <w:tcBorders>
                    <w:top w:val="nil"/>
                    <w:left w:val="single" w:color="000000" w:sz="8" w:space="0"/>
                    <w:bottom w:val="single" w:color="000000" w:sz="8" w:space="0"/>
                    <w:right w:val="single" w:color="000000" w:sz="8" w:space="0"/>
                  </w:tcBorders>
                  <w:shd w:val="clear" w:color="auto" w:fill="auto"/>
                  <w:vAlign w:val="center"/>
                </w:tcPr>
                <w:p w14:paraId="61D5B01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4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F142EF8">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C292F92">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6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B7649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55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697AD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速率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55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ACF1E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27237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高度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BEFB1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内径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CFD94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温度℃</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F6E8D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方式</w:t>
                  </w:r>
                </w:p>
              </w:tc>
            </w:tr>
            <w:tr w14:paraId="1F785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661" w:type="dxa"/>
                  <w:tcBorders>
                    <w:top w:val="nil"/>
                    <w:left w:val="single" w:color="000000" w:sz="8" w:space="0"/>
                    <w:bottom w:val="single" w:color="000000" w:sz="8" w:space="0"/>
                    <w:right w:val="single" w:color="000000" w:sz="8" w:space="0"/>
                  </w:tcBorders>
                  <w:shd w:val="clear" w:color="auto" w:fill="auto"/>
                  <w:vAlign w:val="center"/>
                </w:tcPr>
                <w:p w14:paraId="0944C6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DA00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493" w:type="dxa"/>
                  <w:tcBorders>
                    <w:top w:val="nil"/>
                    <w:left w:val="single" w:color="000000" w:sz="8" w:space="0"/>
                    <w:bottom w:val="single" w:color="000000" w:sz="8" w:space="0"/>
                    <w:right w:val="single" w:color="000000" w:sz="8" w:space="0"/>
                  </w:tcBorders>
                  <w:shd w:val="clear" w:color="auto" w:fill="auto"/>
                  <w:vAlign w:val="center"/>
                </w:tcPr>
                <w:p w14:paraId="3BA5D0B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碱性废气</w:t>
                  </w:r>
                </w:p>
              </w:tc>
              <w:tc>
                <w:tcPr>
                  <w:tcW w:w="571" w:type="dxa"/>
                  <w:tcBorders>
                    <w:top w:val="nil"/>
                    <w:left w:val="single" w:color="000000" w:sz="8" w:space="0"/>
                    <w:bottom w:val="single" w:color="000000" w:sz="8" w:space="0"/>
                    <w:right w:val="single" w:color="000000" w:sz="8" w:space="0"/>
                  </w:tcBorders>
                  <w:shd w:val="clear" w:color="auto" w:fill="auto"/>
                  <w:vAlign w:val="center"/>
                </w:tcPr>
                <w:p w14:paraId="299649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TMAH</w:t>
                  </w:r>
                </w:p>
              </w:tc>
              <w:tc>
                <w:tcPr>
                  <w:tcW w:w="558" w:type="dxa"/>
                  <w:tcBorders>
                    <w:top w:val="nil"/>
                    <w:left w:val="single" w:color="000000" w:sz="8" w:space="0"/>
                    <w:bottom w:val="single" w:color="000000" w:sz="8" w:space="0"/>
                    <w:right w:val="single" w:color="000000" w:sz="8" w:space="0"/>
                  </w:tcBorders>
                  <w:shd w:val="clear" w:color="auto" w:fill="auto"/>
                  <w:vAlign w:val="center"/>
                </w:tcPr>
                <w:p w14:paraId="742261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558" w:type="dxa"/>
                  <w:tcBorders>
                    <w:top w:val="nil"/>
                    <w:left w:val="single" w:color="000000" w:sz="8" w:space="0"/>
                    <w:bottom w:val="single" w:color="000000" w:sz="8" w:space="0"/>
                    <w:right w:val="single" w:color="000000" w:sz="8" w:space="0"/>
                  </w:tcBorders>
                  <w:shd w:val="clear" w:color="auto" w:fill="auto"/>
                  <w:vAlign w:val="center"/>
                </w:tcPr>
                <w:p w14:paraId="768DE1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0.0005 </w:t>
                  </w:r>
                </w:p>
              </w:tc>
              <w:tc>
                <w:tcPr>
                  <w:tcW w:w="675" w:type="dxa"/>
                  <w:tcBorders>
                    <w:top w:val="nil"/>
                    <w:left w:val="single" w:color="000000" w:sz="8" w:space="0"/>
                    <w:bottom w:val="single" w:color="000000" w:sz="8" w:space="0"/>
                    <w:right w:val="single" w:color="000000" w:sz="8" w:space="0"/>
                  </w:tcBorders>
                  <w:shd w:val="clear" w:color="auto" w:fill="auto"/>
                  <w:vAlign w:val="center"/>
                </w:tcPr>
                <w:p w14:paraId="1EE9AB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0.0010 </w:t>
                  </w:r>
                </w:p>
              </w:tc>
              <w:tc>
                <w:tcPr>
                  <w:tcW w:w="481" w:type="dxa"/>
                  <w:tcBorders>
                    <w:top w:val="nil"/>
                    <w:left w:val="single" w:color="000000" w:sz="8" w:space="0"/>
                    <w:bottom w:val="single" w:color="000000" w:sz="8" w:space="0"/>
                    <w:right w:val="single" w:color="000000" w:sz="8" w:space="0"/>
                  </w:tcBorders>
                  <w:shd w:val="clear" w:color="auto" w:fill="auto"/>
                  <w:vAlign w:val="center"/>
                </w:tcPr>
                <w:p w14:paraId="6967F45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稀硫酸喷淋塔</w:t>
                  </w:r>
                </w:p>
              </w:tc>
              <w:tc>
                <w:tcPr>
                  <w:tcW w:w="481" w:type="dxa"/>
                  <w:tcBorders>
                    <w:top w:val="nil"/>
                    <w:left w:val="single" w:color="000000" w:sz="8" w:space="0"/>
                    <w:bottom w:val="single" w:color="000000" w:sz="8" w:space="0"/>
                    <w:right w:val="single" w:color="000000" w:sz="8" w:space="0"/>
                  </w:tcBorders>
                  <w:shd w:val="clear" w:color="auto" w:fill="auto"/>
                  <w:vAlign w:val="center"/>
                </w:tcPr>
                <w:p w14:paraId="2C4B5B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612" w:type="dxa"/>
                  <w:tcBorders>
                    <w:top w:val="nil"/>
                    <w:left w:val="single" w:color="000000" w:sz="8" w:space="0"/>
                    <w:bottom w:val="single" w:color="000000" w:sz="8" w:space="0"/>
                    <w:right w:val="single" w:color="000000" w:sz="8" w:space="0"/>
                  </w:tcBorders>
                  <w:shd w:val="clear" w:color="auto" w:fill="auto"/>
                  <w:vAlign w:val="center"/>
                </w:tcPr>
                <w:p w14:paraId="7ADD31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0.0183 </w:t>
                  </w:r>
                </w:p>
              </w:tc>
              <w:tc>
                <w:tcPr>
                  <w:tcW w:w="558" w:type="dxa"/>
                  <w:tcBorders>
                    <w:top w:val="nil"/>
                    <w:left w:val="single" w:color="000000" w:sz="8" w:space="0"/>
                    <w:bottom w:val="single" w:color="000000" w:sz="8" w:space="0"/>
                    <w:right w:val="single" w:color="000000" w:sz="8" w:space="0"/>
                  </w:tcBorders>
                  <w:shd w:val="clear" w:color="auto" w:fill="auto"/>
                  <w:vAlign w:val="center"/>
                </w:tcPr>
                <w:p w14:paraId="3301F6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0.000045 </w:t>
                  </w:r>
                </w:p>
              </w:tc>
              <w:tc>
                <w:tcPr>
                  <w:tcW w:w="558" w:type="dxa"/>
                  <w:tcBorders>
                    <w:top w:val="nil"/>
                    <w:left w:val="single" w:color="000000" w:sz="8" w:space="0"/>
                    <w:bottom w:val="single" w:color="000000" w:sz="8" w:space="0"/>
                    <w:right w:val="single" w:color="000000" w:sz="8" w:space="0"/>
                  </w:tcBorders>
                  <w:shd w:val="clear" w:color="auto" w:fill="auto"/>
                  <w:vAlign w:val="center"/>
                </w:tcPr>
                <w:p w14:paraId="51ED62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0.000090 </w:t>
                  </w:r>
                </w:p>
              </w:tc>
              <w:tc>
                <w:tcPr>
                  <w:tcW w:w="481" w:type="dxa"/>
                  <w:tcBorders>
                    <w:top w:val="nil"/>
                    <w:left w:val="single" w:color="000000" w:sz="8" w:space="0"/>
                    <w:bottom w:val="single" w:color="000000" w:sz="8" w:space="0"/>
                    <w:right w:val="single" w:color="000000" w:sz="8" w:space="0"/>
                  </w:tcBorders>
                  <w:shd w:val="clear" w:color="auto" w:fill="auto"/>
                  <w:vAlign w:val="center"/>
                </w:tcPr>
                <w:p w14:paraId="2972ED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481" w:type="dxa"/>
                  <w:tcBorders>
                    <w:top w:val="nil"/>
                    <w:left w:val="single" w:color="000000" w:sz="8" w:space="0"/>
                    <w:bottom w:val="single" w:color="000000" w:sz="8" w:space="0"/>
                    <w:right w:val="single" w:color="000000" w:sz="8" w:space="0"/>
                  </w:tcBorders>
                  <w:shd w:val="clear" w:color="auto" w:fill="auto"/>
                  <w:vAlign w:val="center"/>
                </w:tcPr>
                <w:p w14:paraId="68B733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0.35</w:t>
                  </w:r>
                </w:p>
              </w:tc>
              <w:tc>
                <w:tcPr>
                  <w:tcW w:w="481" w:type="dxa"/>
                  <w:tcBorders>
                    <w:top w:val="nil"/>
                    <w:left w:val="single" w:color="000000" w:sz="8" w:space="0"/>
                    <w:bottom w:val="single" w:color="000000" w:sz="8" w:space="0"/>
                    <w:right w:val="single" w:color="000000" w:sz="8" w:space="0"/>
                  </w:tcBorders>
                  <w:shd w:val="clear" w:color="auto" w:fill="auto"/>
                  <w:vAlign w:val="center"/>
                </w:tcPr>
                <w:p w14:paraId="65F711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481" w:type="dxa"/>
                  <w:tcBorders>
                    <w:top w:val="nil"/>
                    <w:left w:val="single" w:color="000000" w:sz="8" w:space="0"/>
                    <w:bottom w:val="single" w:color="000000" w:sz="8" w:space="0"/>
                    <w:right w:val="single" w:color="000000" w:sz="8" w:space="0"/>
                  </w:tcBorders>
                  <w:shd w:val="clear" w:color="auto" w:fill="auto"/>
                  <w:vAlign w:val="center"/>
                </w:tcPr>
                <w:p w14:paraId="143E409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bl>
          <w:p w14:paraId="00F19BB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（五）小结</w:t>
            </w:r>
          </w:p>
          <w:p w14:paraId="2CFF97FD">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综上，本项目废气污染物排放情况见下表。</w:t>
            </w:r>
          </w:p>
          <w:p w14:paraId="4306F51B">
            <w:pPr>
              <w:spacing w:line="360" w:lineRule="auto"/>
              <w:jc w:val="center"/>
              <w:rPr>
                <w:rFonts w:ascii="宋体" w:cs="宋体"/>
                <w:b/>
                <w:bCs w:val="0"/>
                <w:color w:val="000000" w:themeColor="text1"/>
                <w:kern w:val="0"/>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 xml:space="preserve">表 </w:t>
            </w:r>
            <w:r>
              <w:rPr>
                <w:b/>
                <w:bCs w:val="0"/>
                <w:color w:val="000000" w:themeColor="text1"/>
                <w:sz w:val="24"/>
                <w:szCs w:val="24"/>
                <w:highlight w:val="none"/>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.1</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5</w:t>
            </w:r>
            <w:r>
              <w:rPr>
                <w:b/>
                <w:bCs w:val="0"/>
                <w:color w:val="000000" w:themeColor="text1"/>
                <w:sz w:val="24"/>
                <w:szCs w:val="24"/>
                <w:highlight w:val="none"/>
                <w14:textFill>
                  <w14:solidFill>
                    <w14:schemeClr w14:val="tx1"/>
                  </w14:solidFill>
                </w14:textFill>
              </w:rPr>
              <w:t xml:space="preserve">  </w:t>
            </w:r>
            <w:r>
              <w:rPr>
                <w:rFonts w:hint="eastAsia"/>
                <w:b/>
                <w:bCs w:val="0"/>
                <w:color w:val="000000" w:themeColor="text1"/>
                <w:sz w:val="24"/>
                <w:szCs w:val="24"/>
                <w:highlight w:val="none"/>
                <w14:textFill>
                  <w14:solidFill>
                    <w14:schemeClr w14:val="tx1"/>
                  </w14:solidFill>
                </w14:textFill>
              </w:rPr>
              <w:t>本项目实施后废气污染物排放情况一览表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72"/>
              <w:gridCol w:w="1620"/>
              <w:gridCol w:w="2385"/>
              <w:gridCol w:w="2843"/>
            </w:tblGrid>
            <w:tr w14:paraId="7617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shd w:val="clear" w:color="auto" w:fill="auto"/>
                  <w:vAlign w:val="center"/>
                </w:tcPr>
                <w:p w14:paraId="7E94E34A">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位置</w:t>
                  </w:r>
                </w:p>
              </w:tc>
              <w:tc>
                <w:tcPr>
                  <w:tcW w:w="1620" w:type="dxa"/>
                  <w:shd w:val="clear" w:color="auto" w:fill="auto"/>
                  <w:vAlign w:val="center"/>
                </w:tcPr>
                <w:p w14:paraId="737B8409">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排放方式</w:t>
                  </w:r>
                </w:p>
              </w:tc>
              <w:tc>
                <w:tcPr>
                  <w:tcW w:w="2385" w:type="dxa"/>
                  <w:shd w:val="clear" w:color="auto" w:fill="auto"/>
                  <w:vAlign w:val="center"/>
                </w:tcPr>
                <w:p w14:paraId="0A7851AA">
                  <w:pPr>
                    <w:jc w:val="center"/>
                    <w:rPr>
                      <w:rFonts w:hint="default"/>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污染物</w:t>
                  </w:r>
                </w:p>
              </w:tc>
              <w:tc>
                <w:tcPr>
                  <w:tcW w:w="2843" w:type="dxa"/>
                  <w:shd w:val="clear" w:color="auto" w:fill="auto"/>
                  <w:vAlign w:val="center"/>
                </w:tcPr>
                <w:p w14:paraId="2DCC4657">
                  <w:pPr>
                    <w:jc w:val="center"/>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排放量（t/a）</w:t>
                  </w:r>
                </w:p>
              </w:tc>
            </w:tr>
            <w:tr w14:paraId="2FB4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272" w:type="dxa"/>
                  <w:vMerge w:val="restart"/>
                  <w:shd w:val="clear" w:color="auto" w:fill="auto"/>
                  <w:vAlign w:val="center"/>
                </w:tcPr>
                <w:p w14:paraId="11B41E5E">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厂房</w:t>
                  </w:r>
                </w:p>
              </w:tc>
              <w:tc>
                <w:tcPr>
                  <w:tcW w:w="1620" w:type="dxa"/>
                  <w:vMerge w:val="restart"/>
                  <w:shd w:val="clear" w:color="auto" w:fill="auto"/>
                  <w:vAlign w:val="center"/>
                </w:tcPr>
                <w:p w14:paraId="07E47C0D">
                  <w:pPr>
                    <w:jc w:val="center"/>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有组织</w:t>
                  </w:r>
                </w:p>
              </w:tc>
              <w:tc>
                <w:tcPr>
                  <w:tcW w:w="2385" w:type="dxa"/>
                  <w:shd w:val="clear" w:color="auto" w:fill="auto"/>
                  <w:vAlign w:val="center"/>
                </w:tcPr>
                <w:p w14:paraId="612C777C">
                  <w:pPr>
                    <w:jc w:val="center"/>
                    <w:rPr>
                      <w:rFonts w:hint="eastAsia"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颗粒物</w:t>
                  </w:r>
                </w:p>
              </w:tc>
              <w:tc>
                <w:tcPr>
                  <w:tcW w:w="2843" w:type="dxa"/>
                  <w:shd w:val="clear" w:color="auto" w:fill="auto"/>
                  <w:vAlign w:val="center"/>
                </w:tcPr>
                <w:p w14:paraId="55B0E130">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0.000035 </w:t>
                  </w:r>
                </w:p>
              </w:tc>
            </w:tr>
            <w:tr w14:paraId="1092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3E8A41DB">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47CCA24B">
                  <w:pPr>
                    <w:jc w:val="center"/>
                    <w:rPr>
                      <w:color w:val="000000" w:themeColor="text1"/>
                      <w:sz w:val="21"/>
                      <w:szCs w:val="24"/>
                      <w:highlight w:val="none"/>
                      <w14:textFill>
                        <w14:solidFill>
                          <w14:schemeClr w14:val="tx1"/>
                        </w14:solidFill>
                      </w14:textFill>
                    </w:rPr>
                  </w:pPr>
                </w:p>
              </w:tc>
              <w:tc>
                <w:tcPr>
                  <w:tcW w:w="2385" w:type="dxa"/>
                  <w:shd w:val="clear" w:color="auto" w:fill="auto"/>
                  <w:vAlign w:val="center"/>
                </w:tcPr>
                <w:p w14:paraId="7C26C217">
                  <w:pPr>
                    <w:jc w:val="center"/>
                    <w:rPr>
                      <w:rFonts w:hint="eastAsia"/>
                      <w:color w:val="000000" w:themeColor="text1"/>
                      <w:sz w:val="2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2843" w:type="dxa"/>
                  <w:shd w:val="clear" w:color="auto" w:fill="auto"/>
                  <w:vAlign w:val="center"/>
                </w:tcPr>
                <w:p w14:paraId="1B35C3E6">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0.9604 </w:t>
                  </w:r>
                </w:p>
              </w:tc>
            </w:tr>
            <w:tr w14:paraId="6025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72F8299C">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5DE6D24A">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10481C40">
                  <w:pPr>
                    <w:keepNext w:val="0"/>
                    <w:keepLines w:val="0"/>
                    <w:widowControl/>
                    <w:suppressLineNumbers w:val="0"/>
                    <w:jc w:val="center"/>
                    <w:textAlignment w:val="center"/>
                    <w:rPr>
                      <w:rFonts w:hint="eastAsia" w:eastAsia="宋体"/>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2843" w:type="dxa"/>
                  <w:shd w:val="clear" w:color="auto" w:fill="auto"/>
                  <w:vAlign w:val="center"/>
                </w:tcPr>
                <w:p w14:paraId="09988E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0.0009 </w:t>
                  </w:r>
                </w:p>
              </w:tc>
            </w:tr>
            <w:tr w14:paraId="7AD9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44F829D9">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39A0E533">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31505B78">
                  <w:pPr>
                    <w:keepNext w:val="0"/>
                    <w:keepLines w:val="0"/>
                    <w:widowControl/>
                    <w:suppressLineNumbers w:val="0"/>
                    <w:jc w:val="center"/>
                    <w:textAlignment w:val="center"/>
                    <w:rPr>
                      <w:rFonts w:hint="eastAsia" w:eastAsia="宋体"/>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硝酸雾（以NO</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x</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w:t>
                  </w:r>
                </w:p>
              </w:tc>
              <w:tc>
                <w:tcPr>
                  <w:tcW w:w="2843" w:type="dxa"/>
                  <w:shd w:val="clear" w:color="auto" w:fill="auto"/>
                  <w:vAlign w:val="center"/>
                </w:tcPr>
                <w:p w14:paraId="732DFA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0.000045 </w:t>
                  </w:r>
                </w:p>
              </w:tc>
            </w:tr>
            <w:tr w14:paraId="2D11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199A0B1C">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1592BCD6">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3D7C22C0">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2843" w:type="dxa"/>
                  <w:shd w:val="clear" w:color="auto" w:fill="auto"/>
                  <w:vAlign w:val="center"/>
                </w:tcPr>
                <w:p w14:paraId="14CD7D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0.0004 </w:t>
                  </w:r>
                </w:p>
              </w:tc>
            </w:tr>
            <w:tr w14:paraId="64BA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64918717">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352709D0">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587A5941">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2843" w:type="dxa"/>
                  <w:shd w:val="clear" w:color="auto" w:fill="auto"/>
                  <w:vAlign w:val="center"/>
                </w:tcPr>
                <w:p w14:paraId="2C0371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0.000010 </w:t>
                  </w:r>
                </w:p>
              </w:tc>
            </w:tr>
            <w:tr w14:paraId="74C0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159CB089">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67E8ED9C">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55C18CFA">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TMAH</w:t>
                  </w:r>
                </w:p>
              </w:tc>
              <w:tc>
                <w:tcPr>
                  <w:tcW w:w="2843" w:type="dxa"/>
                  <w:shd w:val="clear" w:color="auto" w:fill="auto"/>
                  <w:vAlign w:val="center"/>
                </w:tcPr>
                <w:p w14:paraId="13F4D5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0.0001 </w:t>
                  </w:r>
                </w:p>
              </w:tc>
            </w:tr>
            <w:tr w14:paraId="12EF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4E759CA0">
                  <w:pPr>
                    <w:jc w:val="center"/>
                    <w:rPr>
                      <w:color w:val="000000" w:themeColor="text1"/>
                      <w:sz w:val="21"/>
                      <w:szCs w:val="24"/>
                      <w:highlight w:val="none"/>
                      <w14:textFill>
                        <w14:solidFill>
                          <w14:schemeClr w14:val="tx1"/>
                        </w14:solidFill>
                      </w14:textFill>
                    </w:rPr>
                  </w:pPr>
                </w:p>
              </w:tc>
              <w:tc>
                <w:tcPr>
                  <w:tcW w:w="1620" w:type="dxa"/>
                  <w:vMerge w:val="restart"/>
                  <w:shd w:val="clear" w:color="auto" w:fill="auto"/>
                  <w:vAlign w:val="center"/>
                </w:tcPr>
                <w:p w14:paraId="2344E3E8">
                  <w:pPr>
                    <w:jc w:val="center"/>
                    <w:rPr>
                      <w:rFonts w:hint="eastAsia"/>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无组织</w:t>
                  </w:r>
                </w:p>
              </w:tc>
              <w:tc>
                <w:tcPr>
                  <w:tcW w:w="2385" w:type="dxa"/>
                  <w:shd w:val="clear" w:color="auto" w:fill="auto"/>
                  <w:vAlign w:val="center"/>
                </w:tcPr>
                <w:p w14:paraId="163A891D">
                  <w:pPr>
                    <w:jc w:val="center"/>
                    <w:rPr>
                      <w:rFonts w:hint="eastAsia"/>
                      <w:color w:val="000000" w:themeColor="text1"/>
                      <w:sz w:val="21"/>
                      <w:szCs w:val="24"/>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颗粒物</w:t>
                  </w:r>
                </w:p>
              </w:tc>
              <w:tc>
                <w:tcPr>
                  <w:tcW w:w="2843" w:type="dxa"/>
                  <w:shd w:val="clear" w:color="auto" w:fill="auto"/>
                  <w:vAlign w:val="center"/>
                </w:tcPr>
                <w:p w14:paraId="5F731C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0.0009 </w:t>
                  </w:r>
                </w:p>
              </w:tc>
            </w:tr>
            <w:tr w14:paraId="1C5B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087FE1FC">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6A100DC5">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14B0ACF9">
                  <w:pPr>
                    <w:jc w:val="center"/>
                    <w:rPr>
                      <w:rFonts w:hint="eastAsia"/>
                      <w:color w:val="000000" w:themeColor="text1"/>
                      <w:sz w:val="2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2843" w:type="dxa"/>
                  <w:shd w:val="clear" w:color="auto" w:fill="auto"/>
                  <w:vAlign w:val="center"/>
                </w:tcPr>
                <w:p w14:paraId="06EA93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0.6669 </w:t>
                  </w:r>
                </w:p>
              </w:tc>
            </w:tr>
            <w:tr w14:paraId="3B23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136C8926">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5875A36D">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685875BE">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2843" w:type="dxa"/>
                  <w:shd w:val="clear" w:color="auto" w:fill="auto"/>
                  <w:vAlign w:val="center"/>
                </w:tcPr>
                <w:p w14:paraId="0B8C6B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0.0010 </w:t>
                  </w:r>
                </w:p>
              </w:tc>
            </w:tr>
            <w:tr w14:paraId="5D68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07A1C254">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21C67564">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31AFFC5B">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硝酸雾（以NO</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x</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w:t>
                  </w:r>
                </w:p>
              </w:tc>
              <w:tc>
                <w:tcPr>
                  <w:tcW w:w="2843" w:type="dxa"/>
                  <w:shd w:val="clear" w:color="auto" w:fill="auto"/>
                  <w:vAlign w:val="center"/>
                </w:tcPr>
                <w:p w14:paraId="5F2AF2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0.000048 </w:t>
                  </w:r>
                </w:p>
              </w:tc>
            </w:tr>
            <w:tr w14:paraId="4B94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7451E585">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3A143E3F">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0C520C1C">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2843" w:type="dxa"/>
                  <w:shd w:val="clear" w:color="auto" w:fill="auto"/>
                  <w:vAlign w:val="center"/>
                </w:tcPr>
                <w:p w14:paraId="48730E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0.0004 </w:t>
                  </w:r>
                </w:p>
              </w:tc>
            </w:tr>
            <w:tr w14:paraId="3914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24AFA9C6">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479A3B8F">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552B7793">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2843" w:type="dxa"/>
                  <w:shd w:val="clear" w:color="auto" w:fill="auto"/>
                  <w:vAlign w:val="center"/>
                </w:tcPr>
                <w:p w14:paraId="202EA3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0.000011 </w:t>
                  </w:r>
                </w:p>
              </w:tc>
            </w:tr>
            <w:tr w14:paraId="6882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272" w:type="dxa"/>
                  <w:vMerge w:val="continue"/>
                  <w:shd w:val="clear" w:color="auto" w:fill="auto"/>
                  <w:vAlign w:val="center"/>
                </w:tcPr>
                <w:p w14:paraId="47986F70">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1CB36F7D">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67D0D8F9">
                  <w:pPr>
                    <w:jc w:val="center"/>
                    <w:rPr>
                      <w:rFonts w:hint="eastAsia"/>
                      <w:color w:val="000000" w:themeColor="text1"/>
                      <w:sz w:val="21"/>
                      <w:szCs w:val="24"/>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TMAH</w:t>
                  </w:r>
                </w:p>
              </w:tc>
              <w:tc>
                <w:tcPr>
                  <w:tcW w:w="2843" w:type="dxa"/>
                  <w:shd w:val="clear" w:color="auto" w:fill="auto"/>
                  <w:vAlign w:val="center"/>
                </w:tcPr>
                <w:p w14:paraId="6E14B3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0.0001 </w:t>
                  </w:r>
                </w:p>
              </w:tc>
            </w:tr>
            <w:tr w14:paraId="3A62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272" w:type="dxa"/>
                  <w:vMerge w:val="continue"/>
                  <w:shd w:val="clear" w:color="auto" w:fill="auto"/>
                  <w:vAlign w:val="center"/>
                </w:tcPr>
                <w:p w14:paraId="70E03FD9">
                  <w:pPr>
                    <w:jc w:val="center"/>
                    <w:rPr>
                      <w:color w:val="000000" w:themeColor="text1"/>
                      <w:sz w:val="21"/>
                      <w:szCs w:val="24"/>
                      <w:highlight w:val="none"/>
                      <w14:textFill>
                        <w14:solidFill>
                          <w14:schemeClr w14:val="tx1"/>
                        </w14:solidFill>
                      </w14:textFill>
                    </w:rPr>
                  </w:pPr>
                </w:p>
              </w:tc>
              <w:tc>
                <w:tcPr>
                  <w:tcW w:w="1620" w:type="dxa"/>
                  <w:vMerge w:val="restart"/>
                  <w:shd w:val="clear" w:color="auto" w:fill="auto"/>
                  <w:vAlign w:val="center"/>
                </w:tcPr>
                <w:p w14:paraId="4B433FE1">
                  <w:pPr>
                    <w:jc w:val="center"/>
                    <w:rPr>
                      <w:color w:val="000000" w:themeColor="text1"/>
                      <w:sz w:val="21"/>
                      <w:szCs w:val="24"/>
                      <w:highlight w:val="none"/>
                      <w14:textFill>
                        <w14:solidFill>
                          <w14:schemeClr w14:val="tx1"/>
                        </w14:solidFill>
                      </w14:textFill>
                    </w:rPr>
                  </w:pPr>
                  <w:r>
                    <w:rPr>
                      <w:rFonts w:hint="eastAsia"/>
                      <w:color w:val="000000" w:themeColor="text1"/>
                      <w:sz w:val="21"/>
                      <w:szCs w:val="24"/>
                      <w:highlight w:val="none"/>
                      <w14:textFill>
                        <w14:solidFill>
                          <w14:schemeClr w14:val="tx1"/>
                        </w14:solidFill>
                      </w14:textFill>
                    </w:rPr>
                    <w:t>合计</w:t>
                  </w:r>
                </w:p>
              </w:tc>
              <w:tc>
                <w:tcPr>
                  <w:tcW w:w="2385" w:type="dxa"/>
                  <w:shd w:val="clear" w:color="auto" w:fill="auto"/>
                  <w:vAlign w:val="center"/>
                </w:tcPr>
                <w:p w14:paraId="312F05A4">
                  <w:pPr>
                    <w:jc w:val="center"/>
                    <w:rPr>
                      <w:rFonts w:hint="eastAsia"/>
                      <w:color w:val="000000" w:themeColor="text1"/>
                      <w:sz w:val="21"/>
                      <w:szCs w:val="24"/>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颗粒物</w:t>
                  </w:r>
                </w:p>
              </w:tc>
              <w:tc>
                <w:tcPr>
                  <w:tcW w:w="2843" w:type="dxa"/>
                  <w:shd w:val="clear" w:color="auto" w:fill="auto"/>
                  <w:vAlign w:val="center"/>
                </w:tcPr>
                <w:p w14:paraId="7D6ACA77">
                  <w:pPr>
                    <w:keepNext w:val="0"/>
                    <w:keepLines w:val="0"/>
                    <w:widowControl/>
                    <w:suppressLineNumbers w:val="0"/>
                    <w:jc w:val="center"/>
                    <w:textAlignment w:val="center"/>
                    <w:rPr>
                      <w:rFonts w:hint="default" w:eastAsia="宋体"/>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0.0009 </w:t>
                  </w:r>
                </w:p>
              </w:tc>
            </w:tr>
            <w:tr w14:paraId="3DF3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272" w:type="dxa"/>
                  <w:vMerge w:val="continue"/>
                  <w:shd w:val="clear" w:color="auto" w:fill="auto"/>
                  <w:vAlign w:val="center"/>
                </w:tcPr>
                <w:p w14:paraId="07C4F33B">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1F0D5C3A">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1B18BD6F">
                  <w:pPr>
                    <w:jc w:val="center"/>
                    <w:rPr>
                      <w:rFonts w:hint="eastAsia"/>
                      <w:color w:val="000000" w:themeColor="text1"/>
                      <w:sz w:val="2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2843" w:type="dxa"/>
                  <w:shd w:val="clear" w:color="auto" w:fill="auto"/>
                  <w:vAlign w:val="center"/>
                </w:tcPr>
                <w:p w14:paraId="2B79CD0D">
                  <w:pPr>
                    <w:keepNext w:val="0"/>
                    <w:keepLines w:val="0"/>
                    <w:widowControl/>
                    <w:suppressLineNumbers w:val="0"/>
                    <w:jc w:val="center"/>
                    <w:textAlignment w:val="center"/>
                    <w:rPr>
                      <w:rFonts w:hint="eastAsia"/>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1.6273 </w:t>
                  </w:r>
                </w:p>
              </w:tc>
            </w:tr>
            <w:tr w14:paraId="7ED1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272" w:type="dxa"/>
                  <w:vMerge w:val="continue"/>
                  <w:shd w:val="clear" w:color="auto" w:fill="auto"/>
                  <w:vAlign w:val="center"/>
                </w:tcPr>
                <w:p w14:paraId="0CD02807">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5FC04ABF">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485F2D46">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2843" w:type="dxa"/>
                  <w:shd w:val="clear" w:color="auto" w:fill="auto"/>
                  <w:vAlign w:val="center"/>
                </w:tcPr>
                <w:p w14:paraId="5DE2D123">
                  <w:pPr>
                    <w:keepNext w:val="0"/>
                    <w:keepLines w:val="0"/>
                    <w:widowControl/>
                    <w:suppressLineNumbers w:val="0"/>
                    <w:jc w:val="center"/>
                    <w:textAlignment w:val="center"/>
                    <w:rPr>
                      <w:rFonts w:hint="eastAsia"/>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0.0019 </w:t>
                  </w:r>
                </w:p>
              </w:tc>
            </w:tr>
            <w:tr w14:paraId="04BF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272" w:type="dxa"/>
                  <w:vMerge w:val="continue"/>
                  <w:shd w:val="clear" w:color="auto" w:fill="auto"/>
                  <w:vAlign w:val="center"/>
                </w:tcPr>
                <w:p w14:paraId="58D1ABB0">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2D42EEBA">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0157A1DF">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硝酸雾（以NO</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x</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w:t>
                  </w:r>
                </w:p>
              </w:tc>
              <w:tc>
                <w:tcPr>
                  <w:tcW w:w="2843" w:type="dxa"/>
                  <w:shd w:val="clear" w:color="auto" w:fill="auto"/>
                  <w:vAlign w:val="center"/>
                </w:tcPr>
                <w:p w14:paraId="49789048">
                  <w:pPr>
                    <w:keepNext w:val="0"/>
                    <w:keepLines w:val="0"/>
                    <w:widowControl/>
                    <w:suppressLineNumbers w:val="0"/>
                    <w:jc w:val="center"/>
                    <w:textAlignment w:val="center"/>
                    <w:rPr>
                      <w:rFonts w:hint="eastAsia"/>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0.0001 </w:t>
                  </w:r>
                </w:p>
              </w:tc>
            </w:tr>
            <w:tr w14:paraId="3E64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272" w:type="dxa"/>
                  <w:vMerge w:val="continue"/>
                  <w:shd w:val="clear" w:color="auto" w:fill="auto"/>
                  <w:vAlign w:val="center"/>
                </w:tcPr>
                <w:p w14:paraId="311DACDC">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1D7431F6">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44D5A4E3">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2843" w:type="dxa"/>
                  <w:shd w:val="clear" w:color="auto" w:fill="auto"/>
                  <w:vAlign w:val="center"/>
                </w:tcPr>
                <w:p w14:paraId="6C2CD52F">
                  <w:pPr>
                    <w:keepNext w:val="0"/>
                    <w:keepLines w:val="0"/>
                    <w:widowControl/>
                    <w:suppressLineNumbers w:val="0"/>
                    <w:jc w:val="center"/>
                    <w:textAlignment w:val="center"/>
                    <w:rPr>
                      <w:rFonts w:hint="eastAsia"/>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0.0008 </w:t>
                  </w:r>
                </w:p>
              </w:tc>
            </w:tr>
            <w:tr w14:paraId="1C63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272" w:type="dxa"/>
                  <w:vMerge w:val="continue"/>
                  <w:shd w:val="clear" w:color="auto" w:fill="auto"/>
                  <w:vAlign w:val="center"/>
                </w:tcPr>
                <w:p w14:paraId="0A7ABAA8">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61543FA0">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7E2ECDD3">
                  <w:pPr>
                    <w:keepNext w:val="0"/>
                    <w:keepLines w:val="0"/>
                    <w:widowControl/>
                    <w:suppressLineNumbers w:val="0"/>
                    <w:jc w:val="center"/>
                    <w:textAlignment w:val="center"/>
                    <w:rPr>
                      <w:rFonts w:hint="eastAsia"/>
                      <w:color w:val="000000" w:themeColor="text1"/>
                      <w:sz w:val="21"/>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2843" w:type="dxa"/>
                  <w:shd w:val="clear" w:color="auto" w:fill="auto"/>
                  <w:vAlign w:val="center"/>
                </w:tcPr>
                <w:p w14:paraId="2758A526">
                  <w:pPr>
                    <w:keepNext w:val="0"/>
                    <w:keepLines w:val="0"/>
                    <w:widowControl/>
                    <w:suppressLineNumbers w:val="0"/>
                    <w:jc w:val="center"/>
                    <w:textAlignment w:val="center"/>
                    <w:rPr>
                      <w:rFonts w:hint="eastAsia"/>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0.000021 </w:t>
                  </w:r>
                </w:p>
              </w:tc>
            </w:tr>
            <w:tr w14:paraId="595F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272" w:type="dxa"/>
                  <w:vMerge w:val="continue"/>
                  <w:shd w:val="clear" w:color="auto" w:fill="auto"/>
                  <w:vAlign w:val="center"/>
                </w:tcPr>
                <w:p w14:paraId="443E3A5C">
                  <w:pPr>
                    <w:jc w:val="center"/>
                    <w:rPr>
                      <w:color w:val="000000" w:themeColor="text1"/>
                      <w:sz w:val="21"/>
                      <w:szCs w:val="24"/>
                      <w:highlight w:val="none"/>
                      <w14:textFill>
                        <w14:solidFill>
                          <w14:schemeClr w14:val="tx1"/>
                        </w14:solidFill>
                      </w14:textFill>
                    </w:rPr>
                  </w:pPr>
                </w:p>
              </w:tc>
              <w:tc>
                <w:tcPr>
                  <w:tcW w:w="1620" w:type="dxa"/>
                  <w:vMerge w:val="continue"/>
                  <w:shd w:val="clear" w:color="auto" w:fill="auto"/>
                  <w:vAlign w:val="center"/>
                </w:tcPr>
                <w:p w14:paraId="42592691">
                  <w:pPr>
                    <w:jc w:val="center"/>
                    <w:rPr>
                      <w:rFonts w:hint="eastAsia"/>
                      <w:color w:val="000000" w:themeColor="text1"/>
                      <w:sz w:val="21"/>
                      <w:szCs w:val="24"/>
                      <w:highlight w:val="none"/>
                      <w14:textFill>
                        <w14:solidFill>
                          <w14:schemeClr w14:val="tx1"/>
                        </w14:solidFill>
                      </w14:textFill>
                    </w:rPr>
                  </w:pPr>
                </w:p>
              </w:tc>
              <w:tc>
                <w:tcPr>
                  <w:tcW w:w="2385" w:type="dxa"/>
                  <w:shd w:val="clear" w:color="auto" w:fill="auto"/>
                  <w:vAlign w:val="center"/>
                </w:tcPr>
                <w:p w14:paraId="73857C46">
                  <w:pPr>
                    <w:jc w:val="center"/>
                    <w:rPr>
                      <w:rFonts w:hint="eastAsia"/>
                      <w:color w:val="000000" w:themeColor="text1"/>
                      <w:sz w:val="21"/>
                      <w:szCs w:val="24"/>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TMAH</w:t>
                  </w:r>
                </w:p>
              </w:tc>
              <w:tc>
                <w:tcPr>
                  <w:tcW w:w="2843" w:type="dxa"/>
                  <w:shd w:val="clear" w:color="auto" w:fill="auto"/>
                  <w:vAlign w:val="center"/>
                </w:tcPr>
                <w:p w14:paraId="26D8EB84">
                  <w:pPr>
                    <w:keepNext w:val="0"/>
                    <w:keepLines w:val="0"/>
                    <w:widowControl/>
                    <w:suppressLineNumbers w:val="0"/>
                    <w:jc w:val="center"/>
                    <w:textAlignment w:val="center"/>
                    <w:rPr>
                      <w:rFonts w:hint="eastAsia"/>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0.0002 </w:t>
                  </w:r>
                </w:p>
              </w:tc>
            </w:tr>
          </w:tbl>
          <w:p w14:paraId="6FAEB2BB">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4.1.2非正常排放</w:t>
            </w:r>
          </w:p>
          <w:p w14:paraId="21BDF596">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非正常排放情况考虑废气净化设施发生故障，废气污染物未经处理就直接排放的情景，非正常排放不考虑无组织排放，本项目有机废气净化设施在风机故障发生时，应立即停产，非正常排放时间按0.5h计算，非正常排放量核算见下表。</w:t>
            </w:r>
          </w:p>
          <w:p w14:paraId="3650D14A">
            <w:pPr>
              <w:spacing w:line="360" w:lineRule="auto"/>
              <w:jc w:val="center"/>
              <w:rPr>
                <w:rFonts w:ascii="宋体" w:cs="宋体"/>
                <w:b/>
                <w:bCs w:val="0"/>
                <w:color w:val="000000" w:themeColor="text1"/>
                <w:kern w:val="0"/>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 xml:space="preserve">表 </w:t>
            </w:r>
            <w:r>
              <w:rPr>
                <w:b/>
                <w:bCs w:val="0"/>
                <w:color w:val="000000" w:themeColor="text1"/>
                <w:sz w:val="24"/>
                <w:szCs w:val="24"/>
                <w:highlight w:val="none"/>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.1</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6</w:t>
            </w:r>
            <w:r>
              <w:rPr>
                <w:b/>
                <w:bCs w:val="0"/>
                <w:color w:val="000000" w:themeColor="text1"/>
                <w:sz w:val="24"/>
                <w:szCs w:val="24"/>
                <w:highlight w:val="none"/>
                <w14:textFill>
                  <w14:solidFill>
                    <w14:schemeClr w14:val="tx1"/>
                  </w14:solidFill>
                </w14:textFill>
              </w:rPr>
              <w:t xml:space="preserve">  </w:t>
            </w:r>
            <w:r>
              <w:rPr>
                <w:rFonts w:hint="eastAsia"/>
                <w:b/>
                <w:bCs w:val="0"/>
                <w:color w:val="000000" w:themeColor="text1"/>
                <w:sz w:val="24"/>
                <w:szCs w:val="24"/>
                <w:highlight w:val="none"/>
                <w:lang w:val="en-US" w:eastAsia="zh-CN"/>
                <w14:textFill>
                  <w14:solidFill>
                    <w14:schemeClr w14:val="tx1"/>
                  </w14:solidFill>
                </w14:textFill>
              </w:rPr>
              <w:t>本项目废气污染物非正常排放核算一览</w:t>
            </w:r>
            <w:r>
              <w:rPr>
                <w:rFonts w:hint="eastAsia"/>
                <w:b/>
                <w:bCs w:val="0"/>
                <w:color w:val="000000" w:themeColor="text1"/>
                <w:sz w:val="24"/>
                <w:szCs w:val="24"/>
                <w:highlight w:val="none"/>
                <w14:textFill>
                  <w14:solidFill>
                    <w14:schemeClr w14:val="tx1"/>
                  </w14:solidFill>
                </w14:textFill>
              </w:rPr>
              <w:t>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30"/>
              <w:gridCol w:w="761"/>
              <w:gridCol w:w="1030"/>
              <w:gridCol w:w="840"/>
              <w:gridCol w:w="855"/>
              <w:gridCol w:w="900"/>
              <w:gridCol w:w="825"/>
              <w:gridCol w:w="900"/>
              <w:gridCol w:w="1179"/>
            </w:tblGrid>
            <w:tr w14:paraId="5266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830" w:type="dxa"/>
                  <w:vMerge w:val="restart"/>
                  <w:shd w:val="clear" w:color="auto" w:fill="auto"/>
                  <w:vAlign w:val="center"/>
                </w:tcPr>
                <w:p w14:paraId="43A46E49">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排放源名称</w:t>
                  </w:r>
                </w:p>
              </w:tc>
              <w:tc>
                <w:tcPr>
                  <w:tcW w:w="761" w:type="dxa"/>
                  <w:vMerge w:val="restart"/>
                  <w:shd w:val="clear" w:color="auto" w:fill="auto"/>
                  <w:vAlign w:val="center"/>
                </w:tcPr>
                <w:p w14:paraId="44353657">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污染物名称</w:t>
                  </w:r>
                </w:p>
              </w:tc>
              <w:tc>
                <w:tcPr>
                  <w:tcW w:w="1030" w:type="dxa"/>
                  <w:vMerge w:val="restart"/>
                  <w:shd w:val="clear" w:color="auto" w:fill="auto"/>
                  <w:vAlign w:val="center"/>
                </w:tcPr>
                <w:p w14:paraId="6F65C9F7">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非正常排放原因</w:t>
                  </w:r>
                </w:p>
              </w:tc>
              <w:tc>
                <w:tcPr>
                  <w:tcW w:w="4320" w:type="dxa"/>
                  <w:gridSpan w:val="5"/>
                  <w:shd w:val="clear" w:color="auto" w:fill="auto"/>
                  <w:vAlign w:val="center"/>
                </w:tcPr>
                <w:p w14:paraId="7330BB6A">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非正常排放情况</w:t>
                  </w:r>
                </w:p>
              </w:tc>
              <w:tc>
                <w:tcPr>
                  <w:tcW w:w="1179" w:type="dxa"/>
                  <w:vMerge w:val="restart"/>
                  <w:shd w:val="clear" w:color="auto" w:fill="auto"/>
                  <w:vAlign w:val="center"/>
                </w:tcPr>
                <w:p w14:paraId="1C378A41">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应对措施</w:t>
                  </w:r>
                </w:p>
              </w:tc>
            </w:tr>
            <w:tr w14:paraId="28AE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830" w:type="dxa"/>
                  <w:vMerge w:val="continue"/>
                  <w:shd w:val="clear" w:color="auto" w:fill="auto"/>
                  <w:vAlign w:val="center"/>
                </w:tcPr>
                <w:p w14:paraId="4C271B30">
                  <w:pPr>
                    <w:jc w:val="center"/>
                    <w:rPr>
                      <w:rFonts w:hint="default" w:eastAsia="宋体"/>
                      <w:color w:val="000000" w:themeColor="text1"/>
                      <w:sz w:val="21"/>
                      <w:szCs w:val="24"/>
                      <w:highlight w:val="none"/>
                      <w:lang w:val="en-US" w:eastAsia="zh-CN"/>
                      <w14:textFill>
                        <w14:solidFill>
                          <w14:schemeClr w14:val="tx1"/>
                        </w14:solidFill>
                      </w14:textFill>
                    </w:rPr>
                  </w:pPr>
                </w:p>
              </w:tc>
              <w:tc>
                <w:tcPr>
                  <w:tcW w:w="761" w:type="dxa"/>
                  <w:vMerge w:val="continue"/>
                  <w:shd w:val="clear" w:color="auto" w:fill="auto"/>
                  <w:vAlign w:val="center"/>
                </w:tcPr>
                <w:p w14:paraId="1057E4DB">
                  <w:pPr>
                    <w:jc w:val="center"/>
                    <w:rPr>
                      <w:rFonts w:hint="default" w:eastAsia="宋体"/>
                      <w:color w:val="000000" w:themeColor="text1"/>
                      <w:sz w:val="21"/>
                      <w:szCs w:val="24"/>
                      <w:highlight w:val="none"/>
                      <w:lang w:val="en-US" w:eastAsia="zh-CN"/>
                      <w14:textFill>
                        <w14:solidFill>
                          <w14:schemeClr w14:val="tx1"/>
                        </w14:solidFill>
                      </w14:textFill>
                    </w:rPr>
                  </w:pPr>
                </w:p>
              </w:tc>
              <w:tc>
                <w:tcPr>
                  <w:tcW w:w="1030" w:type="dxa"/>
                  <w:vMerge w:val="continue"/>
                  <w:shd w:val="clear" w:color="auto" w:fill="auto"/>
                  <w:vAlign w:val="center"/>
                </w:tcPr>
                <w:p w14:paraId="7FA7C387">
                  <w:pPr>
                    <w:jc w:val="center"/>
                    <w:rPr>
                      <w:rFonts w:hint="default" w:eastAsia="宋体"/>
                      <w:color w:val="000000" w:themeColor="text1"/>
                      <w:sz w:val="21"/>
                      <w:szCs w:val="24"/>
                      <w:highlight w:val="none"/>
                      <w:lang w:val="en-US" w:eastAsia="zh-CN"/>
                      <w14:textFill>
                        <w14:solidFill>
                          <w14:schemeClr w14:val="tx1"/>
                        </w14:solidFill>
                      </w14:textFill>
                    </w:rPr>
                  </w:pPr>
                </w:p>
              </w:tc>
              <w:tc>
                <w:tcPr>
                  <w:tcW w:w="840" w:type="dxa"/>
                  <w:shd w:val="clear" w:color="auto" w:fill="auto"/>
                  <w:vAlign w:val="center"/>
                </w:tcPr>
                <w:p w14:paraId="259BA0CE">
                  <w:pPr>
                    <w:jc w:val="center"/>
                    <w:rPr>
                      <w:rFonts w:hint="default"/>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浓度mg/m</w:t>
                  </w:r>
                  <w:r>
                    <w:rPr>
                      <w:rFonts w:hint="eastAsia"/>
                      <w:color w:val="000000" w:themeColor="text1"/>
                      <w:sz w:val="21"/>
                      <w:szCs w:val="24"/>
                      <w:highlight w:val="none"/>
                      <w:vertAlign w:val="superscript"/>
                      <w:lang w:val="en-US" w:eastAsia="zh-CN"/>
                      <w14:textFill>
                        <w14:solidFill>
                          <w14:schemeClr w14:val="tx1"/>
                        </w14:solidFill>
                      </w14:textFill>
                    </w:rPr>
                    <w:t>3</w:t>
                  </w:r>
                </w:p>
              </w:tc>
              <w:tc>
                <w:tcPr>
                  <w:tcW w:w="855" w:type="dxa"/>
                  <w:shd w:val="clear" w:color="auto" w:fill="auto"/>
                  <w:vAlign w:val="center"/>
                </w:tcPr>
                <w:p w14:paraId="54D2D1C6">
                  <w:pPr>
                    <w:jc w:val="center"/>
                    <w:rPr>
                      <w:rFonts w:hint="default"/>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速率kg/h</w:t>
                  </w:r>
                </w:p>
              </w:tc>
              <w:tc>
                <w:tcPr>
                  <w:tcW w:w="900" w:type="dxa"/>
                  <w:shd w:val="clear" w:color="auto" w:fill="auto"/>
                  <w:vAlign w:val="center"/>
                </w:tcPr>
                <w:p w14:paraId="1CF2617F">
                  <w:pPr>
                    <w:jc w:val="center"/>
                    <w:rPr>
                      <w:rFonts w:hint="default"/>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单次持续时间h</w:t>
                  </w:r>
                </w:p>
              </w:tc>
              <w:tc>
                <w:tcPr>
                  <w:tcW w:w="825" w:type="dxa"/>
                  <w:shd w:val="clear" w:color="auto" w:fill="auto"/>
                  <w:vAlign w:val="center"/>
                </w:tcPr>
                <w:p w14:paraId="768B24E8">
                  <w:pPr>
                    <w:jc w:val="center"/>
                    <w:rPr>
                      <w:rFonts w:hint="eastAsia"/>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年发生频次</w:t>
                  </w:r>
                </w:p>
              </w:tc>
              <w:tc>
                <w:tcPr>
                  <w:tcW w:w="900" w:type="dxa"/>
                  <w:shd w:val="clear" w:color="auto" w:fill="auto"/>
                  <w:vAlign w:val="center"/>
                </w:tcPr>
                <w:p w14:paraId="1A22C037">
                  <w:pPr>
                    <w:jc w:val="center"/>
                    <w:rPr>
                      <w:rFonts w:hint="default"/>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排放量kg/a</w:t>
                  </w:r>
                </w:p>
              </w:tc>
              <w:tc>
                <w:tcPr>
                  <w:tcW w:w="1179" w:type="dxa"/>
                  <w:vMerge w:val="continue"/>
                  <w:shd w:val="clear" w:color="auto" w:fill="auto"/>
                  <w:vAlign w:val="center"/>
                </w:tcPr>
                <w:p w14:paraId="7817BE4F">
                  <w:pPr>
                    <w:jc w:val="center"/>
                    <w:rPr>
                      <w:rFonts w:hint="eastAsia" w:eastAsia="宋体"/>
                      <w:color w:val="000000" w:themeColor="text1"/>
                      <w:sz w:val="21"/>
                      <w:szCs w:val="24"/>
                      <w:highlight w:val="none"/>
                      <w:lang w:val="en-US" w:eastAsia="zh-CN"/>
                      <w14:textFill>
                        <w14:solidFill>
                          <w14:schemeClr w14:val="tx1"/>
                        </w14:solidFill>
                      </w14:textFill>
                    </w:rPr>
                  </w:pPr>
                </w:p>
              </w:tc>
            </w:tr>
            <w:tr w14:paraId="1F95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30" w:type="dxa"/>
                  <w:shd w:val="clear" w:color="auto" w:fill="auto"/>
                  <w:vAlign w:val="center"/>
                </w:tcPr>
                <w:p w14:paraId="131433A1">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有机废气</w:t>
                  </w:r>
                </w:p>
              </w:tc>
              <w:tc>
                <w:tcPr>
                  <w:tcW w:w="761" w:type="dxa"/>
                  <w:shd w:val="clear" w:color="auto" w:fill="auto"/>
                  <w:vAlign w:val="center"/>
                </w:tcPr>
                <w:p w14:paraId="50F9D48C">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非甲烷总烃</w:t>
                  </w:r>
                </w:p>
              </w:tc>
              <w:tc>
                <w:tcPr>
                  <w:tcW w:w="1030" w:type="dxa"/>
                  <w:shd w:val="clear" w:color="auto" w:fill="auto"/>
                  <w:vAlign w:val="center"/>
                </w:tcPr>
                <w:p w14:paraId="18A76D4D">
                  <w:pPr>
                    <w:jc w:val="center"/>
                    <w:rPr>
                      <w:rFonts w:hint="default" w:eastAsia="宋体"/>
                      <w:color w:val="000000" w:themeColor="text1"/>
                      <w:sz w:val="21"/>
                      <w:szCs w:val="24"/>
                      <w:highlight w:val="none"/>
                      <w:lang w:val="en-US" w:eastAsia="zh-CN"/>
                      <w14:textFill>
                        <w14:solidFill>
                          <w14:schemeClr w14:val="tx1"/>
                        </w14:solidFill>
                      </w14:textFill>
                    </w:rPr>
                  </w:pPr>
                  <w:r>
                    <w:rPr>
                      <w:rFonts w:hint="default" w:eastAsia="宋体"/>
                      <w:color w:val="000000" w:themeColor="text1"/>
                      <w:sz w:val="21"/>
                      <w:szCs w:val="24"/>
                      <w:highlight w:val="none"/>
                      <w:lang w:val="en-US" w:eastAsia="zh-CN"/>
                      <w14:textFill>
                        <w14:solidFill>
                          <w14:schemeClr w14:val="tx1"/>
                        </w14:solidFill>
                      </w14:textFill>
                    </w:rPr>
                    <w:t>废气治理设施发生故障</w:t>
                  </w:r>
                </w:p>
              </w:tc>
              <w:tc>
                <w:tcPr>
                  <w:tcW w:w="840" w:type="dxa"/>
                  <w:shd w:val="clear" w:color="auto" w:fill="auto"/>
                  <w:vAlign w:val="center"/>
                </w:tcPr>
                <w:p w14:paraId="4CF1128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463.15 </w:t>
                  </w:r>
                </w:p>
              </w:tc>
              <w:tc>
                <w:tcPr>
                  <w:tcW w:w="855" w:type="dxa"/>
                  <w:shd w:val="clear" w:color="auto" w:fill="auto"/>
                  <w:vAlign w:val="center"/>
                </w:tcPr>
                <w:p w14:paraId="7DDC1F9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3.3347 </w:t>
                  </w:r>
                </w:p>
              </w:tc>
              <w:tc>
                <w:tcPr>
                  <w:tcW w:w="900" w:type="dxa"/>
                  <w:shd w:val="clear" w:color="auto" w:fill="auto"/>
                  <w:vAlign w:val="center"/>
                </w:tcPr>
                <w:p w14:paraId="5A49D2E8">
                  <w:pPr>
                    <w:keepNext w:val="0"/>
                    <w:keepLines w:val="0"/>
                    <w:widowControl/>
                    <w:suppressLineNumbers w:val="0"/>
                    <w:jc w:val="center"/>
                    <w:textAlignment w:val="center"/>
                    <w:rPr>
                      <w:rFonts w:hint="default"/>
                      <w:color w:val="000000" w:themeColor="text1"/>
                      <w:sz w:val="21"/>
                      <w:szCs w:val="24"/>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825" w:type="dxa"/>
                  <w:shd w:val="clear" w:color="auto" w:fill="auto"/>
                  <w:vAlign w:val="center"/>
                </w:tcPr>
                <w:p w14:paraId="4EF266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900" w:type="dxa"/>
                  <w:shd w:val="clear" w:color="auto" w:fill="auto"/>
                  <w:vAlign w:val="center"/>
                </w:tcPr>
                <w:p w14:paraId="3AC74F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1.6674</w:t>
                  </w:r>
                </w:p>
              </w:tc>
              <w:tc>
                <w:tcPr>
                  <w:tcW w:w="1179" w:type="dxa"/>
                  <w:shd w:val="clear" w:color="auto" w:fill="auto"/>
                  <w:vAlign w:val="center"/>
                </w:tcPr>
                <w:p w14:paraId="51AE10AA">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eastAsia="宋体"/>
                      <w:color w:val="000000" w:themeColor="text1"/>
                      <w:sz w:val="21"/>
                      <w:szCs w:val="24"/>
                      <w:highlight w:val="none"/>
                      <w:lang w:val="en-US" w:eastAsia="zh-CN"/>
                      <w14:textFill>
                        <w14:solidFill>
                          <w14:schemeClr w14:val="tx1"/>
                        </w14:solidFill>
                      </w14:textFill>
                    </w:rPr>
                    <w:t>立即</w:t>
                  </w:r>
                  <w:r>
                    <w:rPr>
                      <w:rFonts w:hint="eastAsia"/>
                      <w:color w:val="000000" w:themeColor="text1"/>
                      <w:sz w:val="21"/>
                      <w:szCs w:val="24"/>
                      <w:highlight w:val="none"/>
                      <w:lang w:val="en-US" w:eastAsia="zh-CN"/>
                      <w14:textFill>
                        <w14:solidFill>
                          <w14:schemeClr w14:val="tx1"/>
                        </w14:solidFill>
                      </w14:textFill>
                    </w:rPr>
                    <w:t>停止作业</w:t>
                  </w:r>
                </w:p>
              </w:tc>
            </w:tr>
          </w:tbl>
          <w:p w14:paraId="3459BB06">
            <w:pPr>
              <w:pStyle w:val="37"/>
              <w:rPr>
                <w:rFonts w:hint="eastAsia"/>
                <w:color w:val="000000" w:themeColor="text1"/>
                <w:sz w:val="24"/>
                <w:szCs w:val="21"/>
                <w:highlight w:val="none"/>
                <w:lang w:val="en-US" w:eastAsia="zh-CN"/>
                <w14:textFill>
                  <w14:solidFill>
                    <w14:schemeClr w14:val="tx1"/>
                  </w14:solidFill>
                </w14:textFill>
              </w:rPr>
            </w:pPr>
          </w:p>
          <w:p w14:paraId="497CFBD4">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4.1.3大气环境影响和污染防治措施合理性分析</w:t>
            </w:r>
          </w:p>
          <w:p w14:paraId="2112E93F">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（一）有机废气处理措施合理性分析</w:t>
            </w:r>
          </w:p>
          <w:p w14:paraId="367E945C">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（1）有组织废气处理措施</w:t>
            </w:r>
          </w:p>
          <w:p w14:paraId="0BEE559F">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w:t>
            </w:r>
            <w:r>
              <w:rPr>
                <w:rFonts w:hint="default" w:cs="宋体"/>
                <w:color w:val="000000" w:themeColor="text1"/>
                <w:sz w:val="24"/>
                <w:szCs w:val="32"/>
                <w:highlight w:val="none"/>
                <w:lang w:val="en-US" w:eastAsia="zh-CN"/>
                <w14:textFill>
                  <w14:solidFill>
                    <w14:schemeClr w14:val="tx1"/>
                  </w14:solidFill>
                </w14:textFill>
              </w:rPr>
              <w:t>项目位于</w:t>
            </w:r>
            <w:r>
              <w:rPr>
                <w:rFonts w:hint="eastAsia"/>
                <w:color w:val="000000" w:themeColor="text1"/>
                <w:sz w:val="24"/>
                <w:szCs w:val="24"/>
                <w:highlight w:val="none"/>
                <w:lang w:val="en-US" w:eastAsia="zh-CN"/>
                <w14:textFill>
                  <w14:solidFill>
                    <w14:schemeClr w14:val="tx1"/>
                  </w14:solidFill>
                </w14:textFill>
              </w:rPr>
              <w:t>闽侯县南屿镇窗厦村尧溪路3号1#厂房</w:t>
            </w:r>
            <w:r>
              <w:rPr>
                <w:rFonts w:hint="default" w:cs="宋体"/>
                <w:color w:val="000000" w:themeColor="text1"/>
                <w:sz w:val="24"/>
                <w:szCs w:val="32"/>
                <w:highlight w:val="none"/>
                <w:lang w:val="en-US" w:eastAsia="zh-CN"/>
                <w14:textFill>
                  <w14:solidFill>
                    <w14:schemeClr w14:val="tx1"/>
                  </w14:solidFill>
                </w14:textFill>
              </w:rPr>
              <w:t>，距离本项目最近的环境保护目标为</w:t>
            </w:r>
            <w:r>
              <w:rPr>
                <w:rFonts w:hint="eastAsia" w:cs="宋体"/>
                <w:color w:val="000000" w:themeColor="text1"/>
                <w:sz w:val="24"/>
                <w:szCs w:val="32"/>
                <w:highlight w:val="none"/>
                <w:lang w:val="en-US" w:eastAsia="zh-CN"/>
                <w14:textFill>
                  <w14:solidFill>
                    <w14:schemeClr w14:val="tx1"/>
                  </w14:solidFill>
                </w14:textFill>
              </w:rPr>
              <w:t>西侧约220</w:t>
            </w:r>
            <w:r>
              <w:rPr>
                <w:rFonts w:hint="default" w:cs="宋体"/>
                <w:color w:val="000000" w:themeColor="text1"/>
                <w:sz w:val="24"/>
                <w:szCs w:val="32"/>
                <w:highlight w:val="none"/>
                <w:lang w:val="en-US" w:eastAsia="zh-CN"/>
                <w14:textFill>
                  <w14:solidFill>
                    <w14:schemeClr w14:val="tx1"/>
                  </w14:solidFill>
                </w14:textFill>
              </w:rPr>
              <w:t>m</w:t>
            </w:r>
            <w:r>
              <w:rPr>
                <w:rFonts w:hint="eastAsia" w:cs="宋体"/>
                <w:color w:val="000000" w:themeColor="text1"/>
                <w:sz w:val="24"/>
                <w:szCs w:val="32"/>
                <w:highlight w:val="none"/>
                <w:lang w:val="en-US" w:eastAsia="zh-CN"/>
                <w14:textFill>
                  <w14:solidFill>
                    <w14:schemeClr w14:val="tx1"/>
                  </w14:solidFill>
                </w14:textFill>
              </w:rPr>
              <w:t>的南湖公寓。</w:t>
            </w:r>
            <w:r>
              <w:rPr>
                <w:rFonts w:hint="default" w:cs="宋体"/>
                <w:color w:val="000000" w:themeColor="text1"/>
                <w:sz w:val="24"/>
                <w:szCs w:val="32"/>
                <w:highlight w:val="none"/>
                <w:lang w:val="en-US" w:eastAsia="zh-CN"/>
                <w14:textFill>
                  <w14:solidFill>
                    <w14:schemeClr w14:val="tx1"/>
                  </w14:solidFill>
                </w14:textFill>
              </w:rPr>
              <w:t>本项目</w:t>
            </w:r>
            <w:r>
              <w:rPr>
                <w:rFonts w:hint="eastAsia" w:cs="宋体"/>
                <w:color w:val="000000" w:themeColor="text1"/>
                <w:sz w:val="24"/>
                <w:szCs w:val="32"/>
                <w:highlight w:val="none"/>
                <w:lang w:val="en-US" w:eastAsia="zh-CN"/>
                <w14:textFill>
                  <w14:solidFill>
                    <w14:schemeClr w14:val="tx1"/>
                  </w14:solidFill>
                </w14:textFill>
              </w:rPr>
              <w:t>有机</w:t>
            </w:r>
            <w:r>
              <w:rPr>
                <w:rFonts w:hint="default" w:cs="宋体"/>
                <w:color w:val="000000" w:themeColor="text1"/>
                <w:sz w:val="24"/>
                <w:szCs w:val="32"/>
                <w:highlight w:val="none"/>
                <w:lang w:val="en-US" w:eastAsia="zh-CN"/>
                <w14:textFill>
                  <w14:solidFill>
                    <w14:schemeClr w14:val="tx1"/>
                  </w14:solidFill>
                </w14:textFill>
              </w:rPr>
              <w:t>废气治理措施采用“集气罩+二级活性炭吸附”</w:t>
            </w:r>
            <w:r>
              <w:rPr>
                <w:rFonts w:hint="eastAsia" w:cs="宋体"/>
                <w:color w:val="000000" w:themeColor="text1"/>
                <w:sz w:val="24"/>
                <w:szCs w:val="32"/>
                <w:highlight w:val="none"/>
                <w:lang w:val="en-US" w:eastAsia="zh-CN"/>
                <w14:textFill>
                  <w14:solidFill>
                    <w14:schemeClr w14:val="tx1"/>
                  </w14:solidFill>
                </w14:textFill>
              </w:rPr>
              <w:t>处理后经30米高排气筒排放。本项目废气治理设施平面布置详见附图10~11。</w:t>
            </w:r>
          </w:p>
          <w:p w14:paraId="5E8C67D4">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活性炭吸附装置是一种高效率、经济实用的有机废气净化装置，具有吸附效率高、适用面广、维护方便，能同时处理多种混合废气等优点，对苯、醇、酮、酯、汽油类等有机溶剂的废气有很好的吸附作用。活性炭具有密集的细孔结构、比表面积大、吸附性能好、化学性质稳定不易破碎、对空气阻力小等性能，在处理有机废气时，可通过物理吸附力和化学吸附力将有机废气吸附到活性炭表面，从而使有机废气得到净化处理。</w:t>
            </w:r>
          </w:p>
          <w:p w14:paraId="6AC5EB3D">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二级活性炭吸附系统处理示意图如下图。</w:t>
            </w:r>
          </w:p>
          <w:p w14:paraId="1728800C">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158105" cy="1842135"/>
                  <wp:effectExtent l="0" t="0" r="4445"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5"/>
                          <a:stretch>
                            <a:fillRect/>
                          </a:stretch>
                        </pic:blipFill>
                        <pic:spPr>
                          <a:xfrm>
                            <a:off x="0" y="0"/>
                            <a:ext cx="5158105" cy="1842135"/>
                          </a:xfrm>
                          <a:prstGeom prst="rect">
                            <a:avLst/>
                          </a:prstGeom>
                          <a:noFill/>
                          <a:ln>
                            <a:noFill/>
                          </a:ln>
                        </pic:spPr>
                      </pic:pic>
                    </a:graphicData>
                  </a:graphic>
                </wp:inline>
              </w:drawing>
            </w:r>
          </w:p>
          <w:p w14:paraId="2950C042">
            <w:pPr>
              <w:spacing w:line="360" w:lineRule="auto"/>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4.1-1 二级活性炭吸附系统处理示意图</w:t>
            </w:r>
          </w:p>
          <w:p w14:paraId="487A5F20">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根据《福建省2020年挥发性有机物治理攻坚实施方案》，“采用活性炭吸附技术的，应选择碘值不低于800毫克/克的活性炭，并按设计要求足量添加、及时更换”。本项目活性炭吸附装置的碘值为800mg/g，满足该文件的要求。同时本次评价要求活</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性炭应及时更换，确保活性炭吸附切实起到废气治理效果。</w:t>
            </w:r>
          </w:p>
          <w:p w14:paraId="5DE9C58F">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参照《江苏省生态环境厅关于将排污单位活性炭使用更换纳入排污许可管理的通知》（苏环办〔2021〕218号），活性炭动态吸附量取值10%，即每1kg活性炭吸附0.1kg的挥发性有机物。本项目吸附的挥发性有机物的量为5.0421t/a，则需要的活性炭的量为50.421t/a（0.2017t/d）。本项目活性炭吸附装置填充量为4t，则在项目达产的情况下，约20天进行一次更换。</w:t>
            </w:r>
          </w:p>
          <w:p w14:paraId="1B3480D2">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对照《排污许可证申请与核发技术规范  电子工业》（HJ1031-2019），项目废气治理措施</w:t>
            </w:r>
            <w:r>
              <w:rPr>
                <w:rFonts w:hint="default" w:cs="宋体"/>
                <w:color w:val="000000" w:themeColor="text1"/>
                <w:sz w:val="24"/>
                <w:szCs w:val="32"/>
                <w:highlight w:val="none"/>
                <w:lang w:val="en-US" w:eastAsia="zh-CN"/>
                <w14:textFill>
                  <w14:solidFill>
                    <w14:schemeClr w14:val="tx1"/>
                  </w14:solidFill>
                </w14:textFill>
              </w:rPr>
              <w:t>属于可行技术</w:t>
            </w:r>
            <w:r>
              <w:rPr>
                <w:rFonts w:hint="eastAsia" w:cs="宋体"/>
                <w:color w:val="000000" w:themeColor="text1"/>
                <w:sz w:val="24"/>
                <w:szCs w:val="32"/>
                <w:highlight w:val="none"/>
                <w:lang w:val="en-US" w:eastAsia="zh-CN"/>
                <w14:textFill>
                  <w14:solidFill>
                    <w14:schemeClr w14:val="tx1"/>
                  </w14:solidFill>
                </w14:textFill>
              </w:rPr>
              <w:t>，排气筒高度满足《工业企业挥发性有机物排放标准》（DB35/1782-2018）的要求，非甲烷总烃排放浓度</w:t>
            </w:r>
            <w:r>
              <w:rPr>
                <w:rFonts w:hint="default" w:cs="宋体"/>
                <w:color w:val="000000" w:themeColor="text1"/>
                <w:sz w:val="24"/>
                <w:szCs w:val="32"/>
                <w:highlight w:val="none"/>
                <w:lang w:val="en-US" w:eastAsia="zh-CN"/>
                <w14:textFill>
                  <w14:solidFill>
                    <w14:schemeClr w14:val="tx1"/>
                  </w14:solidFill>
                </w14:textFill>
              </w:rPr>
              <w:t>低于</w:t>
            </w:r>
            <w:r>
              <w:rPr>
                <w:rFonts w:hint="eastAsia" w:cs="宋体"/>
                <w:color w:val="000000" w:themeColor="text1"/>
                <w:sz w:val="24"/>
                <w:szCs w:val="32"/>
                <w:highlight w:val="none"/>
                <w:lang w:val="en-US" w:eastAsia="zh-CN"/>
                <w14:textFill>
                  <w14:solidFill>
                    <w14:schemeClr w14:val="tx1"/>
                  </w14:solidFill>
                </w14:textFill>
              </w:rPr>
              <w:t>《工业企业挥发性有机物排放标准》（DB35/1782-2018）</w:t>
            </w:r>
            <w:r>
              <w:rPr>
                <w:rFonts w:hint="default" w:cs="宋体"/>
                <w:color w:val="000000" w:themeColor="text1"/>
                <w:sz w:val="24"/>
                <w:szCs w:val="32"/>
                <w:highlight w:val="none"/>
                <w:lang w:val="en-US" w:eastAsia="zh-CN"/>
                <w14:textFill>
                  <w14:solidFill>
                    <w14:schemeClr w14:val="tx1"/>
                  </w14:solidFill>
                </w14:textFill>
              </w:rPr>
              <w:t>的大气污染物排放限值。综上所述，本项目对周边大气环境影响较小。</w:t>
            </w:r>
          </w:p>
          <w:p w14:paraId="51420FE1">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（2）无组织排放控制要求</w:t>
            </w:r>
          </w:p>
          <w:p w14:paraId="167CC89F">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default" w:cs="宋体"/>
                <w:color w:val="000000" w:themeColor="text1"/>
                <w:sz w:val="24"/>
                <w:szCs w:val="32"/>
                <w:highlight w:val="none"/>
                <w:lang w:val="en-US" w:eastAsia="zh-CN"/>
                <w14:textFill>
                  <w14:solidFill>
                    <w14:schemeClr w14:val="tx1"/>
                  </w14:solidFill>
                </w14:textFill>
              </w:rPr>
              <w:t>项目无组织废气主要为</w:t>
            </w:r>
            <w:r>
              <w:rPr>
                <w:rFonts w:hint="eastAsia" w:cs="宋体"/>
                <w:color w:val="000000" w:themeColor="text1"/>
                <w:sz w:val="24"/>
                <w:szCs w:val="32"/>
                <w:highlight w:val="none"/>
                <w:lang w:val="en-US" w:eastAsia="zh-CN"/>
                <w14:textFill>
                  <w14:solidFill>
                    <w14:schemeClr w14:val="tx1"/>
                  </w14:solidFill>
                </w14:textFill>
              </w:rPr>
              <w:t>各</w:t>
            </w:r>
            <w:r>
              <w:rPr>
                <w:rFonts w:hint="default" w:cs="宋体"/>
                <w:color w:val="000000" w:themeColor="text1"/>
                <w:sz w:val="24"/>
                <w:szCs w:val="32"/>
                <w:highlight w:val="none"/>
                <w:lang w:val="en-US" w:eastAsia="zh-CN"/>
                <w14:textFill>
                  <w14:solidFill>
                    <w14:schemeClr w14:val="tx1"/>
                  </w14:solidFill>
                </w14:textFill>
              </w:rPr>
              <w:t>工序未收集到的无组织废气。本评价</w:t>
            </w:r>
            <w:r>
              <w:rPr>
                <w:rFonts w:hint="eastAsia" w:cs="宋体"/>
                <w:color w:val="000000" w:themeColor="text1"/>
                <w:sz w:val="24"/>
                <w:szCs w:val="32"/>
                <w:highlight w:val="none"/>
                <w:lang w:val="en-US" w:eastAsia="zh-CN"/>
                <w14:textFill>
                  <w14:solidFill>
                    <w14:schemeClr w14:val="tx1"/>
                  </w14:solidFill>
                </w14:textFill>
              </w:rPr>
              <w:t>按照《排污许可证申请与核发技术规范 电子工业》（HJ1031-2019）、</w:t>
            </w:r>
            <w:r>
              <w:rPr>
                <w:rFonts w:hint="default" w:cs="宋体"/>
                <w:color w:val="000000" w:themeColor="text1"/>
                <w:sz w:val="24"/>
                <w:szCs w:val="32"/>
                <w:highlight w:val="none"/>
                <w:lang w:val="en-US" w:eastAsia="zh-CN"/>
                <w14:textFill>
                  <w14:solidFill>
                    <w14:schemeClr w14:val="tx1"/>
                  </w14:solidFill>
                </w14:textFill>
              </w:rPr>
              <w:t>《工业企业挥发性有机物排放标准》（DB35/1782-2018）</w:t>
            </w:r>
            <w:r>
              <w:rPr>
                <w:rFonts w:hint="eastAsia" w:cs="宋体"/>
                <w:color w:val="000000" w:themeColor="text1"/>
                <w:sz w:val="24"/>
                <w:szCs w:val="32"/>
                <w:highlight w:val="none"/>
                <w:lang w:val="en-US" w:eastAsia="zh-CN"/>
                <w14:textFill>
                  <w14:solidFill>
                    <w14:schemeClr w14:val="tx1"/>
                  </w14:solidFill>
                </w14:textFill>
              </w:rPr>
              <w:t>、《挥发性有机物无组织排放控制标准》（GB37822-2019）</w:t>
            </w:r>
            <w:r>
              <w:rPr>
                <w:rFonts w:hint="default" w:cs="宋体"/>
                <w:color w:val="000000" w:themeColor="text1"/>
                <w:sz w:val="24"/>
                <w:szCs w:val="32"/>
                <w:highlight w:val="none"/>
                <w:lang w:val="en-US" w:eastAsia="zh-CN"/>
                <w14:textFill>
                  <w14:solidFill>
                    <w14:schemeClr w14:val="tx1"/>
                  </w14:solidFill>
                </w14:textFill>
              </w:rPr>
              <w:t>中无组织排放的控制要求，对本项目提出以下建议</w:t>
            </w:r>
            <w:r>
              <w:rPr>
                <w:rFonts w:hint="eastAsia" w:cs="宋体"/>
                <w:color w:val="000000" w:themeColor="text1"/>
                <w:sz w:val="24"/>
                <w:szCs w:val="32"/>
                <w:highlight w:val="none"/>
                <w:lang w:val="en-US" w:eastAsia="zh-CN"/>
                <w14:textFill>
                  <w14:solidFill>
                    <w14:schemeClr w14:val="tx1"/>
                  </w14:solidFill>
                </w14:textFill>
              </w:rPr>
              <w:t>：</w:t>
            </w:r>
          </w:p>
          <w:p w14:paraId="169EA8CD">
            <w:pPr>
              <w:spacing w:line="360" w:lineRule="auto"/>
              <w:ind w:firstLine="480" w:firstLineChars="200"/>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cs="宋体"/>
                <w:color w:val="000000" w:themeColor="text1"/>
                <w:sz w:val="24"/>
                <w:szCs w:val="32"/>
                <w:highlight w:val="none"/>
                <w:lang w:val="en-US" w:eastAsia="zh-CN"/>
                <w14:textFill>
                  <w14:solidFill>
                    <w14:schemeClr w14:val="tx1"/>
                  </w14:solidFill>
                </w14:textFill>
              </w:rPr>
              <w:t>1)</w:t>
            </w:r>
            <w:r>
              <w:rPr>
                <w:rFonts w:hint="eastAsia" w:cs="宋体"/>
                <w:color w:val="000000" w:themeColor="text1"/>
                <w:sz w:val="24"/>
                <w:szCs w:val="32"/>
                <w:highlight w:val="none"/>
                <w:lang w:val="en-US" w:eastAsia="zh-CN"/>
                <w14:textFill>
                  <w14:solidFill>
                    <w14:schemeClr w14:val="tx1"/>
                  </w14:solidFill>
                </w14:textFill>
              </w:rPr>
              <w:t>有机</w:t>
            </w:r>
            <w:r>
              <w:rPr>
                <w:rFonts w:hint="default" w:cs="宋体"/>
                <w:color w:val="000000" w:themeColor="text1"/>
                <w:sz w:val="24"/>
                <w:szCs w:val="32"/>
                <w:highlight w:val="none"/>
                <w:lang w:val="en-US" w:eastAsia="zh-CN"/>
                <w14:textFill>
                  <w14:solidFill>
                    <w14:schemeClr w14:val="tx1"/>
                  </w14:solidFill>
                </w14:textFill>
              </w:rPr>
              <w:t>废气由密闭式集气罩收集，并要求集气罩进口风速在1.0m/</w:t>
            </w:r>
            <w:r>
              <w:rPr>
                <w:rFonts w:hint="eastAsia" w:cs="宋体"/>
                <w:color w:val="000000" w:themeColor="text1"/>
                <w:sz w:val="24"/>
                <w:szCs w:val="32"/>
                <w:highlight w:val="none"/>
                <w:lang w:val="en-US" w:eastAsia="zh-CN"/>
                <w14:textFill>
                  <w14:solidFill>
                    <w14:schemeClr w14:val="tx1"/>
                  </w14:solidFill>
                </w14:textFill>
              </w:rPr>
              <w:t>s</w:t>
            </w:r>
            <w:r>
              <w:rPr>
                <w:rFonts w:hint="default" w:cs="宋体"/>
                <w:color w:val="000000" w:themeColor="text1"/>
                <w:sz w:val="24"/>
                <w:szCs w:val="32"/>
                <w:highlight w:val="none"/>
                <w:lang w:val="en-US" w:eastAsia="zh-CN"/>
                <w14:textFill>
                  <w14:solidFill>
                    <w14:schemeClr w14:val="tx1"/>
                  </w14:solidFill>
                </w14:textFill>
              </w:rPr>
              <w:t>以上，可有效提高废气集气效率从而减少挥发性有机物的无组织排放</w:t>
            </w:r>
            <w:r>
              <w:rPr>
                <w:rFonts w:hint="eastAsia" w:cs="宋体"/>
                <w:color w:val="000000" w:themeColor="text1"/>
                <w:sz w:val="24"/>
                <w:szCs w:val="32"/>
                <w:highlight w:val="none"/>
                <w:lang w:val="en-US" w:eastAsia="zh-CN"/>
                <w14:textFill>
                  <w14:solidFill>
                    <w14:schemeClr w14:val="tx1"/>
                  </w14:solidFill>
                </w14:textFill>
              </w:rPr>
              <w:t>。同时建议</w:t>
            </w:r>
            <w:r>
              <w:rPr>
                <w:rFonts w:hint="default" w:cs="宋体"/>
                <w:color w:val="000000" w:themeColor="text1"/>
                <w:sz w:val="24"/>
                <w:szCs w:val="32"/>
                <w:highlight w:val="none"/>
                <w:lang w:val="en-US" w:eastAsia="zh-CN"/>
                <w14:textFill>
                  <w14:solidFill>
                    <w14:schemeClr w14:val="tx1"/>
                  </w14:solidFill>
                </w14:textFill>
              </w:rPr>
              <w:t>集气罩</w:t>
            </w:r>
            <w:r>
              <w:rPr>
                <w:rFonts w:hint="eastAsia" w:cs="宋体"/>
                <w:color w:val="000000" w:themeColor="text1"/>
                <w:sz w:val="24"/>
                <w:szCs w:val="32"/>
                <w:highlight w:val="none"/>
                <w:lang w:val="en-US" w:eastAsia="zh-CN"/>
                <w14:textFill>
                  <w14:solidFill>
                    <w14:schemeClr w14:val="tx1"/>
                  </w14:solidFill>
                </w14:textFill>
              </w:rPr>
              <w:t>结合</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《排风罩的分类及技术条件》（GB/T 16758）中的要求进行建设：</w:t>
            </w:r>
          </w:p>
          <w:p w14:paraId="138374ED">
            <w:pPr>
              <w:spacing w:line="360" w:lineRule="auto"/>
              <w:ind w:firstLine="480" w:firstLineChars="200"/>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a.排风罩做到罩内负压或罩口风速均匀；</w:t>
            </w:r>
          </w:p>
          <w:p w14:paraId="44B01B25">
            <w:pPr>
              <w:spacing w:line="360" w:lineRule="auto"/>
              <w:ind w:firstLine="480" w:firstLineChars="200"/>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b.排风罩应坚固耐用，其材料应有足够的强度，避免在拆装或受到振动、腐蚀、温度剧烈变化时变形和损坏；</w:t>
            </w:r>
          </w:p>
          <w:p w14:paraId="1BD21328">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c.排风罩的罩体应规则、无缝隙、无毛刺,罩体内壁应平整、光滑。</w:t>
            </w:r>
          </w:p>
          <w:p w14:paraId="36AC4D80">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default" w:cs="宋体"/>
                <w:color w:val="000000" w:themeColor="text1"/>
                <w:sz w:val="24"/>
                <w:szCs w:val="32"/>
                <w:highlight w:val="none"/>
                <w:lang w:val="en-US" w:eastAsia="zh-CN"/>
                <w14:textFill>
                  <w14:solidFill>
                    <w14:schemeClr w14:val="tx1"/>
                  </w14:solidFill>
                </w14:textFill>
              </w:rPr>
              <w:t>2)挥发性有机物物料应储存于密闭的容器、包装袋、储库、料仓中</w:t>
            </w:r>
            <w:r>
              <w:rPr>
                <w:rFonts w:hint="eastAsia" w:cs="宋体"/>
                <w:color w:val="000000" w:themeColor="text1"/>
                <w:sz w:val="24"/>
                <w:szCs w:val="32"/>
                <w:highlight w:val="none"/>
                <w:lang w:val="en-US" w:eastAsia="zh-CN"/>
                <w14:textFill>
                  <w14:solidFill>
                    <w14:schemeClr w14:val="tx1"/>
                  </w14:solidFill>
                </w14:textFill>
              </w:rPr>
              <w:t>：</w:t>
            </w:r>
            <w:r>
              <w:rPr>
                <w:rFonts w:hint="default" w:cs="宋体"/>
                <w:color w:val="000000" w:themeColor="text1"/>
                <w:sz w:val="24"/>
                <w:szCs w:val="32"/>
                <w:highlight w:val="none"/>
                <w:lang w:val="en-US" w:eastAsia="zh-CN"/>
                <w14:textFill>
                  <w14:solidFill>
                    <w14:schemeClr w14:val="tx1"/>
                  </w14:solidFill>
                </w14:textFill>
              </w:rPr>
              <w:t>盛装挥发性有机物物料的容器或包装袋应存放于室内，或存放于设置有雨棚、遮阳和防渗设施的专用场地。盛装挥发性有机物物料的容器或包装袋在非取用状态时应加盖、封口，保持密闭。</w:t>
            </w:r>
          </w:p>
          <w:p w14:paraId="1ADABF5B">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3</w:t>
            </w:r>
            <w:r>
              <w:rPr>
                <w:rFonts w:hint="default" w:cs="宋体"/>
                <w:color w:val="000000" w:themeColor="text1"/>
                <w:sz w:val="24"/>
                <w:szCs w:val="32"/>
                <w:highlight w:val="none"/>
                <w:lang w:val="en-US" w:eastAsia="zh-CN"/>
                <w14:textFill>
                  <w14:solidFill>
                    <w14:schemeClr w14:val="tx1"/>
                  </w14:solidFill>
                </w14:textFill>
              </w:rPr>
              <w:t>)挥发性有机物物料使用过程无法密闭的，应采取局部气体收集措施废气应排放至挥发性有机物废气收集处理系统。</w:t>
            </w:r>
          </w:p>
          <w:p w14:paraId="4AC36EF4">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4</w:t>
            </w:r>
            <w:r>
              <w:rPr>
                <w:rFonts w:hint="default" w:cs="宋体"/>
                <w:color w:val="000000" w:themeColor="text1"/>
                <w:sz w:val="24"/>
                <w:szCs w:val="32"/>
                <w:highlight w:val="none"/>
                <w:lang w:val="en-US" w:eastAsia="zh-CN"/>
                <w14:textFill>
                  <w14:solidFill>
                    <w14:schemeClr w14:val="tx1"/>
                  </w14:solidFill>
                </w14:textFill>
              </w:rPr>
              <w:t>)工艺过程无组织排放控制，在作业中应采用密闭式集气罩收集，废气应排至废气收集处理系统，无法密闭的</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部位设置软帘阻隔设施减少废气排放，并</w:t>
            </w:r>
            <w:r>
              <w:rPr>
                <w:rFonts w:hint="default" w:cs="宋体"/>
                <w:color w:val="000000" w:themeColor="text1"/>
                <w:sz w:val="24"/>
                <w:szCs w:val="32"/>
                <w:highlight w:val="none"/>
                <w:lang w:val="en-US" w:eastAsia="zh-CN"/>
                <w14:textFill>
                  <w14:solidFill>
                    <w14:schemeClr w14:val="tx1"/>
                  </w14:solidFill>
                </w14:textFill>
              </w:rPr>
              <w:t>采取局部气体收集措施，废气应排至废气收集处理系统。通过采取设备与场所密闭、工艺改进、废气有效收集等措施，削减无组织排放</w:t>
            </w:r>
            <w:r>
              <w:rPr>
                <w:rFonts w:hint="eastAsia" w:cs="宋体"/>
                <w:color w:val="000000" w:themeColor="text1"/>
                <w:sz w:val="24"/>
                <w:szCs w:val="32"/>
                <w:highlight w:val="none"/>
                <w:lang w:val="en-US" w:eastAsia="zh-CN"/>
                <w14:textFill>
                  <w14:solidFill>
                    <w14:schemeClr w14:val="tx1"/>
                  </w14:solidFill>
                </w14:textFill>
              </w:rPr>
              <w:t>。</w:t>
            </w:r>
          </w:p>
          <w:p w14:paraId="70B3C022">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5</w:t>
            </w:r>
            <w:r>
              <w:rPr>
                <w:rFonts w:hint="default" w:cs="宋体"/>
                <w:color w:val="000000" w:themeColor="text1"/>
                <w:sz w:val="24"/>
                <w:szCs w:val="32"/>
                <w:highlight w:val="none"/>
                <w:lang w:val="en-US" w:eastAsia="zh-CN"/>
                <w14:textFill>
                  <w14:solidFill>
                    <w14:schemeClr w14:val="tx1"/>
                  </w14:solidFill>
                </w14:textFill>
              </w:rPr>
              <w:t>)所有废气收集系统应采用技术经济合理的密闭方式，具有耐腐、气密性好的特性，同时考虑具备阻燃和抗静电等性能，并结合其他专业设备的运行、维护需要，设置观察口、呼吸阀等设施。</w:t>
            </w:r>
          </w:p>
          <w:p w14:paraId="003666AF">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6</w:t>
            </w:r>
            <w:r>
              <w:rPr>
                <w:rFonts w:hint="default" w:cs="宋体"/>
                <w:color w:val="000000" w:themeColor="text1"/>
                <w:sz w:val="24"/>
                <w:szCs w:val="32"/>
                <w:highlight w:val="none"/>
                <w:lang w:val="en-US" w:eastAsia="zh-CN"/>
                <w14:textFill>
                  <w14:solidFill>
                    <w14:schemeClr w14:val="tx1"/>
                  </w14:solidFill>
                </w14:textFill>
              </w:rPr>
              <w:t>)载有挥发性有机物物料的设备及其管道在开停工(车)、检维修和清洗时，应在退料阶段将残存物料退净，并用密闭容器盛装，退料过程废气应排至挥发性有机物废气收集处理系统。</w:t>
            </w:r>
          </w:p>
          <w:p w14:paraId="7710A395">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（3）VOCs治理设施的运行维护</w:t>
            </w:r>
          </w:p>
          <w:p w14:paraId="0285AEE6">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default" w:cs="宋体"/>
                <w:color w:val="000000" w:themeColor="text1"/>
                <w:sz w:val="24"/>
                <w:szCs w:val="32"/>
                <w:highlight w:val="none"/>
                <w:lang w:val="en-US" w:eastAsia="zh-CN"/>
                <w14:textFill>
                  <w14:solidFill>
                    <w14:schemeClr w14:val="tx1"/>
                  </w14:solidFill>
                </w14:textFill>
              </w:rPr>
              <w:t>1)定期检查与维护：活性炭吸附装置应每季度至少进行一次全面检查，包括风机、管道、集气罩、活性炭填充状态等</w:t>
            </w:r>
            <w:r>
              <w:rPr>
                <w:rFonts w:hint="eastAsia" w:cs="宋体"/>
                <w:color w:val="000000" w:themeColor="text1"/>
                <w:sz w:val="24"/>
                <w:szCs w:val="32"/>
                <w:highlight w:val="none"/>
                <w:lang w:val="en-US" w:eastAsia="zh-CN"/>
                <w14:textFill>
                  <w14:solidFill>
                    <w14:schemeClr w14:val="tx1"/>
                  </w14:solidFill>
                </w14:textFill>
              </w:rPr>
              <w:t>；</w:t>
            </w:r>
            <w:r>
              <w:rPr>
                <w:rFonts w:hint="default" w:cs="宋体"/>
                <w:color w:val="000000" w:themeColor="text1"/>
                <w:sz w:val="24"/>
                <w:szCs w:val="32"/>
                <w:highlight w:val="none"/>
                <w:lang w:val="en-US" w:eastAsia="zh-CN"/>
                <w14:textFill>
                  <w14:solidFill>
                    <w14:schemeClr w14:val="tx1"/>
                  </w14:solidFill>
                </w14:textFill>
              </w:rPr>
              <w:t>活性炭应根据吸附饱和情况及时更换，确保吸附效率</w:t>
            </w:r>
            <w:r>
              <w:rPr>
                <w:rFonts w:hint="eastAsia" w:cs="宋体"/>
                <w:color w:val="000000" w:themeColor="text1"/>
                <w:sz w:val="24"/>
                <w:szCs w:val="32"/>
                <w:highlight w:val="none"/>
                <w:lang w:val="en-US" w:eastAsia="zh-CN"/>
                <w14:textFill>
                  <w14:solidFill>
                    <w14:schemeClr w14:val="tx1"/>
                  </w14:solidFill>
                </w14:textFill>
              </w:rPr>
              <w:t>；</w:t>
            </w:r>
            <w:r>
              <w:rPr>
                <w:rFonts w:hint="default" w:cs="宋体"/>
                <w:color w:val="000000" w:themeColor="text1"/>
                <w:sz w:val="24"/>
                <w:szCs w:val="32"/>
                <w:highlight w:val="none"/>
                <w:lang w:val="en-US" w:eastAsia="zh-CN"/>
                <w14:textFill>
                  <w14:solidFill>
                    <w14:schemeClr w14:val="tx1"/>
                  </w14:solidFill>
                </w14:textFill>
              </w:rPr>
              <w:t>更换下来的废活性炭作为危险废物分类贮存、委托有资质单位处置</w:t>
            </w:r>
            <w:r>
              <w:rPr>
                <w:rFonts w:hint="eastAsia" w:cs="宋体"/>
                <w:color w:val="000000" w:themeColor="text1"/>
                <w:sz w:val="24"/>
                <w:szCs w:val="32"/>
                <w:highlight w:val="none"/>
                <w:lang w:val="en-US" w:eastAsia="zh-CN"/>
                <w14:textFill>
                  <w14:solidFill>
                    <w14:schemeClr w14:val="tx1"/>
                  </w14:solidFill>
                </w14:textFill>
              </w:rPr>
              <w:t>。</w:t>
            </w:r>
          </w:p>
          <w:p w14:paraId="0DF49374">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2</w:t>
            </w:r>
            <w:r>
              <w:rPr>
                <w:rFonts w:hint="default" w:cs="宋体"/>
                <w:color w:val="000000" w:themeColor="text1"/>
                <w:sz w:val="24"/>
                <w:szCs w:val="32"/>
                <w:highlight w:val="none"/>
                <w:lang w:val="en-US" w:eastAsia="zh-CN"/>
                <w14:textFill>
                  <w14:solidFill>
                    <w14:schemeClr w14:val="tx1"/>
                  </w14:solidFill>
                </w14:textFill>
              </w:rPr>
              <w:t>)集气系统管理：集气罩应保持负压运行，进口风速不低于1.0 m/s，确保废气收集效率</w:t>
            </w:r>
            <w:r>
              <w:rPr>
                <w:rFonts w:hint="eastAsia" w:cs="宋体"/>
                <w:color w:val="000000" w:themeColor="text1"/>
                <w:sz w:val="24"/>
                <w:szCs w:val="32"/>
                <w:highlight w:val="none"/>
                <w:lang w:val="en-US" w:eastAsia="zh-CN"/>
                <w14:textFill>
                  <w14:solidFill>
                    <w14:schemeClr w14:val="tx1"/>
                  </w14:solidFill>
                </w14:textFill>
              </w:rPr>
              <w:t>；</w:t>
            </w:r>
            <w:r>
              <w:rPr>
                <w:rFonts w:hint="default" w:cs="宋体"/>
                <w:color w:val="000000" w:themeColor="text1"/>
                <w:sz w:val="24"/>
                <w:szCs w:val="32"/>
                <w:highlight w:val="none"/>
                <w:lang w:val="en-US" w:eastAsia="zh-CN"/>
                <w14:textFill>
                  <w14:solidFill>
                    <w14:schemeClr w14:val="tx1"/>
                  </w14:solidFill>
                </w14:textFill>
              </w:rPr>
              <w:t>定期检查软帘、密封条等阻隔设施，确保无组织逸散最小化</w:t>
            </w:r>
            <w:r>
              <w:rPr>
                <w:rFonts w:hint="eastAsia" w:cs="宋体"/>
                <w:color w:val="000000" w:themeColor="text1"/>
                <w:sz w:val="24"/>
                <w:szCs w:val="32"/>
                <w:highlight w:val="none"/>
                <w:lang w:val="en-US" w:eastAsia="zh-CN"/>
                <w14:textFill>
                  <w14:solidFill>
                    <w14:schemeClr w14:val="tx1"/>
                  </w14:solidFill>
                </w14:textFill>
              </w:rPr>
              <w:t>。</w:t>
            </w:r>
          </w:p>
          <w:p w14:paraId="0B65D2B1">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3</w:t>
            </w:r>
            <w:r>
              <w:rPr>
                <w:rFonts w:hint="default" w:cs="宋体"/>
                <w:color w:val="000000" w:themeColor="text1"/>
                <w:sz w:val="24"/>
                <w:szCs w:val="32"/>
                <w:highlight w:val="none"/>
                <w:lang w:val="en-US" w:eastAsia="zh-CN"/>
                <w14:textFill>
                  <w14:solidFill>
                    <w14:schemeClr w14:val="tx1"/>
                  </w14:solidFill>
                </w14:textFill>
              </w:rPr>
              <w:t>)监测与记录：每年至少开展1次有组织废气（非甲烷总烃）排放监测，1次厂界及厂区内无组织排放监测</w:t>
            </w:r>
            <w:r>
              <w:rPr>
                <w:rFonts w:hint="eastAsia" w:cs="宋体"/>
                <w:color w:val="000000" w:themeColor="text1"/>
                <w:sz w:val="24"/>
                <w:szCs w:val="32"/>
                <w:highlight w:val="none"/>
                <w:lang w:val="en-US" w:eastAsia="zh-CN"/>
                <w14:textFill>
                  <w14:solidFill>
                    <w14:schemeClr w14:val="tx1"/>
                  </w14:solidFill>
                </w14:textFill>
              </w:rPr>
              <w:t>；</w:t>
            </w:r>
            <w:r>
              <w:rPr>
                <w:rFonts w:hint="default" w:cs="宋体"/>
                <w:color w:val="000000" w:themeColor="text1"/>
                <w:sz w:val="24"/>
                <w:szCs w:val="32"/>
                <w:highlight w:val="none"/>
                <w:lang w:val="en-US" w:eastAsia="zh-CN"/>
                <w14:textFill>
                  <w14:solidFill>
                    <w14:schemeClr w14:val="tx1"/>
                  </w14:solidFill>
                </w14:textFill>
              </w:rPr>
              <w:t>监测结果应记录并存档，发现异常应及时排查并整改。</w:t>
            </w:r>
          </w:p>
          <w:p w14:paraId="3E60E41E">
            <w:pPr>
              <w:spacing w:line="360" w:lineRule="auto"/>
              <w:ind w:firstLine="480" w:firstLineChars="200"/>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VOCs治理设施的环境管理要求</w:t>
            </w:r>
          </w:p>
          <w:p w14:paraId="7B539BB8">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cs="宋体"/>
                <w:color w:val="000000" w:themeColor="text1"/>
                <w:sz w:val="24"/>
                <w:szCs w:val="32"/>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建立VOCs治理设施运行台账，内容包括：</w:t>
            </w:r>
          </w:p>
          <w:p w14:paraId="35BE23CE">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活性炭更换记录：更换时间、数量、型号、更换原因、责任人等</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p>
          <w:p w14:paraId="04149117">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b.</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设备维护记录：检修时间、内容、更换部件、运行状态等</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p>
          <w:p w14:paraId="2A7D1341">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c.</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废气监测记录：监测时间、点位、因子、浓度、排放量、监测单位等。</w:t>
            </w:r>
          </w:p>
          <w:p w14:paraId="4F79CCB9">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2</w:t>
            </w:r>
            <w:r>
              <w:rPr>
                <w:rFonts w:hint="default" w:cs="宋体"/>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建立原辅材料使用台账，记录</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，包括</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聚乙烯塑料米、色母等VOCs物料的使用量、进货批次、供应商信息等</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p>
          <w:p w14:paraId="15CFE37B">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3</w:t>
            </w:r>
            <w:r>
              <w:rPr>
                <w:rFonts w:hint="default" w:cs="宋体"/>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危险废物管理台账：废活性炭、废润滑油、废油桶等危险废物的产生、贮存、转移记录，严格执行危险废物转移联单制度。</w:t>
            </w:r>
          </w:p>
          <w:p w14:paraId="00B53735">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（二）酸性废气处理措施合理性分析</w:t>
            </w:r>
          </w:p>
          <w:p w14:paraId="122CB987">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本项目各股酸性废气经各自密闭</w:t>
            </w:r>
            <w:r>
              <w:rPr>
                <w:rFonts w:hint="eastAsia" w:cs="宋体"/>
                <w:color w:val="000000" w:themeColor="text1"/>
                <w:sz w:val="24"/>
                <w:szCs w:val="32"/>
                <w:highlight w:val="none"/>
                <w14:textFill>
                  <w14:solidFill>
                    <w14:schemeClr w14:val="tx1"/>
                  </w14:solidFill>
                </w14:textFill>
              </w:rPr>
              <w:t>集气管道</w:t>
            </w:r>
            <w:r>
              <w:rPr>
                <w:rFonts w:hint="eastAsia" w:cs="宋体"/>
                <w:color w:val="000000" w:themeColor="text1"/>
                <w:sz w:val="24"/>
                <w:szCs w:val="32"/>
                <w:highlight w:val="none"/>
                <w:lang w:val="en-US" w:eastAsia="zh-CN"/>
                <w14:textFill>
                  <w14:solidFill>
                    <w14:schemeClr w14:val="tx1"/>
                  </w14:solidFill>
                </w14:textFill>
              </w:rPr>
              <w:t>收集至碱液喷淋塔处理后由一根30米高排气筒排放</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本项目废气治理设施平面布置详见附图10~11。</w:t>
            </w:r>
          </w:p>
          <w:p w14:paraId="74A39C23">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（1）治理工艺</w:t>
            </w:r>
          </w:p>
          <w:p w14:paraId="52367CF8">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碱液喷淋塔为填充式洗涤塔。填充方式为任意填充方式，填充物材质为FRP/PP，吸收液采用</w:t>
            </w:r>
            <w:r>
              <w:rPr>
                <w:rFonts w:hint="eastAsia" w:cs="Times New Roman"/>
                <w:b w:val="0"/>
                <w:bCs w:val="0"/>
                <w:color w:val="000000" w:themeColor="text1"/>
                <w:kern w:val="0"/>
                <w:sz w:val="24"/>
                <w:szCs w:val="24"/>
                <w:highlight w:val="none"/>
                <w:lang w:val="en-US" w:eastAsia="zh-CN"/>
                <w14:textFill>
                  <w14:solidFill>
                    <w14:schemeClr w14:val="tx1"/>
                  </w14:solidFill>
                </w14:textFill>
              </w:rPr>
              <w:t>3%~5</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%NaOH溶液</w:t>
            </w:r>
            <w:r>
              <w:rPr>
                <w:rFonts w:hint="eastAsia" w:cs="Times New Roman"/>
                <w:b w:val="0"/>
                <w:bCs w:val="0"/>
                <w:color w:val="000000" w:themeColor="text1"/>
                <w:kern w:val="0"/>
                <w:sz w:val="24"/>
                <w:szCs w:val="24"/>
                <w:highlight w:val="none"/>
                <w:lang w:val="en-US" w:eastAsia="zh-CN"/>
                <w14:textFill>
                  <w14:solidFill>
                    <w14:schemeClr w14:val="tx1"/>
                  </w14:solidFill>
                </w14:textFill>
              </w:rPr>
              <w:t>，pH维持在10~12。循环水量约5m</w:t>
            </w:r>
            <w:r>
              <w:rPr>
                <w:rFonts w:hint="eastAsia" w:cs="Times New Roman"/>
                <w:b w:val="0"/>
                <w:bCs w:val="0"/>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kern w:val="0"/>
                <w:sz w:val="24"/>
                <w:szCs w:val="24"/>
                <w:highlight w:val="none"/>
                <w:lang w:val="en-US" w:eastAsia="zh-CN"/>
                <w14:textFill>
                  <w14:solidFill>
                    <w14:schemeClr w14:val="tx1"/>
                  </w14:solidFill>
                </w14:textFill>
              </w:rPr>
              <w:t>/h，补水量约2m</w:t>
            </w:r>
            <w:r>
              <w:rPr>
                <w:rFonts w:hint="eastAsia" w:cs="Times New Roman"/>
                <w:b w:val="0"/>
                <w:bCs w:val="0"/>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kern w:val="0"/>
                <w:sz w:val="24"/>
                <w:szCs w:val="24"/>
                <w:highlight w:val="none"/>
                <w:lang w:val="en-US" w:eastAsia="zh-CN"/>
                <w14:textFill>
                  <w14:solidFill>
                    <w14:schemeClr w14:val="tx1"/>
                  </w14:solidFill>
                </w14:textFill>
              </w:rPr>
              <w:t>/d，排水量约1.8m</w:t>
            </w:r>
            <w:r>
              <w:rPr>
                <w:rFonts w:hint="eastAsia" w:cs="Times New Roman"/>
                <w:b w:val="0"/>
                <w:bCs w:val="0"/>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kern w:val="0"/>
                <w:sz w:val="24"/>
                <w:szCs w:val="24"/>
                <w:highlight w:val="none"/>
                <w:lang w:val="en-US" w:eastAsia="zh-CN"/>
                <w14:textFill>
                  <w14:solidFill>
                    <w14:schemeClr w14:val="tx1"/>
                  </w14:solidFill>
                </w14:textFill>
              </w:rPr>
              <w:t>/d</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。其基本原理是利用气体与液体间的接触，而将气体中的污染物传送到液体中，然后再将清洁的气体与被污染的液体分离达成清净空气的目的。废气经由填充式洗涤塔，</w:t>
            </w:r>
            <w:r>
              <w:rPr>
                <w:rFonts w:hint="eastAsia" w:cs="Times New Roman"/>
                <w:b w:val="0"/>
                <w:bCs w:val="0"/>
                <w:color w:val="000000" w:themeColor="text1"/>
                <w:kern w:val="0"/>
                <w:sz w:val="24"/>
                <w:szCs w:val="24"/>
                <w:highlight w:val="none"/>
                <w:lang w:val="en-US" w:eastAsia="zh-CN"/>
                <w14:textFill>
                  <w14:solidFill>
                    <w14:schemeClr w14:val="tx1"/>
                  </w14:solidFill>
                </w14:textFill>
              </w:rPr>
              <w:t>采用</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气液逆向吸收方式处理，即液体自塔顶向下（downward）以雾状（或小水滴）喷洒而下。废气则由塔底（逆向流）达到气液接触之目的。此处理方式，可冷却废气温度、气体调理、颗粒去除。再经过除雾段处理后排入大气中。处理工艺流程</w:t>
            </w:r>
            <w:r>
              <w:rPr>
                <w:rFonts w:hint="eastAsia" w:cs="Times New Roman"/>
                <w:b w:val="0"/>
                <w:bCs w:val="0"/>
                <w:color w:val="000000" w:themeColor="text1"/>
                <w:kern w:val="0"/>
                <w:sz w:val="24"/>
                <w:szCs w:val="24"/>
                <w:highlight w:val="none"/>
                <w:lang w:val="en-US" w:eastAsia="zh-CN"/>
                <w14:textFill>
                  <w14:solidFill>
                    <w14:schemeClr w14:val="tx1"/>
                  </w14:solidFill>
                </w14:textFill>
              </w:rPr>
              <w:t>见下图。</w:t>
            </w:r>
          </w:p>
          <w:p w14:paraId="5657866A">
            <w:pPr>
              <w:spacing w:line="360" w:lineRule="auto"/>
              <w:jc w:val="cente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886200" cy="2914650"/>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6"/>
                          <a:stretch>
                            <a:fillRect/>
                          </a:stretch>
                        </pic:blipFill>
                        <pic:spPr>
                          <a:xfrm>
                            <a:off x="0" y="0"/>
                            <a:ext cx="3886200" cy="2914650"/>
                          </a:xfrm>
                          <a:prstGeom prst="rect">
                            <a:avLst/>
                          </a:prstGeom>
                          <a:noFill/>
                          <a:ln>
                            <a:noFill/>
                          </a:ln>
                        </pic:spPr>
                      </pic:pic>
                    </a:graphicData>
                  </a:graphic>
                </wp:inline>
              </w:drawing>
            </w:r>
          </w:p>
          <w:p w14:paraId="5396ED6E">
            <w:pPr>
              <w:spacing w:line="360" w:lineRule="auto"/>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4.1-2 酸性废气处理流程图</w:t>
            </w:r>
          </w:p>
          <w:p w14:paraId="48068B43">
            <w:pPr>
              <w:spacing w:line="360" w:lineRule="auto"/>
              <w:ind w:firstLine="480" w:firstLineChars="200"/>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（2）治理措施可行性</w:t>
            </w:r>
          </w:p>
          <w:p w14:paraId="51205834">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根据《排污许可证申请与核发技术规范—电子工业》（HJ1031—2019），项目酸性废气采用碱液喷淋措施，属于可行技术。详见下表。</w:t>
            </w:r>
          </w:p>
          <w:p w14:paraId="1C87E909">
            <w:pPr>
              <w:spacing w:line="360" w:lineRule="auto"/>
              <w:jc w:val="center"/>
              <w:rPr>
                <w:rFonts w:hint="eastAsia" w:cs="宋体"/>
                <w:b/>
                <w:bCs w:val="0"/>
                <w:color w:val="000000" w:themeColor="text1"/>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表</w:t>
            </w:r>
            <w:r>
              <w:rPr>
                <w:rFonts w:hint="eastAsia" w:cs="宋体"/>
                <w:b/>
                <w:bCs w:val="0"/>
                <w:color w:val="000000" w:themeColor="text1"/>
                <w:sz w:val="24"/>
                <w:szCs w:val="24"/>
                <w:highlight w:val="none"/>
                <w:lang w:val="en-US" w:eastAsia="zh-CN"/>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.1</w:t>
            </w:r>
            <w:r>
              <w:rPr>
                <w:rFonts w:hint="eastAsia" w:cs="宋体"/>
                <w:b/>
                <w:bCs w:val="0"/>
                <w:color w:val="000000" w:themeColor="text1"/>
                <w:sz w:val="24"/>
                <w:szCs w:val="24"/>
                <w:highlight w:val="none"/>
                <w:lang w:val="en-US" w:eastAsia="zh-CN"/>
                <w14:textFill>
                  <w14:solidFill>
                    <w14:schemeClr w14:val="tx1"/>
                  </w14:solidFill>
                </w14:textFill>
              </w:rPr>
              <w:t xml:space="preserve">-7  </w:t>
            </w:r>
            <w:r>
              <w:rPr>
                <w:rFonts w:hint="eastAsia" w:cs="宋体"/>
                <w:b/>
                <w:bCs w:val="0"/>
                <w:color w:val="000000" w:themeColor="text1"/>
                <w:sz w:val="24"/>
                <w:szCs w:val="24"/>
                <w:highlight w:val="none"/>
                <w14:textFill>
                  <w14:solidFill>
                    <w14:schemeClr w14:val="tx1"/>
                  </w14:solidFill>
                </w14:textFill>
              </w:rPr>
              <w:t>酸性废气治理措施可行分析表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225"/>
              <w:gridCol w:w="2038"/>
              <w:gridCol w:w="1828"/>
              <w:gridCol w:w="1728"/>
              <w:gridCol w:w="1301"/>
            </w:tblGrid>
            <w:tr w14:paraId="7A91FBF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755" w:type="pct"/>
                  <w:tcBorders>
                    <w:tl2br w:val="nil"/>
                    <w:tr2bl w:val="nil"/>
                  </w:tcBorders>
                  <w:vAlign w:val="center"/>
                </w:tcPr>
                <w:p w14:paraId="203C9C2D">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生产单元</w:t>
                  </w:r>
                </w:p>
              </w:tc>
              <w:tc>
                <w:tcPr>
                  <w:tcW w:w="1255" w:type="pct"/>
                  <w:tcBorders>
                    <w:tl2br w:val="nil"/>
                    <w:tr2bl w:val="nil"/>
                  </w:tcBorders>
                  <w:vAlign w:val="center"/>
                </w:tcPr>
                <w:p w14:paraId="42CFC792">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125" w:type="pct"/>
                  <w:tcBorders>
                    <w:tl2br w:val="nil"/>
                    <w:tr2bl w:val="nil"/>
                  </w:tcBorders>
                  <w:vAlign w:val="center"/>
                </w:tcPr>
                <w:p w14:paraId="11E3E3E1">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可行技术</w:t>
                  </w:r>
                </w:p>
              </w:tc>
              <w:tc>
                <w:tcPr>
                  <w:tcW w:w="1064" w:type="pct"/>
                  <w:tcBorders>
                    <w:tl2br w:val="nil"/>
                    <w:tr2bl w:val="nil"/>
                  </w:tcBorders>
                  <w:vAlign w:val="center"/>
                </w:tcPr>
                <w:p w14:paraId="64FBA75B">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项目实际</w:t>
                  </w:r>
                </w:p>
              </w:tc>
              <w:tc>
                <w:tcPr>
                  <w:tcW w:w="801" w:type="pct"/>
                  <w:tcBorders>
                    <w:tl2br w:val="nil"/>
                    <w:tr2bl w:val="nil"/>
                  </w:tcBorders>
                  <w:vAlign w:val="center"/>
                </w:tcPr>
                <w:p w14:paraId="29C09B2B">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是否可行</w:t>
                  </w:r>
                </w:p>
              </w:tc>
            </w:tr>
            <w:tr w14:paraId="55F514D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23" w:hRule="atLeast"/>
              </w:trPr>
              <w:tc>
                <w:tcPr>
                  <w:tcW w:w="755" w:type="pct"/>
                  <w:tcBorders>
                    <w:tl2br w:val="nil"/>
                    <w:tr2bl w:val="nil"/>
                  </w:tcBorders>
                  <w:vAlign w:val="center"/>
                </w:tcPr>
                <w:p w14:paraId="721AC7F0">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清洗、湿法刻蚀、薄膜制备</w:t>
                  </w:r>
                </w:p>
              </w:tc>
              <w:tc>
                <w:tcPr>
                  <w:tcW w:w="1255" w:type="pct"/>
                  <w:tcBorders>
                    <w:tl2br w:val="nil"/>
                    <w:tr2bl w:val="nil"/>
                  </w:tcBorders>
                  <w:vAlign w:val="center"/>
                </w:tcPr>
                <w:p w14:paraId="40AFBCB3">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氮氧化物</w:t>
                  </w:r>
                </w:p>
              </w:tc>
              <w:tc>
                <w:tcPr>
                  <w:tcW w:w="1125" w:type="pct"/>
                  <w:tcBorders>
                    <w:tl2br w:val="nil"/>
                    <w:tr2bl w:val="nil"/>
                  </w:tcBorders>
                  <w:vAlign w:val="center"/>
                </w:tcPr>
                <w:p w14:paraId="16783F64">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电热/燃烧+水洗法；碱液喷淋洗涤吸收法</w:t>
                  </w:r>
                </w:p>
              </w:tc>
              <w:tc>
                <w:tcPr>
                  <w:tcW w:w="1064" w:type="pct"/>
                  <w:tcBorders>
                    <w:tl2br w:val="nil"/>
                    <w:tr2bl w:val="nil"/>
                  </w:tcBorders>
                  <w:vAlign w:val="center"/>
                </w:tcPr>
                <w:p w14:paraId="333A332A">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喷淋洗涤吸收法</w:t>
                  </w:r>
                </w:p>
              </w:tc>
              <w:tc>
                <w:tcPr>
                  <w:tcW w:w="801" w:type="pct"/>
                  <w:tcBorders>
                    <w:tl2br w:val="nil"/>
                    <w:tr2bl w:val="nil"/>
                  </w:tcBorders>
                  <w:vAlign w:val="center"/>
                </w:tcPr>
                <w:p w14:paraId="50BE2664">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可行</w:t>
                  </w:r>
                </w:p>
              </w:tc>
            </w:tr>
            <w:tr w14:paraId="1931177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73" w:hRule="atLeast"/>
              </w:trPr>
              <w:tc>
                <w:tcPr>
                  <w:tcW w:w="755" w:type="pct"/>
                  <w:tcBorders>
                    <w:tl2br w:val="nil"/>
                    <w:tr2bl w:val="nil"/>
                  </w:tcBorders>
                  <w:vAlign w:val="center"/>
                </w:tcPr>
                <w:p w14:paraId="659843D6">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清洗、薄膜制备、刻蚀</w:t>
                  </w:r>
                </w:p>
              </w:tc>
              <w:tc>
                <w:tcPr>
                  <w:tcW w:w="1255" w:type="pct"/>
                  <w:tcBorders>
                    <w:tl2br w:val="nil"/>
                    <w:tr2bl w:val="nil"/>
                  </w:tcBorders>
                  <w:vAlign w:val="center"/>
                </w:tcPr>
                <w:p w14:paraId="3E297B07">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氟化物、氯化氢、氨、硫酸雾等</w:t>
                  </w:r>
                </w:p>
              </w:tc>
              <w:tc>
                <w:tcPr>
                  <w:tcW w:w="1125" w:type="pct"/>
                  <w:tcBorders>
                    <w:tl2br w:val="nil"/>
                    <w:tr2bl w:val="nil"/>
                  </w:tcBorders>
                  <w:vAlign w:val="center"/>
                </w:tcPr>
                <w:p w14:paraId="152517F7">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本地处理系统</w:t>
                  </w:r>
                </w:p>
                <w:p w14:paraId="088D7A0C">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（POU）；酸碱喷淋洗涤吸收法</w:t>
                  </w:r>
                </w:p>
              </w:tc>
              <w:tc>
                <w:tcPr>
                  <w:tcW w:w="1064" w:type="pct"/>
                  <w:tcBorders>
                    <w:tl2br w:val="nil"/>
                    <w:tr2bl w:val="nil"/>
                  </w:tcBorders>
                  <w:vAlign w:val="center"/>
                </w:tcPr>
                <w:p w14:paraId="77064CC5">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喷淋洗涤吸收法</w:t>
                  </w:r>
                </w:p>
              </w:tc>
              <w:tc>
                <w:tcPr>
                  <w:tcW w:w="801" w:type="pct"/>
                  <w:tcBorders>
                    <w:tl2br w:val="nil"/>
                    <w:tr2bl w:val="nil"/>
                  </w:tcBorders>
                  <w:vAlign w:val="center"/>
                </w:tcPr>
                <w:p w14:paraId="38ED7952">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可行</w:t>
                  </w:r>
                </w:p>
              </w:tc>
            </w:tr>
          </w:tbl>
          <w:p w14:paraId="3B1F0832">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（三）碱性废气处理措施合理性分析</w:t>
            </w:r>
          </w:p>
          <w:p w14:paraId="61ECD8AC">
            <w:pPr>
              <w:spacing w:line="360" w:lineRule="auto"/>
              <w:ind w:firstLine="480" w:firstLineChars="200"/>
              <w:rPr>
                <w:rFonts w:hint="eastAsia"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本项目碱性废气经密闭</w:t>
            </w:r>
            <w:r>
              <w:rPr>
                <w:rFonts w:hint="eastAsia" w:cs="宋体"/>
                <w:color w:val="000000" w:themeColor="text1"/>
                <w:sz w:val="24"/>
                <w:szCs w:val="32"/>
                <w:highlight w:val="none"/>
                <w14:textFill>
                  <w14:solidFill>
                    <w14:schemeClr w14:val="tx1"/>
                  </w14:solidFill>
                </w14:textFill>
              </w:rPr>
              <w:t>集气管道</w:t>
            </w:r>
            <w:r>
              <w:rPr>
                <w:rFonts w:hint="eastAsia" w:cs="宋体"/>
                <w:color w:val="000000" w:themeColor="text1"/>
                <w:sz w:val="24"/>
                <w:szCs w:val="32"/>
                <w:highlight w:val="none"/>
                <w:lang w:val="en-US" w:eastAsia="zh-CN"/>
                <w14:textFill>
                  <w14:solidFill>
                    <w14:schemeClr w14:val="tx1"/>
                  </w14:solidFill>
                </w14:textFill>
              </w:rPr>
              <w:t>收集至稀硫酸喷淋塔处理后由一根30米高排气筒排放</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本项目废气治理设施平面布置详见附图10~11。</w:t>
            </w:r>
          </w:p>
          <w:p w14:paraId="66DF10EC">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（1）治理工艺</w:t>
            </w:r>
          </w:p>
          <w:p w14:paraId="303837BA">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四甲基氢氧化铵是典型的季铵碱，碱性强且易挥发。稀硫酸喷淋塔</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为填充式洗涤塔。填充方式为任意填充方式，填充物材质为FRP/PP，吸收液采用</w:t>
            </w:r>
            <w:r>
              <w:rPr>
                <w:rFonts w:hint="eastAsia" w:cs="Times New Roman"/>
                <w:b w:val="0"/>
                <w:bCs w:val="0"/>
                <w:color w:val="000000" w:themeColor="text1"/>
                <w:kern w:val="0"/>
                <w:sz w:val="24"/>
                <w:szCs w:val="24"/>
                <w:highlight w:val="none"/>
                <w:lang w:val="en-US" w:eastAsia="zh-CN"/>
                <w14:textFill>
                  <w14:solidFill>
                    <w14:schemeClr w14:val="tx1"/>
                  </w14:solidFill>
                </w14:textFill>
              </w:rPr>
              <w:t>2%～3%</w:t>
            </w:r>
            <w:r>
              <w:rPr>
                <w:rFonts w:hint="eastAsia" w:cs="宋体"/>
                <w:color w:val="000000" w:themeColor="text1"/>
                <w:sz w:val="24"/>
                <w:szCs w:val="32"/>
                <w:highlight w:val="none"/>
                <w:lang w:val="en-US" w:eastAsia="zh-CN"/>
                <w14:textFill>
                  <w14:solidFill>
                    <w14:schemeClr w14:val="tx1"/>
                  </w14:solidFill>
                </w14:textFill>
              </w:rPr>
              <w:t>稀硫酸</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溶液</w:t>
            </w:r>
            <w:r>
              <w:rPr>
                <w:rFonts w:hint="eastAsia" w:cs="Times New Roman"/>
                <w:b w:val="0"/>
                <w:bCs w:val="0"/>
                <w:color w:val="000000" w:themeColor="text1"/>
                <w:kern w:val="0"/>
                <w:sz w:val="24"/>
                <w:szCs w:val="24"/>
                <w:highlight w:val="none"/>
                <w:lang w:val="en-US" w:eastAsia="zh-CN"/>
                <w14:textFill>
                  <w14:solidFill>
                    <w14:schemeClr w14:val="tx1"/>
                  </w14:solidFill>
                </w14:textFill>
              </w:rPr>
              <w:t>，pH维持在2~4。循环水量约5m</w:t>
            </w:r>
            <w:r>
              <w:rPr>
                <w:rFonts w:hint="eastAsia" w:cs="Times New Roman"/>
                <w:b w:val="0"/>
                <w:bCs w:val="0"/>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kern w:val="0"/>
                <w:sz w:val="24"/>
                <w:szCs w:val="24"/>
                <w:highlight w:val="none"/>
                <w:lang w:val="en-US" w:eastAsia="zh-CN"/>
                <w14:textFill>
                  <w14:solidFill>
                    <w14:schemeClr w14:val="tx1"/>
                  </w14:solidFill>
                </w14:textFill>
              </w:rPr>
              <w:t>/h，补水量约2m</w:t>
            </w:r>
            <w:r>
              <w:rPr>
                <w:rFonts w:hint="eastAsia" w:cs="Times New Roman"/>
                <w:b w:val="0"/>
                <w:bCs w:val="0"/>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kern w:val="0"/>
                <w:sz w:val="24"/>
                <w:szCs w:val="24"/>
                <w:highlight w:val="none"/>
                <w:lang w:val="en-US" w:eastAsia="zh-CN"/>
                <w14:textFill>
                  <w14:solidFill>
                    <w14:schemeClr w14:val="tx1"/>
                  </w14:solidFill>
                </w14:textFill>
              </w:rPr>
              <w:t>/d，排水量约1.8m</w:t>
            </w:r>
            <w:r>
              <w:rPr>
                <w:rFonts w:hint="eastAsia" w:cs="Times New Roman"/>
                <w:b w:val="0"/>
                <w:bCs w:val="0"/>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kern w:val="0"/>
                <w:sz w:val="24"/>
                <w:szCs w:val="24"/>
                <w:highlight w:val="none"/>
                <w:lang w:val="en-US" w:eastAsia="zh-CN"/>
                <w14:textFill>
                  <w14:solidFill>
                    <w14:schemeClr w14:val="tx1"/>
                  </w14:solidFill>
                </w14:textFill>
              </w:rPr>
              <w:t>/d</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。其基本原理是利用气体与液体间的接触，而将气体中的污染物传送到液体中，然后再将清洁的气体与被污染的液体分离达成清净空气的目的。废气经由填充式洗涤塔，</w:t>
            </w:r>
            <w:r>
              <w:rPr>
                <w:rFonts w:hint="eastAsia" w:cs="Times New Roman"/>
                <w:b w:val="0"/>
                <w:bCs w:val="0"/>
                <w:color w:val="000000" w:themeColor="text1"/>
                <w:kern w:val="0"/>
                <w:sz w:val="24"/>
                <w:szCs w:val="24"/>
                <w:highlight w:val="none"/>
                <w:lang w:val="en-US" w:eastAsia="zh-CN"/>
                <w14:textFill>
                  <w14:solidFill>
                    <w14:schemeClr w14:val="tx1"/>
                  </w14:solidFill>
                </w14:textFill>
              </w:rPr>
              <w:t>采用</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气液逆向吸收方式处理，即液体自塔顶向下（downward）以雾状（或小水滴）喷洒而下。废气则由塔底（逆向流）达到气液接触之目的。此处理方式，可冷却废气温度、气体调理、颗粒去除。废气进入塔体后，与塔顶喷淋层雾化喷洒的稀硫酸吸收液在填料层充分接触，TMAH碱性分子与稀硫酸发生中和反应，快速转化为水溶性的四甲基硫酸铵，随吸收液落入塔底循环槽。再经过除雾段处理后排入大气中</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p>
          <w:p w14:paraId="747275B5">
            <w:pPr>
              <w:spacing w:line="360" w:lineRule="auto"/>
              <w:ind w:firstLine="480" w:firstLineChars="200"/>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（2）治理措施可行性</w:t>
            </w:r>
          </w:p>
          <w:p w14:paraId="5D896972">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根据《排污许可证申请与核发技术规范—电子工业》（HJ1031—2019），项目碱性废气采用</w:t>
            </w:r>
            <w:r>
              <w:rPr>
                <w:rFonts w:hint="eastAsia" w:cs="宋体"/>
                <w:color w:val="000000" w:themeColor="text1"/>
                <w:sz w:val="24"/>
                <w:szCs w:val="32"/>
                <w:highlight w:val="none"/>
                <w:lang w:val="en-US" w:eastAsia="zh-CN"/>
                <w14:textFill>
                  <w14:solidFill>
                    <w14:schemeClr w14:val="tx1"/>
                  </w14:solidFill>
                </w14:textFill>
              </w:rPr>
              <w:t>稀硫酸</w:t>
            </w:r>
            <w:r>
              <w:rPr>
                <w:rFonts w:hint="eastAsia" w:cs="Times New Roman"/>
                <w:b w:val="0"/>
                <w:bCs w:val="0"/>
                <w:color w:val="000000" w:themeColor="text1"/>
                <w:kern w:val="0"/>
                <w:sz w:val="24"/>
                <w:szCs w:val="24"/>
                <w:highlight w:val="none"/>
                <w:lang w:val="en-US" w:eastAsia="zh-CN"/>
                <w14:textFill>
                  <w14:solidFill>
                    <w14:schemeClr w14:val="tx1"/>
                  </w14:solidFill>
                </w14:textFill>
              </w:rPr>
              <w:t>喷淋措施，属于可行技术。详见下表。</w:t>
            </w:r>
          </w:p>
          <w:p w14:paraId="6C226424">
            <w:pPr>
              <w:spacing w:line="360" w:lineRule="auto"/>
              <w:jc w:val="center"/>
              <w:rPr>
                <w:rFonts w:hint="eastAsia" w:cs="宋体"/>
                <w:b/>
                <w:bCs w:val="0"/>
                <w:color w:val="000000" w:themeColor="text1"/>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表</w:t>
            </w:r>
            <w:r>
              <w:rPr>
                <w:rFonts w:hint="eastAsia" w:cs="宋体"/>
                <w:b/>
                <w:bCs w:val="0"/>
                <w:color w:val="000000" w:themeColor="text1"/>
                <w:sz w:val="24"/>
                <w:szCs w:val="24"/>
                <w:highlight w:val="none"/>
                <w:lang w:val="en-US" w:eastAsia="zh-CN"/>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.1</w:t>
            </w:r>
            <w:r>
              <w:rPr>
                <w:rFonts w:hint="eastAsia" w:cs="宋体"/>
                <w:b/>
                <w:bCs w:val="0"/>
                <w:color w:val="000000" w:themeColor="text1"/>
                <w:sz w:val="24"/>
                <w:szCs w:val="24"/>
                <w:highlight w:val="none"/>
                <w:lang w:val="en-US" w:eastAsia="zh-CN"/>
                <w14:textFill>
                  <w14:solidFill>
                    <w14:schemeClr w14:val="tx1"/>
                  </w14:solidFill>
                </w14:textFill>
              </w:rPr>
              <w:t>-8  碱性</w:t>
            </w:r>
            <w:r>
              <w:rPr>
                <w:rFonts w:hint="eastAsia" w:cs="宋体"/>
                <w:b/>
                <w:bCs w:val="0"/>
                <w:color w:val="000000" w:themeColor="text1"/>
                <w:sz w:val="24"/>
                <w:szCs w:val="24"/>
                <w:highlight w:val="none"/>
                <w14:textFill>
                  <w14:solidFill>
                    <w14:schemeClr w14:val="tx1"/>
                  </w14:solidFill>
                </w14:textFill>
              </w:rPr>
              <w:t>废气治理措施可行分析表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225"/>
              <w:gridCol w:w="2038"/>
              <w:gridCol w:w="1828"/>
              <w:gridCol w:w="1728"/>
              <w:gridCol w:w="1301"/>
            </w:tblGrid>
            <w:tr w14:paraId="30D6870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754" w:type="pct"/>
                  <w:tcBorders>
                    <w:tl2br w:val="nil"/>
                    <w:tr2bl w:val="nil"/>
                  </w:tcBorders>
                  <w:vAlign w:val="center"/>
                </w:tcPr>
                <w:p w14:paraId="1237A9F6">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生产单元</w:t>
                  </w:r>
                </w:p>
              </w:tc>
              <w:tc>
                <w:tcPr>
                  <w:tcW w:w="1254" w:type="pct"/>
                  <w:tcBorders>
                    <w:tl2br w:val="nil"/>
                    <w:tr2bl w:val="nil"/>
                  </w:tcBorders>
                  <w:vAlign w:val="center"/>
                </w:tcPr>
                <w:p w14:paraId="611498C1">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125" w:type="pct"/>
                  <w:tcBorders>
                    <w:tl2br w:val="nil"/>
                    <w:tr2bl w:val="nil"/>
                  </w:tcBorders>
                  <w:vAlign w:val="center"/>
                </w:tcPr>
                <w:p w14:paraId="48C7CB5E">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可行技术</w:t>
                  </w:r>
                </w:p>
              </w:tc>
              <w:tc>
                <w:tcPr>
                  <w:tcW w:w="1064" w:type="pct"/>
                  <w:tcBorders>
                    <w:tl2br w:val="nil"/>
                    <w:tr2bl w:val="nil"/>
                  </w:tcBorders>
                  <w:vAlign w:val="center"/>
                </w:tcPr>
                <w:p w14:paraId="2F1A77C9">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项目实际</w:t>
                  </w:r>
                </w:p>
              </w:tc>
              <w:tc>
                <w:tcPr>
                  <w:tcW w:w="801" w:type="pct"/>
                  <w:tcBorders>
                    <w:tl2br w:val="nil"/>
                    <w:tr2bl w:val="nil"/>
                  </w:tcBorders>
                  <w:vAlign w:val="center"/>
                </w:tcPr>
                <w:p w14:paraId="52D23BF1">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是否可行</w:t>
                  </w:r>
                </w:p>
              </w:tc>
            </w:tr>
            <w:tr w14:paraId="1C3B4AA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73" w:hRule="atLeast"/>
              </w:trPr>
              <w:tc>
                <w:tcPr>
                  <w:tcW w:w="754" w:type="pct"/>
                  <w:tcBorders>
                    <w:tl2br w:val="nil"/>
                    <w:tr2bl w:val="nil"/>
                  </w:tcBorders>
                  <w:vAlign w:val="center"/>
                </w:tcPr>
                <w:p w14:paraId="310A39B8">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清洗、薄膜制备、刻蚀</w:t>
                  </w:r>
                </w:p>
              </w:tc>
              <w:tc>
                <w:tcPr>
                  <w:tcW w:w="1254" w:type="pct"/>
                  <w:tcBorders>
                    <w:tl2br w:val="nil"/>
                    <w:tr2bl w:val="nil"/>
                  </w:tcBorders>
                  <w:vAlign w:val="center"/>
                </w:tcPr>
                <w:p w14:paraId="6FA663B6">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氟化物、氯化氢、氨、硫酸雾等</w:t>
                  </w:r>
                </w:p>
              </w:tc>
              <w:tc>
                <w:tcPr>
                  <w:tcW w:w="1125" w:type="pct"/>
                  <w:tcBorders>
                    <w:tl2br w:val="nil"/>
                    <w:tr2bl w:val="nil"/>
                  </w:tcBorders>
                  <w:vAlign w:val="center"/>
                </w:tcPr>
                <w:p w14:paraId="4761C8B2">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本地处理系统</w:t>
                  </w:r>
                </w:p>
                <w:p w14:paraId="0D8D4F40">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（POU）；酸碱喷淋洗涤吸收法</w:t>
                  </w:r>
                </w:p>
              </w:tc>
              <w:tc>
                <w:tcPr>
                  <w:tcW w:w="1064" w:type="pct"/>
                  <w:tcBorders>
                    <w:tl2br w:val="nil"/>
                    <w:tr2bl w:val="nil"/>
                  </w:tcBorders>
                  <w:vAlign w:val="center"/>
                </w:tcPr>
                <w:p w14:paraId="1F294749">
                  <w:pPr>
                    <w:pStyle w:val="11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稀硫酸喷淋</w:t>
                  </w:r>
                  <w:r>
                    <w:rPr>
                      <w:color w:val="000000" w:themeColor="text1"/>
                      <w:highlight w:val="none"/>
                      <w14:textFill>
                        <w14:solidFill>
                          <w14:schemeClr w14:val="tx1"/>
                        </w14:solidFill>
                      </w14:textFill>
                    </w:rPr>
                    <w:t>洗涤吸收法</w:t>
                  </w:r>
                </w:p>
              </w:tc>
              <w:tc>
                <w:tcPr>
                  <w:tcW w:w="801" w:type="pct"/>
                  <w:tcBorders>
                    <w:tl2br w:val="nil"/>
                    <w:tr2bl w:val="nil"/>
                  </w:tcBorders>
                  <w:vAlign w:val="center"/>
                </w:tcPr>
                <w:p w14:paraId="230FBFCE">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可行</w:t>
                  </w:r>
                </w:p>
              </w:tc>
            </w:tr>
          </w:tbl>
          <w:p w14:paraId="260B38D7">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（四）污水处理站恶臭无组织控制措施</w:t>
            </w:r>
          </w:p>
          <w:p w14:paraId="423ABEFD">
            <w:pPr>
              <w:spacing w:line="360" w:lineRule="auto"/>
              <w:ind w:firstLine="480" w:firstLineChars="200"/>
              <w:rPr>
                <w:rFonts w:hint="default"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本项目污水处理站处理的生产废水主要包括光学元件清洗废水、酸碱废水、含氟废水等，不属于高浓度有机废水，废水中COD浓度较低，属于低浓度的工业废水，废水本身恶臭强度较低。</w:t>
            </w:r>
          </w:p>
          <w:p w14:paraId="38A1EBD4">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本项目最近的环保目标为厂房西侧约220m的南湖公寓，本项目所在区域主导风向为东南风，环保目标位于污水处理站</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常年主导风向的</w:t>
            </w:r>
            <w:r>
              <w:rPr>
                <w:rFonts w:hint="eastAsia" w:cs="Times New Roman"/>
                <w:b w:val="0"/>
                <w:bCs w:val="0"/>
                <w:color w:val="000000" w:themeColor="text1"/>
                <w:kern w:val="0"/>
                <w:sz w:val="24"/>
                <w:szCs w:val="24"/>
                <w:highlight w:val="none"/>
                <w:lang w:val="en-US" w:eastAsia="zh-CN"/>
                <w14:textFill>
                  <w14:solidFill>
                    <w14:schemeClr w14:val="tx1"/>
                  </w14:solidFill>
                </w14:textFill>
              </w:rPr>
              <w:t>侧风向。</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本项目对恶臭产生的主要构筑物采取加盖</w:t>
            </w:r>
            <w:r>
              <w:rPr>
                <w:rFonts w:hint="eastAsia" w:cs="Times New Roman"/>
                <w:b w:val="0"/>
                <w:bCs w:val="0"/>
                <w:color w:val="000000" w:themeColor="text1"/>
                <w:kern w:val="0"/>
                <w:sz w:val="24"/>
                <w:szCs w:val="24"/>
                <w:highlight w:val="none"/>
                <w:lang w:val="en-US" w:eastAsia="zh-CN"/>
                <w14:textFill>
                  <w14:solidFill>
                    <w14:schemeClr w14:val="tx1"/>
                  </w14:solidFill>
                </w14:textFill>
              </w:rPr>
              <w:t>密闭、投加除臭剂</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等措施，</w:t>
            </w:r>
            <w:r>
              <w:rPr>
                <w:rFonts w:hint="eastAsia" w:cs="Times New Roman"/>
                <w:b w:val="0"/>
                <w:bCs w:val="0"/>
                <w:color w:val="000000" w:themeColor="text1"/>
                <w:kern w:val="0"/>
                <w:sz w:val="24"/>
                <w:szCs w:val="24"/>
                <w:highlight w:val="none"/>
                <w:lang w:val="en-US" w:eastAsia="zh-CN"/>
                <w14:textFill>
                  <w14:solidFill>
                    <w14:schemeClr w14:val="tx1"/>
                  </w14:solidFill>
                </w14:textFill>
              </w:rPr>
              <w:t>可进一步</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减少恶臭气体对周边环境的影响。</w:t>
            </w:r>
          </w:p>
          <w:p w14:paraId="15655DC6">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本次评要求建设单位</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加强污水站的日常管理，污泥脱水后要及时清运，减少污泥堆存；污泥清运应使用全封闭的环保车辆，污泥运输时要避开运输高峰期，</w:t>
            </w:r>
            <w:r>
              <w:rPr>
                <w:rFonts w:hint="eastAsia" w:cs="Times New Roman"/>
                <w:b w:val="0"/>
                <w:bCs w:val="0"/>
                <w:color w:val="000000" w:themeColor="text1"/>
                <w:kern w:val="0"/>
                <w:sz w:val="24"/>
                <w:szCs w:val="24"/>
                <w:highlight w:val="none"/>
                <w:lang w:val="en-US" w:eastAsia="zh-CN"/>
                <w14:textFill>
                  <w14:solidFill>
                    <w14:schemeClr w14:val="tx1"/>
                  </w14:solidFill>
                </w14:textFill>
              </w:rPr>
              <w:t>尽量减少</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臭气对运输线路附近大气环境的影响。</w:t>
            </w:r>
          </w:p>
          <w:p w14:paraId="0B578D22">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在各污水处理构筑物停车检修时，池底积泥会暴露出来散发臭气，应及时清除积泥，防止臭气的影响。</w:t>
            </w:r>
          </w:p>
          <w:p w14:paraId="0F594915">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4.</w:t>
            </w:r>
            <w:r>
              <w:rPr>
                <w:rFonts w:hint="eastAsia"/>
                <w:color w:val="000000" w:themeColor="text1"/>
                <w:sz w:val="24"/>
                <w:szCs w:val="21"/>
                <w:highlight w:val="none"/>
                <w:lang w:val="en-US" w:eastAsia="zh-CN"/>
                <w14:textFill>
                  <w14:solidFill>
                    <w14:schemeClr w14:val="tx1"/>
                  </w14:solidFill>
                </w14:textFill>
              </w:rPr>
              <w:t>2</w:t>
            </w:r>
            <w:r>
              <w:rPr>
                <w:color w:val="000000" w:themeColor="text1"/>
                <w:sz w:val="24"/>
                <w:szCs w:val="21"/>
                <w:highlight w:val="non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运营期</w:t>
            </w:r>
            <w:r>
              <w:rPr>
                <w:rFonts w:hint="eastAsia"/>
                <w:color w:val="000000" w:themeColor="text1"/>
                <w:sz w:val="24"/>
                <w:szCs w:val="21"/>
                <w:highlight w:val="none"/>
                <w:lang w:val="en-US" w:eastAsia="zh-CN"/>
                <w14:textFill>
                  <w14:solidFill>
                    <w14:schemeClr w14:val="tx1"/>
                  </w14:solidFill>
                </w14:textFill>
              </w:rPr>
              <w:t>水</w:t>
            </w:r>
            <w:r>
              <w:rPr>
                <w:rFonts w:hint="eastAsia"/>
                <w:color w:val="000000" w:themeColor="text1"/>
                <w:sz w:val="24"/>
                <w:szCs w:val="21"/>
                <w:highlight w:val="none"/>
                <w14:textFill>
                  <w14:solidFill>
                    <w14:schemeClr w14:val="tx1"/>
                  </w14:solidFill>
                </w14:textFill>
              </w:rPr>
              <w:t>环境影响分析和污染防治措施</w:t>
            </w:r>
          </w:p>
          <w:p w14:paraId="1F95B603">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4.2.1废水源强核算</w:t>
            </w:r>
          </w:p>
          <w:p w14:paraId="64D6EA57">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项目产生的废水主要有清洗废水及生活污水。</w:t>
            </w:r>
          </w:p>
          <w:p w14:paraId="3D2B93A2">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（一）生产废水</w:t>
            </w:r>
          </w:p>
          <w:p w14:paraId="5C44FDF9">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本项目主要涉及三类生产废水，分别是一般清洗废水、酸碱废水和含氟废水。</w:t>
            </w:r>
          </w:p>
          <w:p w14:paraId="4AC289C4">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（1）一般清洗废水</w:t>
            </w:r>
          </w:p>
          <w:p w14:paraId="7825B285">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2.7小节，一般清洗废水量为7.2t/d（1800t/a）。本项目使用的物料与“福建至期光子科技有限公司超精密核心光学及晶体元器件生产项目”类似，因此本次评价类比该项目建设竣工环境保护验收监测表中的污染物浓度，其中清洗废水中主要污染物及浓度为COD：268mg/L、BOD</w:t>
            </w:r>
            <w:r>
              <w:rPr>
                <w:rFonts w:hint="eastAsia"/>
                <w:color w:val="000000" w:themeColor="text1"/>
                <w:sz w:val="24"/>
                <w:szCs w:val="32"/>
                <w:highlight w:val="none"/>
                <w:vertAlign w:val="subscript"/>
                <w:lang w:val="en-US" w:eastAsia="zh-CN"/>
                <w14:textFill>
                  <w14:solidFill>
                    <w14:schemeClr w14:val="tx1"/>
                  </w14:solidFill>
                </w14:textFill>
              </w:rPr>
              <w:t>5</w:t>
            </w:r>
            <w:r>
              <w:rPr>
                <w:rFonts w:hint="eastAsia"/>
                <w:color w:val="000000" w:themeColor="text1"/>
                <w:sz w:val="24"/>
                <w:szCs w:val="32"/>
                <w:highlight w:val="none"/>
                <w:lang w:val="en-US" w:eastAsia="zh-CN"/>
                <w14:textFill>
                  <w14:solidFill>
                    <w14:schemeClr w14:val="tx1"/>
                  </w14:solidFill>
                </w14:textFill>
              </w:rPr>
              <w:t>：126mg/L、SS：173mg/L、氨氮：20mg/L、总氮：30mg/L、总磷：0.3mg/L。</w:t>
            </w:r>
          </w:p>
          <w:p w14:paraId="31230778">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（2）酸碱废水</w:t>
            </w:r>
          </w:p>
          <w:p w14:paraId="61945AA3">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2.7小节，酸碱废水包括生产过程中产生的酸碱清洗废水、酸性及碱性废气处理设施排水，合计19.44t/d（4860t/a）。本项目使用的物料与“福建兆元光电有限公司LED芯片填平补齐技改项目”“厦门天马显示科技有限公司第6代柔性AMOLED生产线项目”类似，因此本次评价类比上述项目中的污染物浓度，酸碱废水中主要污染物及浓度为COD：50mg/L、BOD</w:t>
            </w:r>
            <w:r>
              <w:rPr>
                <w:rFonts w:hint="eastAsia"/>
                <w:color w:val="000000" w:themeColor="text1"/>
                <w:sz w:val="24"/>
                <w:szCs w:val="32"/>
                <w:highlight w:val="none"/>
                <w:vertAlign w:val="subscript"/>
                <w:lang w:val="en-US" w:eastAsia="zh-CN"/>
                <w14:textFill>
                  <w14:solidFill>
                    <w14:schemeClr w14:val="tx1"/>
                  </w14:solidFill>
                </w14:textFill>
              </w:rPr>
              <w:t>5</w:t>
            </w:r>
            <w:r>
              <w:rPr>
                <w:rFonts w:hint="eastAsia"/>
                <w:color w:val="000000" w:themeColor="text1"/>
                <w:sz w:val="24"/>
                <w:szCs w:val="32"/>
                <w:highlight w:val="none"/>
                <w:lang w:val="en-US" w:eastAsia="zh-CN"/>
                <w14:textFill>
                  <w14:solidFill>
                    <w14:schemeClr w14:val="tx1"/>
                  </w14:solidFill>
                </w14:textFill>
              </w:rPr>
              <w:t>：20mg/L、SS：500mg/L、氨氮：20mg/L、总氮：30mg/L、总磷：0.3mg/L。</w:t>
            </w:r>
          </w:p>
          <w:p w14:paraId="092E8B1D">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（3）含氟废水</w:t>
            </w:r>
          </w:p>
          <w:p w14:paraId="4B8DDF8B">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2.7小节，含氟废水量为7.2t/d（1800t/a）。本项目使用的物料与“福建兆元光电有限公司LED芯片填平补齐技改项目”“厦门天马显示科技有限公司第6代柔性AMOLED生产线项目”类似，因此本次评价类比上述项目中的污染物浓度，含氟废水中主要污染物及浓度为COD：30mg/L、BOD</w:t>
            </w:r>
            <w:r>
              <w:rPr>
                <w:rFonts w:hint="eastAsia"/>
                <w:color w:val="000000" w:themeColor="text1"/>
                <w:sz w:val="24"/>
                <w:szCs w:val="32"/>
                <w:highlight w:val="none"/>
                <w:vertAlign w:val="subscript"/>
                <w:lang w:val="en-US" w:eastAsia="zh-CN"/>
                <w14:textFill>
                  <w14:solidFill>
                    <w14:schemeClr w14:val="tx1"/>
                  </w14:solidFill>
                </w14:textFill>
              </w:rPr>
              <w:t>5</w:t>
            </w:r>
            <w:r>
              <w:rPr>
                <w:rFonts w:hint="eastAsia"/>
                <w:color w:val="000000" w:themeColor="text1"/>
                <w:sz w:val="24"/>
                <w:szCs w:val="32"/>
                <w:highlight w:val="none"/>
                <w:lang w:val="en-US" w:eastAsia="zh-CN"/>
                <w14:textFill>
                  <w14:solidFill>
                    <w14:schemeClr w14:val="tx1"/>
                  </w14:solidFill>
                </w14:textFill>
              </w:rPr>
              <w:t>：20mg/L、SS：100mg/L、氨氮：20mg/L，氟化物：130mg/L、总氮：30mg/L、总磷：0.1mg/L。</w:t>
            </w:r>
          </w:p>
          <w:p w14:paraId="20653A5D">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本项目含氟废水先经预处理后，与一般清洗废水、酸碱废水一并排入综合污水处理站处理。项目产生的废水经综合污水处理站处理后排入市政污水管网，纳入福州大学城污水处理厂统一处理。</w:t>
            </w:r>
            <w:r>
              <w:rPr>
                <w:rFonts w:hint="eastAsia" w:cs="宋体"/>
                <w:color w:val="000000" w:themeColor="text1"/>
                <w:sz w:val="24"/>
                <w:szCs w:val="32"/>
                <w:highlight w:val="none"/>
                <w:lang w:val="en-US" w:eastAsia="zh-CN"/>
                <w14:textFill>
                  <w14:solidFill>
                    <w14:schemeClr w14:val="tx1"/>
                  </w14:solidFill>
                </w14:textFill>
              </w:rPr>
              <w:t>本项目废水治理设施平面布置详见附图12~14。</w:t>
            </w:r>
          </w:p>
          <w:p w14:paraId="7946F0D5">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项目生产废水源强核算详见下表。</w:t>
            </w:r>
          </w:p>
          <w:p w14:paraId="1F685034">
            <w:pPr>
              <w:spacing w:line="360" w:lineRule="auto"/>
              <w:jc w:val="center"/>
              <w:rPr>
                <w:rFonts w:hint="eastAsia" w:ascii="Times New Roman" w:hAnsi="Times New Roman" w:eastAsia="宋体" w:cs="宋体"/>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宋体"/>
                <w:b/>
                <w:bCs w:val="0"/>
                <w:color w:val="000000" w:themeColor="text1"/>
                <w:sz w:val="24"/>
                <w:szCs w:val="24"/>
                <w:highlight w:val="none"/>
                <w:lang w:val="en-US" w:eastAsia="zh-CN"/>
                <w14:textFill>
                  <w14:solidFill>
                    <w14:schemeClr w14:val="tx1"/>
                  </w14:solidFill>
                </w14:textFill>
              </w:rPr>
              <w:t>表4.2-1本项目生产废水产排情况一览表</w:t>
            </w:r>
          </w:p>
          <w:tbl>
            <w:tblPr>
              <w:tblStyle w:val="30"/>
              <w:tblW w:w="81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24"/>
              <w:gridCol w:w="1333"/>
              <w:gridCol w:w="709"/>
              <w:gridCol w:w="709"/>
              <w:gridCol w:w="709"/>
              <w:gridCol w:w="709"/>
              <w:gridCol w:w="709"/>
              <w:gridCol w:w="709"/>
              <w:gridCol w:w="709"/>
              <w:gridCol w:w="710"/>
            </w:tblGrid>
            <w:tr w14:paraId="2C342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4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1E10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废水类型</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F8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C0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49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27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C3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F2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BD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总氮</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64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总磷</w:t>
                  </w:r>
                </w:p>
              </w:tc>
            </w:tr>
            <w:tr w14:paraId="682AC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3B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含氟废水（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12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29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FB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C6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E7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D0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EB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76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91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0.1</w:t>
                  </w:r>
                </w:p>
              </w:tc>
            </w:tr>
            <w:tr w14:paraId="14ADF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436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38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11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C2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63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5E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88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0.234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8D9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D9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BF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0.00018</w:t>
                  </w:r>
                </w:p>
              </w:tc>
            </w:tr>
            <w:tr w14:paraId="67C86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2188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BE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处理措施</w:t>
                  </w:r>
                </w:p>
              </w:tc>
              <w:tc>
                <w:tcPr>
                  <w:tcW w:w="567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51152B">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调节池</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反应池（加入氯化钙）</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沉淀池</w:t>
                  </w:r>
                </w:p>
              </w:tc>
            </w:tr>
            <w:tr w14:paraId="1265B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5B50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32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处理效率</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12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1E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56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8B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26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2E6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67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7F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E2EB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DE2F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7A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处理后浓度（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29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68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D0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C4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FE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25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C2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3C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0.1</w:t>
                  </w:r>
                </w:p>
              </w:tc>
            </w:tr>
            <w:tr w14:paraId="44A1A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2B6F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AA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排放量</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CD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0.0540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AF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0.0360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E7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0.0540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F6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0.0360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F0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0.0117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51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B6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0.0540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FB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0.0002 </w:t>
                  </w:r>
                </w:p>
              </w:tc>
            </w:tr>
            <w:tr w14:paraId="115B2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63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一般清洗废水（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35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69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34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FE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60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C2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C1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69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1B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0.3</w:t>
                  </w:r>
                </w:p>
              </w:tc>
            </w:tr>
            <w:tr w14:paraId="5D2AF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66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38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3B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0.4824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BB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0.2268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15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0.3114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5B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0.0360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85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E7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78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0.0540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E0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0.0005 </w:t>
                  </w:r>
                </w:p>
              </w:tc>
            </w:tr>
            <w:tr w14:paraId="16DBE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69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酸碱废水（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A8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34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50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C0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9A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500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5B3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68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56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9D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D5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0.3</w:t>
                  </w:r>
                </w:p>
              </w:tc>
            </w:tr>
            <w:tr w14:paraId="780E0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11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4860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23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5F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0.2430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E4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0.0972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73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2.4300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30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0.0972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E0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7D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5A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0.1458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FF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0.0015 </w:t>
                  </w:r>
                </w:p>
              </w:tc>
            </w:tr>
            <w:tr w14:paraId="33F90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54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混合后总生产废水（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CD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混合后浓度（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8B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92.1277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BE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42.5532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87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330.4255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94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5B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1.3830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31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5F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30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D9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0.2574 </w:t>
                  </w:r>
                </w:p>
              </w:tc>
            </w:tr>
            <w:tr w14:paraId="039D0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2D0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8460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7C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混合后污染物的量（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0F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0.7794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45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0.3600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FB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2.7954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13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0.1692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A9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0.0117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01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68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0.2538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CA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0.0022 </w:t>
                  </w:r>
                </w:p>
              </w:tc>
            </w:tr>
            <w:tr w14:paraId="739E9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FEDE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AA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处理措施</w:t>
                  </w:r>
                </w:p>
              </w:tc>
              <w:tc>
                <w:tcPr>
                  <w:tcW w:w="567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5DA8D7A">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综合调节池</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调节池</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混凝池</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沉淀池</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过滤池</w:t>
                  </w:r>
                </w:p>
              </w:tc>
            </w:tr>
            <w:tr w14:paraId="71EA3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DC24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08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处理效率</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F4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E6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7A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B0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2F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8A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EA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90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40%</w:t>
                  </w:r>
                </w:p>
              </w:tc>
            </w:tr>
            <w:tr w14:paraId="1F035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1750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53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EC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64.4894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B1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34.0426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43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16.5213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D9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19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F0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0.5532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62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84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28.50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1D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0.1545 </w:t>
                  </w:r>
                </w:p>
              </w:tc>
            </w:tr>
            <w:tr w14:paraId="6B80B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F70E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2B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排放量</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09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0.5456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54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0.2880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65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0.1398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E2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0.1607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1D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0.0047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10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45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0.2411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63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0.0013 </w:t>
                  </w:r>
                </w:p>
              </w:tc>
            </w:tr>
            <w:tr w14:paraId="790FB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24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3FE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厂区接管标准限值（</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mg/L</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AE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A9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6D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2F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F3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4E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62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0B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4</w:t>
                  </w:r>
                </w:p>
              </w:tc>
            </w:tr>
            <w:tr w14:paraId="65B26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24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AB4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《电子工业水污染物排放标准》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 39731-2020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）间接排放标准</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1C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26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22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40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69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5A9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C1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9D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8</w:t>
                  </w:r>
                </w:p>
              </w:tc>
            </w:tr>
          </w:tbl>
          <w:p w14:paraId="21D072E6">
            <w:pPr>
              <w:spacing w:line="360" w:lineRule="auto"/>
              <w:ind w:firstLine="480" w:firstLineChars="200"/>
              <w:rPr>
                <w:rFonts w:hint="default"/>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由上表可知，处理后的生产废水各污染物浓度满足《电子工业水污染物排放标准》（GB 39731-2020）间接排放标准，也满足大学城污水处理厂进水水质标准。</w:t>
            </w:r>
          </w:p>
          <w:p w14:paraId="0C7A6A8D">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（二）生活污水</w:t>
            </w:r>
          </w:p>
          <w:p w14:paraId="481C7FCE">
            <w:pPr>
              <w:spacing w:line="360" w:lineRule="auto"/>
              <w:ind w:firstLine="480" w:firstLineChars="20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新增职工人数150人，均不住厂。不住厂人员用水定额按50L/（人·d），则生活用水量为7.5t/d（1875t/a），产污系数为90%，则项目生活污水产生量为6.75t/d（1687.5t/a），根据《给排水设计手册》（第五册城镇排水）典型生活污水水质示例，本项目生活污水中主要污染物浓度取值为COD400mg/L、BOD</w:t>
            </w:r>
            <w:r>
              <w:rPr>
                <w:rFonts w:hint="eastAsia"/>
                <w:color w:val="000000" w:themeColor="text1"/>
                <w:sz w:val="24"/>
                <w:szCs w:val="32"/>
                <w:highlight w:val="none"/>
                <w:vertAlign w:val="subscript"/>
                <w:lang w:val="en-US" w:eastAsia="zh-CN"/>
                <w14:textFill>
                  <w14:solidFill>
                    <w14:schemeClr w14:val="tx1"/>
                  </w14:solidFill>
                </w14:textFill>
              </w:rPr>
              <w:t>5</w:t>
            </w:r>
            <w:r>
              <w:rPr>
                <w:rFonts w:hint="eastAsia"/>
                <w:color w:val="000000" w:themeColor="text1"/>
                <w:sz w:val="24"/>
                <w:szCs w:val="32"/>
                <w:highlight w:val="none"/>
                <w:lang w:val="en-US" w:eastAsia="zh-CN"/>
                <w14:textFill>
                  <w14:solidFill>
                    <w14:schemeClr w14:val="tx1"/>
                  </w14:solidFill>
                </w14:textFill>
              </w:rPr>
              <w:t>150mg/L、SS200mg/L、氨氮25mg/L，生活污水经隔油+化粪池处理达到《污水综合排放标准》（GB8978-1996）表4中三级标准（其中氨氮执行《污水排入城镇下水道水质标准》（GBT31962-2015）表1的B等级标准）后接入市政污水管网，排入福州大学城污水处理厂统一处理；参考环评手册中《常用污水处理设备及去除率》，隔油+化粪池对生活污水的处理效率一般为COD：40%、BOD</w:t>
            </w:r>
            <w:r>
              <w:rPr>
                <w:rFonts w:hint="eastAsia"/>
                <w:color w:val="000000" w:themeColor="text1"/>
                <w:sz w:val="24"/>
                <w:szCs w:val="32"/>
                <w:highlight w:val="none"/>
                <w:vertAlign w:val="subscript"/>
                <w:lang w:val="en-US" w:eastAsia="zh-CN"/>
                <w14:textFill>
                  <w14:solidFill>
                    <w14:schemeClr w14:val="tx1"/>
                  </w14:solidFill>
                </w14:textFill>
              </w:rPr>
              <w:t>5</w:t>
            </w:r>
            <w:r>
              <w:rPr>
                <w:rFonts w:hint="eastAsia"/>
                <w:color w:val="000000" w:themeColor="text1"/>
                <w:sz w:val="24"/>
                <w:szCs w:val="32"/>
                <w:highlight w:val="none"/>
                <w:lang w:val="en-US" w:eastAsia="zh-CN"/>
                <w14:textFill>
                  <w14:solidFill>
                    <w14:schemeClr w14:val="tx1"/>
                  </w14:solidFill>
                </w14:textFill>
              </w:rPr>
              <w:t>：20%、SS：30%、氨氮：10%。</w:t>
            </w:r>
          </w:p>
          <w:p w14:paraId="74789D35">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项目生活污水各污染物产生及排放源强情况见下表。由表可知，</w:t>
            </w:r>
            <w:r>
              <w:rPr>
                <w:rFonts w:hint="eastAsia"/>
                <w:color w:val="000000" w:themeColor="text1"/>
                <w:sz w:val="24"/>
                <w:szCs w:val="32"/>
                <w:highlight w:val="none"/>
                <w:lang w:val="en-US" w:eastAsia="zh-CN"/>
                <w14:textFill>
                  <w14:solidFill>
                    <w14:schemeClr w14:val="tx1"/>
                  </w14:solidFill>
                </w14:textFill>
              </w:rPr>
              <w:t>生活污水经隔油+化粪池处理也能满足大学城污水处理厂进水水质标准。</w:t>
            </w:r>
          </w:p>
          <w:p w14:paraId="065B0DC7">
            <w:pPr>
              <w:spacing w:line="360" w:lineRule="auto"/>
              <w:jc w:val="center"/>
              <w:rPr>
                <w:rFonts w:ascii="宋体" w:cs="宋体"/>
                <w:b/>
                <w:bCs w:val="0"/>
                <w:color w:val="000000" w:themeColor="text1"/>
                <w:kern w:val="0"/>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 xml:space="preserve">表 </w:t>
            </w:r>
            <w:r>
              <w:rPr>
                <w:b/>
                <w:bCs w:val="0"/>
                <w:color w:val="000000" w:themeColor="text1"/>
                <w:sz w:val="24"/>
                <w:szCs w:val="24"/>
                <w:highlight w:val="none"/>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.2</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2</w:t>
            </w:r>
            <w:r>
              <w:rPr>
                <w:b/>
                <w:bCs w:val="0"/>
                <w:color w:val="000000" w:themeColor="text1"/>
                <w:sz w:val="24"/>
                <w:szCs w:val="24"/>
                <w:highlight w:val="none"/>
                <w14:textFill>
                  <w14:solidFill>
                    <w14:schemeClr w14:val="tx1"/>
                  </w14:solidFill>
                </w14:textFill>
              </w:rPr>
              <w:t xml:space="preserve">  </w:t>
            </w:r>
            <w:r>
              <w:rPr>
                <w:rFonts w:hint="eastAsia"/>
                <w:b/>
                <w:bCs w:val="0"/>
                <w:color w:val="000000" w:themeColor="text1"/>
                <w:sz w:val="24"/>
                <w:szCs w:val="24"/>
                <w:highlight w:val="none"/>
                <w:lang w:val="en-US" w:eastAsia="zh-CN"/>
                <w14:textFill>
                  <w14:solidFill>
                    <w14:schemeClr w14:val="tx1"/>
                  </w14:solidFill>
                </w14:textFill>
              </w:rPr>
              <w:t>本项目生活污水污染源产排情况</w:t>
            </w:r>
            <w:r>
              <w:rPr>
                <w:rFonts w:hint="eastAsia"/>
                <w:b/>
                <w:bCs w:val="0"/>
                <w:color w:val="000000" w:themeColor="text1"/>
                <w:sz w:val="24"/>
                <w:szCs w:val="24"/>
                <w:highlight w:val="none"/>
                <w14:textFill>
                  <w14:solidFill>
                    <w14:schemeClr w14:val="tx1"/>
                  </w14:solidFill>
                </w14:textFill>
              </w:rPr>
              <w:t>一览表</w:t>
            </w:r>
          </w:p>
          <w:tbl>
            <w:tblPr>
              <w:tblStyle w:val="31"/>
              <w:tblW w:w="8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7"/>
              <w:gridCol w:w="840"/>
              <w:gridCol w:w="960"/>
              <w:gridCol w:w="765"/>
              <w:gridCol w:w="645"/>
              <w:gridCol w:w="600"/>
              <w:gridCol w:w="825"/>
              <w:gridCol w:w="810"/>
              <w:gridCol w:w="868"/>
              <w:gridCol w:w="1223"/>
            </w:tblGrid>
            <w:tr w14:paraId="5570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trPr>
              <w:tc>
                <w:tcPr>
                  <w:tcW w:w="597" w:type="dxa"/>
                  <w:vMerge w:val="restart"/>
                  <w:shd w:val="clear" w:color="auto" w:fill="auto"/>
                  <w:vAlign w:val="center"/>
                </w:tcPr>
                <w:p w14:paraId="32FCC13B">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排放源名称</w:t>
                  </w:r>
                </w:p>
              </w:tc>
              <w:tc>
                <w:tcPr>
                  <w:tcW w:w="840" w:type="dxa"/>
                  <w:vMerge w:val="restart"/>
                  <w:shd w:val="clear" w:color="auto" w:fill="auto"/>
                  <w:vAlign w:val="center"/>
                </w:tcPr>
                <w:p w14:paraId="2F44DF6E">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污染物名称</w:t>
                  </w:r>
                </w:p>
              </w:tc>
              <w:tc>
                <w:tcPr>
                  <w:tcW w:w="1725" w:type="dxa"/>
                  <w:gridSpan w:val="2"/>
                  <w:shd w:val="clear" w:color="auto" w:fill="auto"/>
                  <w:vAlign w:val="center"/>
                </w:tcPr>
                <w:p w14:paraId="07B345AB">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产生情况</w:t>
                  </w:r>
                </w:p>
              </w:tc>
              <w:tc>
                <w:tcPr>
                  <w:tcW w:w="645" w:type="dxa"/>
                  <w:vMerge w:val="restart"/>
                  <w:shd w:val="clear" w:color="auto" w:fill="auto"/>
                  <w:vAlign w:val="center"/>
                </w:tcPr>
                <w:p w14:paraId="7B3B082B">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治理措施</w:t>
                  </w:r>
                </w:p>
              </w:tc>
              <w:tc>
                <w:tcPr>
                  <w:tcW w:w="600" w:type="dxa"/>
                  <w:vMerge w:val="restart"/>
                  <w:shd w:val="clear" w:color="auto" w:fill="auto"/>
                  <w:vAlign w:val="center"/>
                </w:tcPr>
                <w:p w14:paraId="1D3C2A82">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去除率%</w:t>
                  </w:r>
                </w:p>
              </w:tc>
              <w:tc>
                <w:tcPr>
                  <w:tcW w:w="1635" w:type="dxa"/>
                  <w:gridSpan w:val="2"/>
                  <w:shd w:val="clear" w:color="auto" w:fill="auto"/>
                  <w:vAlign w:val="center"/>
                </w:tcPr>
                <w:p w14:paraId="43AEEA69">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排放情况</w:t>
                  </w:r>
                </w:p>
              </w:tc>
              <w:tc>
                <w:tcPr>
                  <w:tcW w:w="868" w:type="dxa"/>
                  <w:vMerge w:val="restart"/>
                  <w:shd w:val="clear" w:color="auto" w:fill="auto"/>
                  <w:vAlign w:val="center"/>
                </w:tcPr>
                <w:p w14:paraId="113E1833">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排放去向</w:t>
                  </w:r>
                </w:p>
              </w:tc>
              <w:tc>
                <w:tcPr>
                  <w:tcW w:w="1223" w:type="dxa"/>
                  <w:vMerge w:val="restart"/>
                  <w:shd w:val="clear" w:color="auto" w:fill="auto"/>
                  <w:vAlign w:val="center"/>
                </w:tcPr>
                <w:p w14:paraId="6CDB5F2A">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排放标准</w:t>
                  </w:r>
                </w:p>
              </w:tc>
            </w:tr>
            <w:tr w14:paraId="2A5C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597" w:type="dxa"/>
                  <w:vMerge w:val="continue"/>
                  <w:shd w:val="clear" w:color="auto" w:fill="auto"/>
                  <w:vAlign w:val="center"/>
                </w:tcPr>
                <w:p w14:paraId="6E8718D7">
                  <w:pPr>
                    <w:jc w:val="center"/>
                    <w:rPr>
                      <w:rFonts w:hint="default" w:eastAsia="宋体"/>
                      <w:color w:val="000000" w:themeColor="text1"/>
                      <w:sz w:val="21"/>
                      <w:szCs w:val="21"/>
                      <w:highlight w:val="none"/>
                      <w:lang w:val="en-US" w:eastAsia="zh-CN"/>
                      <w14:textFill>
                        <w14:solidFill>
                          <w14:schemeClr w14:val="tx1"/>
                        </w14:solidFill>
                      </w14:textFill>
                    </w:rPr>
                  </w:pPr>
                </w:p>
              </w:tc>
              <w:tc>
                <w:tcPr>
                  <w:tcW w:w="840" w:type="dxa"/>
                  <w:vMerge w:val="continue"/>
                  <w:shd w:val="clear" w:color="auto" w:fill="auto"/>
                  <w:vAlign w:val="center"/>
                </w:tcPr>
                <w:p w14:paraId="425C4506">
                  <w:pPr>
                    <w:jc w:val="center"/>
                    <w:rPr>
                      <w:rFonts w:hint="default" w:eastAsia="宋体"/>
                      <w:color w:val="000000" w:themeColor="text1"/>
                      <w:sz w:val="21"/>
                      <w:szCs w:val="21"/>
                      <w:highlight w:val="none"/>
                      <w:lang w:val="en-US" w:eastAsia="zh-CN"/>
                      <w14:textFill>
                        <w14:solidFill>
                          <w14:schemeClr w14:val="tx1"/>
                        </w14:solidFill>
                      </w14:textFill>
                    </w:rPr>
                  </w:pPr>
                </w:p>
              </w:tc>
              <w:tc>
                <w:tcPr>
                  <w:tcW w:w="960" w:type="dxa"/>
                  <w:shd w:val="clear" w:color="auto" w:fill="auto"/>
                  <w:vAlign w:val="center"/>
                </w:tcPr>
                <w:p w14:paraId="27BF5FF9">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产生浓度mg/L</w:t>
                  </w:r>
                </w:p>
              </w:tc>
              <w:tc>
                <w:tcPr>
                  <w:tcW w:w="765" w:type="dxa"/>
                  <w:shd w:val="clear" w:color="auto" w:fill="auto"/>
                  <w:vAlign w:val="center"/>
                </w:tcPr>
                <w:p w14:paraId="52BE5BD0">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产生量t/a</w:t>
                  </w:r>
                </w:p>
              </w:tc>
              <w:tc>
                <w:tcPr>
                  <w:tcW w:w="645" w:type="dxa"/>
                  <w:vMerge w:val="continue"/>
                  <w:shd w:val="clear" w:color="auto" w:fill="auto"/>
                  <w:vAlign w:val="center"/>
                </w:tcPr>
                <w:p w14:paraId="09BB7EF9">
                  <w:pPr>
                    <w:jc w:val="center"/>
                    <w:rPr>
                      <w:color w:val="000000" w:themeColor="text1"/>
                      <w:sz w:val="21"/>
                      <w:szCs w:val="21"/>
                      <w:highlight w:val="none"/>
                      <w14:textFill>
                        <w14:solidFill>
                          <w14:schemeClr w14:val="tx1"/>
                        </w14:solidFill>
                      </w14:textFill>
                    </w:rPr>
                  </w:pPr>
                </w:p>
              </w:tc>
              <w:tc>
                <w:tcPr>
                  <w:tcW w:w="600" w:type="dxa"/>
                  <w:vMerge w:val="continue"/>
                  <w:shd w:val="clear" w:color="auto" w:fill="auto"/>
                  <w:vAlign w:val="center"/>
                </w:tcPr>
                <w:p w14:paraId="1C312633">
                  <w:pPr>
                    <w:jc w:val="center"/>
                    <w:rPr>
                      <w:color w:val="000000" w:themeColor="text1"/>
                      <w:sz w:val="21"/>
                      <w:szCs w:val="21"/>
                      <w:highlight w:val="none"/>
                      <w14:textFill>
                        <w14:solidFill>
                          <w14:schemeClr w14:val="tx1"/>
                        </w14:solidFill>
                      </w14:textFill>
                    </w:rPr>
                  </w:pPr>
                </w:p>
              </w:tc>
              <w:tc>
                <w:tcPr>
                  <w:tcW w:w="825" w:type="dxa"/>
                  <w:shd w:val="clear" w:color="auto" w:fill="auto"/>
                  <w:vAlign w:val="center"/>
                </w:tcPr>
                <w:p w14:paraId="652FF61C">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排放浓度mg/L</w:t>
                  </w:r>
                </w:p>
              </w:tc>
              <w:tc>
                <w:tcPr>
                  <w:tcW w:w="810" w:type="dxa"/>
                  <w:shd w:val="clear" w:color="auto" w:fill="auto"/>
                  <w:vAlign w:val="center"/>
                </w:tcPr>
                <w:p w14:paraId="1F5B4277">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排放量t/a</w:t>
                  </w:r>
                </w:p>
              </w:tc>
              <w:tc>
                <w:tcPr>
                  <w:tcW w:w="868" w:type="dxa"/>
                  <w:vMerge w:val="continue"/>
                  <w:shd w:val="clear" w:color="auto" w:fill="auto"/>
                  <w:vAlign w:val="center"/>
                </w:tcPr>
                <w:p w14:paraId="077603D6">
                  <w:pPr>
                    <w:jc w:val="center"/>
                    <w:rPr>
                      <w:rFonts w:hint="default" w:eastAsia="宋体"/>
                      <w:color w:val="000000" w:themeColor="text1"/>
                      <w:sz w:val="21"/>
                      <w:szCs w:val="21"/>
                      <w:highlight w:val="none"/>
                      <w:lang w:val="en-US" w:eastAsia="zh-CN"/>
                      <w14:textFill>
                        <w14:solidFill>
                          <w14:schemeClr w14:val="tx1"/>
                        </w14:solidFill>
                      </w14:textFill>
                    </w:rPr>
                  </w:pPr>
                </w:p>
              </w:tc>
              <w:tc>
                <w:tcPr>
                  <w:tcW w:w="1223" w:type="dxa"/>
                  <w:vMerge w:val="continue"/>
                  <w:shd w:val="clear" w:color="auto" w:fill="auto"/>
                  <w:vAlign w:val="center"/>
                </w:tcPr>
                <w:p w14:paraId="7CCCB2C1">
                  <w:pPr>
                    <w:jc w:val="center"/>
                    <w:rPr>
                      <w:rFonts w:hint="default" w:eastAsia="宋体"/>
                      <w:color w:val="000000" w:themeColor="text1"/>
                      <w:sz w:val="21"/>
                      <w:szCs w:val="21"/>
                      <w:highlight w:val="none"/>
                      <w:lang w:val="en-US" w:eastAsia="zh-CN"/>
                      <w14:textFill>
                        <w14:solidFill>
                          <w14:schemeClr w14:val="tx1"/>
                        </w14:solidFill>
                      </w14:textFill>
                    </w:rPr>
                  </w:pPr>
                </w:p>
              </w:tc>
            </w:tr>
            <w:tr w14:paraId="02B7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97" w:type="dxa"/>
                  <w:vMerge w:val="restart"/>
                  <w:shd w:val="clear" w:color="auto" w:fill="auto"/>
                  <w:vAlign w:val="center"/>
                </w:tcPr>
                <w:p w14:paraId="6852742B">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生活污水</w:t>
                  </w:r>
                </w:p>
              </w:tc>
              <w:tc>
                <w:tcPr>
                  <w:tcW w:w="840" w:type="dxa"/>
                  <w:shd w:val="clear" w:color="auto" w:fill="auto"/>
                  <w:vAlign w:val="center"/>
                </w:tcPr>
                <w:p w14:paraId="641A1F4A">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p>
              </w:tc>
              <w:tc>
                <w:tcPr>
                  <w:tcW w:w="960" w:type="dxa"/>
                  <w:shd w:val="clear" w:color="auto" w:fill="auto"/>
                  <w:vAlign w:val="center"/>
                </w:tcPr>
                <w:p w14:paraId="1B50684B">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765" w:type="dxa"/>
                  <w:shd w:val="clear" w:color="auto" w:fill="auto"/>
                  <w:vAlign w:val="center"/>
                </w:tcPr>
                <w:p w14:paraId="330333CF">
                  <w:pPr>
                    <w:keepNext w:val="0"/>
                    <w:keepLines w:val="0"/>
                    <w:widowControl/>
                    <w:suppressLineNumbers w:val="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45" w:type="dxa"/>
                  <w:vMerge w:val="restart"/>
                  <w:shd w:val="clear" w:color="auto" w:fill="auto"/>
                  <w:vAlign w:val="center"/>
                </w:tcPr>
                <w:p w14:paraId="7A383C99">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隔油+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化粪池</w:t>
                  </w:r>
                </w:p>
              </w:tc>
              <w:tc>
                <w:tcPr>
                  <w:tcW w:w="600" w:type="dxa"/>
                  <w:shd w:val="clear" w:color="auto" w:fill="auto"/>
                  <w:vAlign w:val="center"/>
                </w:tcPr>
                <w:p w14:paraId="0D7CE95B">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25" w:type="dxa"/>
                  <w:shd w:val="clear" w:color="auto" w:fill="auto"/>
                  <w:vAlign w:val="center"/>
                </w:tcPr>
                <w:p w14:paraId="6813425A">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10" w:type="dxa"/>
                  <w:shd w:val="clear" w:color="auto" w:fill="auto"/>
                  <w:vAlign w:val="center"/>
                </w:tcPr>
                <w:p w14:paraId="440B6AC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68" w:type="dxa"/>
                  <w:vMerge w:val="restart"/>
                  <w:shd w:val="clear" w:color="auto" w:fill="auto"/>
                  <w:vAlign w:val="center"/>
                </w:tcPr>
                <w:p w14:paraId="7FDE56A8">
                  <w:pPr>
                    <w:jc w:val="center"/>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福州大学城污水处理厂</w:t>
                  </w:r>
                </w:p>
              </w:tc>
              <w:tc>
                <w:tcPr>
                  <w:tcW w:w="1223" w:type="dxa"/>
                  <w:vMerge w:val="restart"/>
                  <w:shd w:val="clear" w:color="auto" w:fill="auto"/>
                  <w:vAlign w:val="center"/>
                </w:tcPr>
                <w:p w14:paraId="4A66365E">
                  <w:pPr>
                    <w:jc w:val="center"/>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《城镇污水处理厂污染物排放标准》(GB18918-2002)及其修改单表1中一级A标准</w:t>
                  </w:r>
                </w:p>
              </w:tc>
            </w:tr>
            <w:tr w14:paraId="3B3E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97" w:type="dxa"/>
                  <w:vMerge w:val="continue"/>
                  <w:shd w:val="clear" w:color="auto" w:fill="auto"/>
                  <w:vAlign w:val="center"/>
                </w:tcPr>
                <w:p w14:paraId="52820B9D">
                  <w:pPr>
                    <w:jc w:val="center"/>
                    <w:rPr>
                      <w:rFonts w:hint="eastAsia"/>
                      <w:color w:val="000000" w:themeColor="text1"/>
                      <w:sz w:val="21"/>
                      <w:szCs w:val="21"/>
                      <w:highlight w:val="none"/>
                      <w:lang w:val="en-US" w:eastAsia="zh-CN"/>
                      <w14:textFill>
                        <w14:solidFill>
                          <w14:schemeClr w14:val="tx1"/>
                        </w14:solidFill>
                      </w14:textFill>
                    </w:rPr>
                  </w:pPr>
                </w:p>
              </w:tc>
              <w:tc>
                <w:tcPr>
                  <w:tcW w:w="840" w:type="dxa"/>
                  <w:shd w:val="clear" w:color="auto" w:fill="auto"/>
                  <w:vAlign w:val="center"/>
                </w:tcPr>
                <w:p w14:paraId="34D5CA5D">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CODcr</w:t>
                  </w:r>
                </w:p>
              </w:tc>
              <w:tc>
                <w:tcPr>
                  <w:tcW w:w="960" w:type="dxa"/>
                  <w:shd w:val="clear" w:color="auto" w:fill="auto"/>
                  <w:vAlign w:val="center"/>
                </w:tcPr>
                <w:p w14:paraId="4C9EEB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765" w:type="dxa"/>
                  <w:shd w:val="clear" w:color="auto" w:fill="auto"/>
                  <w:vAlign w:val="center"/>
                </w:tcPr>
                <w:p w14:paraId="58E92E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0.6750 </w:t>
                  </w:r>
                </w:p>
              </w:tc>
              <w:tc>
                <w:tcPr>
                  <w:tcW w:w="645" w:type="dxa"/>
                  <w:vMerge w:val="continue"/>
                  <w:shd w:val="clear" w:color="auto" w:fill="auto"/>
                  <w:vAlign w:val="center"/>
                </w:tcPr>
                <w:p w14:paraId="487828F5">
                  <w:pPr>
                    <w:jc w:val="center"/>
                    <w:rPr>
                      <w:rFonts w:hint="eastAsia"/>
                      <w:color w:val="000000" w:themeColor="text1"/>
                      <w:sz w:val="21"/>
                      <w:szCs w:val="21"/>
                      <w:highlight w:val="none"/>
                      <w14:textFill>
                        <w14:solidFill>
                          <w14:schemeClr w14:val="tx1"/>
                        </w14:solidFill>
                      </w14:textFill>
                    </w:rPr>
                  </w:pPr>
                </w:p>
              </w:tc>
              <w:tc>
                <w:tcPr>
                  <w:tcW w:w="600" w:type="dxa"/>
                  <w:shd w:val="clear" w:color="auto" w:fill="auto"/>
                  <w:vAlign w:val="center"/>
                </w:tcPr>
                <w:p w14:paraId="442FDF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825" w:type="dxa"/>
                  <w:shd w:val="clear" w:color="auto" w:fill="auto"/>
                  <w:vAlign w:val="center"/>
                </w:tcPr>
                <w:p w14:paraId="0ED7A7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w:t>
                  </w:r>
                </w:p>
              </w:tc>
              <w:tc>
                <w:tcPr>
                  <w:tcW w:w="810" w:type="dxa"/>
                  <w:shd w:val="clear" w:color="auto" w:fill="auto"/>
                  <w:vAlign w:val="center"/>
                </w:tcPr>
                <w:p w14:paraId="6E8A6A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0.4050 </w:t>
                  </w:r>
                </w:p>
              </w:tc>
              <w:tc>
                <w:tcPr>
                  <w:tcW w:w="868" w:type="dxa"/>
                  <w:vMerge w:val="continue"/>
                  <w:shd w:val="clear" w:color="auto" w:fill="auto"/>
                  <w:vAlign w:val="center"/>
                </w:tcPr>
                <w:p w14:paraId="6A6FA1AF">
                  <w:pPr>
                    <w:jc w:val="center"/>
                    <w:rPr>
                      <w:rFonts w:hint="eastAsia"/>
                      <w:color w:val="000000" w:themeColor="text1"/>
                      <w:sz w:val="21"/>
                      <w:szCs w:val="21"/>
                      <w:highlight w:val="none"/>
                      <w:lang w:val="en-US" w:eastAsia="zh-CN"/>
                      <w14:textFill>
                        <w14:solidFill>
                          <w14:schemeClr w14:val="tx1"/>
                        </w14:solidFill>
                      </w14:textFill>
                    </w:rPr>
                  </w:pPr>
                </w:p>
              </w:tc>
              <w:tc>
                <w:tcPr>
                  <w:tcW w:w="1223" w:type="dxa"/>
                  <w:vMerge w:val="continue"/>
                  <w:shd w:val="clear" w:color="auto" w:fill="auto"/>
                  <w:vAlign w:val="center"/>
                </w:tcPr>
                <w:p w14:paraId="69252CE2">
                  <w:pPr>
                    <w:jc w:val="center"/>
                    <w:rPr>
                      <w:rFonts w:hint="eastAsia"/>
                      <w:color w:val="000000" w:themeColor="text1"/>
                      <w:sz w:val="21"/>
                      <w:szCs w:val="21"/>
                      <w:highlight w:val="none"/>
                      <w:lang w:val="en-US" w:eastAsia="zh-CN"/>
                      <w14:textFill>
                        <w14:solidFill>
                          <w14:schemeClr w14:val="tx1"/>
                        </w14:solidFill>
                      </w14:textFill>
                    </w:rPr>
                  </w:pPr>
                </w:p>
              </w:tc>
            </w:tr>
            <w:tr w14:paraId="391F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97" w:type="dxa"/>
                  <w:vMerge w:val="continue"/>
                  <w:shd w:val="clear" w:color="auto" w:fill="auto"/>
                  <w:vAlign w:val="center"/>
                </w:tcPr>
                <w:p w14:paraId="6B20E8CF">
                  <w:pPr>
                    <w:jc w:val="center"/>
                    <w:rPr>
                      <w:rFonts w:hint="eastAsia"/>
                      <w:color w:val="000000" w:themeColor="text1"/>
                      <w:sz w:val="21"/>
                      <w:szCs w:val="21"/>
                      <w:highlight w:val="none"/>
                      <w:lang w:val="en-US" w:eastAsia="zh-CN"/>
                      <w14:textFill>
                        <w14:solidFill>
                          <w14:schemeClr w14:val="tx1"/>
                        </w14:solidFill>
                      </w14:textFill>
                    </w:rPr>
                  </w:pPr>
                </w:p>
              </w:tc>
              <w:tc>
                <w:tcPr>
                  <w:tcW w:w="840" w:type="dxa"/>
                  <w:shd w:val="clear" w:color="auto" w:fill="auto"/>
                  <w:vAlign w:val="center"/>
                </w:tcPr>
                <w:p w14:paraId="7263D7EB">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960" w:type="dxa"/>
                  <w:shd w:val="clear" w:color="auto" w:fill="auto"/>
                  <w:vAlign w:val="center"/>
                </w:tcPr>
                <w:p w14:paraId="1E392A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150</w:t>
                  </w:r>
                </w:p>
              </w:tc>
              <w:tc>
                <w:tcPr>
                  <w:tcW w:w="765" w:type="dxa"/>
                  <w:shd w:val="clear" w:color="auto" w:fill="auto"/>
                  <w:vAlign w:val="center"/>
                </w:tcPr>
                <w:p w14:paraId="087872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0.2531 </w:t>
                  </w:r>
                </w:p>
              </w:tc>
              <w:tc>
                <w:tcPr>
                  <w:tcW w:w="645" w:type="dxa"/>
                  <w:vMerge w:val="continue"/>
                  <w:shd w:val="clear" w:color="auto" w:fill="auto"/>
                  <w:vAlign w:val="center"/>
                </w:tcPr>
                <w:p w14:paraId="632347AF">
                  <w:pPr>
                    <w:jc w:val="center"/>
                    <w:rPr>
                      <w:rFonts w:hint="eastAsia"/>
                      <w:color w:val="000000" w:themeColor="text1"/>
                      <w:sz w:val="21"/>
                      <w:szCs w:val="21"/>
                      <w:highlight w:val="none"/>
                      <w14:textFill>
                        <w14:solidFill>
                          <w14:schemeClr w14:val="tx1"/>
                        </w14:solidFill>
                      </w14:textFill>
                    </w:rPr>
                  </w:pPr>
                </w:p>
              </w:tc>
              <w:tc>
                <w:tcPr>
                  <w:tcW w:w="600" w:type="dxa"/>
                  <w:shd w:val="clear" w:color="auto" w:fill="auto"/>
                  <w:vAlign w:val="center"/>
                </w:tcPr>
                <w:p w14:paraId="18360C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825" w:type="dxa"/>
                  <w:shd w:val="clear" w:color="auto" w:fill="auto"/>
                  <w:vAlign w:val="center"/>
                </w:tcPr>
                <w:p w14:paraId="6B5362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w:t>
                  </w:r>
                </w:p>
              </w:tc>
              <w:tc>
                <w:tcPr>
                  <w:tcW w:w="810" w:type="dxa"/>
                  <w:shd w:val="clear" w:color="auto" w:fill="auto"/>
                  <w:vAlign w:val="center"/>
                </w:tcPr>
                <w:p w14:paraId="3E8991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0.2025 </w:t>
                  </w:r>
                </w:p>
              </w:tc>
              <w:tc>
                <w:tcPr>
                  <w:tcW w:w="868" w:type="dxa"/>
                  <w:vMerge w:val="continue"/>
                  <w:shd w:val="clear" w:color="auto" w:fill="auto"/>
                  <w:vAlign w:val="center"/>
                </w:tcPr>
                <w:p w14:paraId="5117ACEE">
                  <w:pPr>
                    <w:jc w:val="center"/>
                    <w:rPr>
                      <w:rFonts w:hint="eastAsia"/>
                      <w:color w:val="000000" w:themeColor="text1"/>
                      <w:sz w:val="21"/>
                      <w:szCs w:val="21"/>
                      <w:highlight w:val="none"/>
                      <w:lang w:val="en-US" w:eastAsia="zh-CN"/>
                      <w14:textFill>
                        <w14:solidFill>
                          <w14:schemeClr w14:val="tx1"/>
                        </w14:solidFill>
                      </w14:textFill>
                    </w:rPr>
                  </w:pPr>
                </w:p>
              </w:tc>
              <w:tc>
                <w:tcPr>
                  <w:tcW w:w="1223" w:type="dxa"/>
                  <w:vMerge w:val="continue"/>
                  <w:shd w:val="clear" w:color="auto" w:fill="auto"/>
                  <w:vAlign w:val="center"/>
                </w:tcPr>
                <w:p w14:paraId="2CFA08AF">
                  <w:pPr>
                    <w:jc w:val="center"/>
                    <w:rPr>
                      <w:rFonts w:hint="eastAsia"/>
                      <w:color w:val="000000" w:themeColor="text1"/>
                      <w:sz w:val="21"/>
                      <w:szCs w:val="21"/>
                      <w:highlight w:val="none"/>
                      <w:lang w:val="en-US" w:eastAsia="zh-CN"/>
                      <w14:textFill>
                        <w14:solidFill>
                          <w14:schemeClr w14:val="tx1"/>
                        </w14:solidFill>
                      </w14:textFill>
                    </w:rPr>
                  </w:pPr>
                </w:p>
              </w:tc>
            </w:tr>
            <w:tr w14:paraId="7200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97" w:type="dxa"/>
                  <w:vMerge w:val="continue"/>
                  <w:shd w:val="clear" w:color="auto" w:fill="auto"/>
                  <w:vAlign w:val="center"/>
                </w:tcPr>
                <w:p w14:paraId="3094535F">
                  <w:pPr>
                    <w:jc w:val="center"/>
                    <w:rPr>
                      <w:rFonts w:hint="eastAsia"/>
                      <w:color w:val="000000" w:themeColor="text1"/>
                      <w:sz w:val="21"/>
                      <w:szCs w:val="21"/>
                      <w:highlight w:val="none"/>
                      <w:lang w:val="en-US" w:eastAsia="zh-CN"/>
                      <w14:textFill>
                        <w14:solidFill>
                          <w14:schemeClr w14:val="tx1"/>
                        </w14:solidFill>
                      </w14:textFill>
                    </w:rPr>
                  </w:pPr>
                </w:p>
              </w:tc>
              <w:tc>
                <w:tcPr>
                  <w:tcW w:w="840" w:type="dxa"/>
                  <w:shd w:val="clear" w:color="auto" w:fill="auto"/>
                  <w:vAlign w:val="center"/>
                </w:tcPr>
                <w:p w14:paraId="0BFE22A7">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960" w:type="dxa"/>
                  <w:shd w:val="clear" w:color="auto" w:fill="auto"/>
                  <w:vAlign w:val="center"/>
                </w:tcPr>
                <w:p w14:paraId="22389B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765" w:type="dxa"/>
                  <w:shd w:val="clear" w:color="auto" w:fill="auto"/>
                  <w:vAlign w:val="center"/>
                </w:tcPr>
                <w:p w14:paraId="515555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0.3375 </w:t>
                  </w:r>
                </w:p>
              </w:tc>
              <w:tc>
                <w:tcPr>
                  <w:tcW w:w="645" w:type="dxa"/>
                  <w:vMerge w:val="continue"/>
                  <w:shd w:val="clear" w:color="auto" w:fill="auto"/>
                  <w:vAlign w:val="center"/>
                </w:tcPr>
                <w:p w14:paraId="2B859F44">
                  <w:pPr>
                    <w:jc w:val="center"/>
                    <w:rPr>
                      <w:rFonts w:hint="eastAsia"/>
                      <w:color w:val="000000" w:themeColor="text1"/>
                      <w:sz w:val="21"/>
                      <w:szCs w:val="21"/>
                      <w:highlight w:val="none"/>
                      <w14:textFill>
                        <w14:solidFill>
                          <w14:schemeClr w14:val="tx1"/>
                        </w14:solidFill>
                      </w14:textFill>
                    </w:rPr>
                  </w:pPr>
                </w:p>
              </w:tc>
              <w:tc>
                <w:tcPr>
                  <w:tcW w:w="600" w:type="dxa"/>
                  <w:shd w:val="clear" w:color="auto" w:fill="auto"/>
                  <w:vAlign w:val="center"/>
                </w:tcPr>
                <w:p w14:paraId="07A5BC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825" w:type="dxa"/>
                  <w:shd w:val="clear" w:color="auto" w:fill="auto"/>
                  <w:vAlign w:val="center"/>
                </w:tcPr>
                <w:p w14:paraId="245BE6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140</w:t>
                  </w:r>
                </w:p>
              </w:tc>
              <w:tc>
                <w:tcPr>
                  <w:tcW w:w="810" w:type="dxa"/>
                  <w:shd w:val="clear" w:color="auto" w:fill="auto"/>
                  <w:vAlign w:val="center"/>
                </w:tcPr>
                <w:p w14:paraId="40D5DE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0.2363 </w:t>
                  </w:r>
                </w:p>
              </w:tc>
              <w:tc>
                <w:tcPr>
                  <w:tcW w:w="868" w:type="dxa"/>
                  <w:vMerge w:val="continue"/>
                  <w:shd w:val="clear" w:color="auto" w:fill="auto"/>
                  <w:vAlign w:val="center"/>
                </w:tcPr>
                <w:p w14:paraId="39F6E124">
                  <w:pPr>
                    <w:jc w:val="center"/>
                    <w:rPr>
                      <w:rFonts w:hint="eastAsia"/>
                      <w:color w:val="000000" w:themeColor="text1"/>
                      <w:sz w:val="21"/>
                      <w:szCs w:val="21"/>
                      <w:highlight w:val="none"/>
                      <w:lang w:val="en-US" w:eastAsia="zh-CN"/>
                      <w14:textFill>
                        <w14:solidFill>
                          <w14:schemeClr w14:val="tx1"/>
                        </w14:solidFill>
                      </w14:textFill>
                    </w:rPr>
                  </w:pPr>
                </w:p>
              </w:tc>
              <w:tc>
                <w:tcPr>
                  <w:tcW w:w="1223" w:type="dxa"/>
                  <w:vMerge w:val="continue"/>
                  <w:shd w:val="clear" w:color="auto" w:fill="auto"/>
                  <w:vAlign w:val="center"/>
                </w:tcPr>
                <w:p w14:paraId="7ECFA754">
                  <w:pPr>
                    <w:jc w:val="center"/>
                    <w:rPr>
                      <w:rFonts w:hint="eastAsia"/>
                      <w:color w:val="000000" w:themeColor="text1"/>
                      <w:sz w:val="21"/>
                      <w:szCs w:val="21"/>
                      <w:highlight w:val="none"/>
                      <w:lang w:val="en-US" w:eastAsia="zh-CN"/>
                      <w14:textFill>
                        <w14:solidFill>
                          <w14:schemeClr w14:val="tx1"/>
                        </w14:solidFill>
                      </w14:textFill>
                    </w:rPr>
                  </w:pPr>
                </w:p>
              </w:tc>
            </w:tr>
            <w:tr w14:paraId="56A0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97" w:type="dxa"/>
                  <w:vMerge w:val="continue"/>
                  <w:shd w:val="clear" w:color="auto" w:fill="auto"/>
                  <w:vAlign w:val="center"/>
                </w:tcPr>
                <w:p w14:paraId="6D18A6BD">
                  <w:pPr>
                    <w:jc w:val="center"/>
                    <w:rPr>
                      <w:rFonts w:hint="eastAsia"/>
                      <w:color w:val="000000" w:themeColor="text1"/>
                      <w:sz w:val="21"/>
                      <w:szCs w:val="21"/>
                      <w:highlight w:val="none"/>
                      <w:lang w:val="en-US" w:eastAsia="zh-CN"/>
                      <w14:textFill>
                        <w14:solidFill>
                          <w14:schemeClr w14:val="tx1"/>
                        </w14:solidFill>
                      </w14:textFill>
                    </w:rPr>
                  </w:pPr>
                </w:p>
              </w:tc>
              <w:tc>
                <w:tcPr>
                  <w:tcW w:w="840" w:type="dxa"/>
                  <w:shd w:val="clear" w:color="auto" w:fill="auto"/>
                  <w:vAlign w:val="center"/>
                </w:tcPr>
                <w:p w14:paraId="0AD11596">
                  <w:pPr>
                    <w:keepNext w:val="0"/>
                    <w:keepLines w:val="0"/>
                    <w:widowControl/>
                    <w:suppressLineNumbers w:val="0"/>
                    <w:jc w:val="center"/>
                    <w:textAlignment w:val="center"/>
                    <w:rPr>
                      <w:rFonts w:hint="eastAsia" w:cs="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w:t>
                  </w:r>
                </w:p>
              </w:tc>
              <w:tc>
                <w:tcPr>
                  <w:tcW w:w="960" w:type="dxa"/>
                  <w:shd w:val="clear" w:color="auto" w:fill="auto"/>
                  <w:vAlign w:val="center"/>
                </w:tcPr>
                <w:p w14:paraId="6B7F03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765" w:type="dxa"/>
                  <w:shd w:val="clear" w:color="auto" w:fill="auto"/>
                  <w:vAlign w:val="center"/>
                </w:tcPr>
                <w:p w14:paraId="0C8A14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0.0422 </w:t>
                  </w:r>
                </w:p>
              </w:tc>
              <w:tc>
                <w:tcPr>
                  <w:tcW w:w="645" w:type="dxa"/>
                  <w:vMerge w:val="continue"/>
                  <w:shd w:val="clear" w:color="auto" w:fill="auto"/>
                  <w:vAlign w:val="center"/>
                </w:tcPr>
                <w:p w14:paraId="203588F5">
                  <w:pPr>
                    <w:jc w:val="center"/>
                    <w:rPr>
                      <w:rFonts w:hint="eastAsia"/>
                      <w:color w:val="000000" w:themeColor="text1"/>
                      <w:sz w:val="21"/>
                      <w:szCs w:val="21"/>
                      <w:highlight w:val="none"/>
                      <w14:textFill>
                        <w14:solidFill>
                          <w14:schemeClr w14:val="tx1"/>
                        </w14:solidFill>
                      </w14:textFill>
                    </w:rPr>
                  </w:pPr>
                </w:p>
              </w:tc>
              <w:tc>
                <w:tcPr>
                  <w:tcW w:w="600" w:type="dxa"/>
                  <w:shd w:val="clear" w:color="auto" w:fill="auto"/>
                  <w:vAlign w:val="center"/>
                </w:tcPr>
                <w:p w14:paraId="0C839D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825" w:type="dxa"/>
                  <w:shd w:val="clear" w:color="auto" w:fill="auto"/>
                  <w:vAlign w:val="center"/>
                </w:tcPr>
                <w:p w14:paraId="456C98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w:t>
                  </w:r>
                </w:p>
              </w:tc>
              <w:tc>
                <w:tcPr>
                  <w:tcW w:w="810" w:type="dxa"/>
                  <w:shd w:val="clear" w:color="auto" w:fill="auto"/>
                  <w:vAlign w:val="center"/>
                </w:tcPr>
                <w:p w14:paraId="4B1798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0.0380 </w:t>
                  </w:r>
                </w:p>
              </w:tc>
              <w:tc>
                <w:tcPr>
                  <w:tcW w:w="868" w:type="dxa"/>
                  <w:vMerge w:val="continue"/>
                  <w:shd w:val="clear" w:color="auto" w:fill="auto"/>
                  <w:vAlign w:val="center"/>
                </w:tcPr>
                <w:p w14:paraId="732137C6">
                  <w:pPr>
                    <w:jc w:val="center"/>
                    <w:rPr>
                      <w:rFonts w:hint="eastAsia"/>
                      <w:color w:val="000000" w:themeColor="text1"/>
                      <w:sz w:val="21"/>
                      <w:szCs w:val="21"/>
                      <w:highlight w:val="none"/>
                      <w:lang w:val="en-US" w:eastAsia="zh-CN"/>
                      <w14:textFill>
                        <w14:solidFill>
                          <w14:schemeClr w14:val="tx1"/>
                        </w14:solidFill>
                      </w14:textFill>
                    </w:rPr>
                  </w:pPr>
                </w:p>
              </w:tc>
              <w:tc>
                <w:tcPr>
                  <w:tcW w:w="1223" w:type="dxa"/>
                  <w:vMerge w:val="continue"/>
                  <w:shd w:val="clear" w:color="auto" w:fill="auto"/>
                  <w:vAlign w:val="center"/>
                </w:tcPr>
                <w:p w14:paraId="1AAE6E3A">
                  <w:pPr>
                    <w:jc w:val="center"/>
                    <w:rPr>
                      <w:rFonts w:hint="eastAsia"/>
                      <w:color w:val="000000" w:themeColor="text1"/>
                      <w:sz w:val="21"/>
                      <w:szCs w:val="21"/>
                      <w:highlight w:val="none"/>
                      <w:lang w:val="en-US" w:eastAsia="zh-CN"/>
                      <w14:textFill>
                        <w14:solidFill>
                          <w14:schemeClr w14:val="tx1"/>
                        </w14:solidFill>
                      </w14:textFill>
                    </w:rPr>
                  </w:pPr>
                </w:p>
              </w:tc>
            </w:tr>
          </w:tbl>
          <w:p w14:paraId="27FF3BB9">
            <w:pPr>
              <w:pStyle w:val="37"/>
              <w:rPr>
                <w:rFonts w:hint="default"/>
                <w:color w:val="000000" w:themeColor="text1"/>
                <w:sz w:val="24"/>
                <w:szCs w:val="21"/>
                <w:highlight w:val="none"/>
                <w:lang w:val="en-US" w:eastAsia="zh-CN"/>
                <w14:textFill>
                  <w14:solidFill>
                    <w14:schemeClr w14:val="tx1"/>
                  </w14:solidFill>
                </w14:textFill>
              </w:rPr>
            </w:pPr>
            <w:r>
              <w:rPr>
                <w:rFonts w:hint="default"/>
                <w:color w:val="000000" w:themeColor="text1"/>
                <w:sz w:val="24"/>
                <w:szCs w:val="21"/>
                <w:highlight w:val="none"/>
                <w:lang w:val="en-US" w:eastAsia="zh-CN"/>
                <w14:textFill>
                  <w14:solidFill>
                    <w14:schemeClr w14:val="tx1"/>
                  </w14:solidFill>
                </w14:textFill>
              </w:rPr>
              <w:t>4.2.2 运营期水环境影响及污染防治措施可行性分析</w:t>
            </w:r>
          </w:p>
          <w:p w14:paraId="7E5C1962">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（一）生产废水处理</w:t>
            </w:r>
            <w:r>
              <w:rPr>
                <w:rFonts w:hint="eastAsia" w:cs="宋体"/>
                <w:color w:val="000000" w:themeColor="text1"/>
                <w:sz w:val="24"/>
                <w:szCs w:val="32"/>
                <w:highlight w:val="none"/>
                <w:lang w:val="en-US" w:eastAsia="zh-CN"/>
                <w14:textFill>
                  <w14:solidFill>
                    <w14:schemeClr w14:val="tx1"/>
                  </w14:solidFill>
                </w14:textFill>
              </w:rPr>
              <w:t>措施可行性分析</w:t>
            </w:r>
          </w:p>
          <w:p w14:paraId="42B2A403">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企业污水站包括</w:t>
            </w:r>
            <w:r>
              <w:rPr>
                <w:rFonts w:hint="eastAsia" w:cs="宋体"/>
                <w:color w:val="000000" w:themeColor="text1"/>
                <w:sz w:val="24"/>
                <w:szCs w:val="32"/>
                <w:highlight w:val="none"/>
                <w:lang w:val="en-US" w:eastAsia="zh-CN"/>
                <w14:textFill>
                  <w14:solidFill>
                    <w14:schemeClr w14:val="tx1"/>
                  </w14:solidFill>
                </w14:textFill>
              </w:rPr>
              <w:t>规模为10t/d的</w:t>
            </w:r>
            <w:r>
              <w:rPr>
                <w:rFonts w:hint="eastAsia" w:cs="宋体"/>
                <w:color w:val="000000" w:themeColor="text1"/>
                <w:sz w:val="24"/>
                <w:szCs w:val="32"/>
                <w:highlight w:val="none"/>
                <w14:textFill>
                  <w14:solidFill>
                    <w14:schemeClr w14:val="tx1"/>
                  </w14:solidFill>
                </w14:textFill>
              </w:rPr>
              <w:t>含氟废水处理系统和</w:t>
            </w:r>
            <w:r>
              <w:rPr>
                <w:rFonts w:hint="eastAsia" w:cs="宋体"/>
                <w:color w:val="000000" w:themeColor="text1"/>
                <w:sz w:val="24"/>
                <w:szCs w:val="32"/>
                <w:highlight w:val="none"/>
                <w:lang w:val="en-US" w:eastAsia="zh-CN"/>
                <w14:textFill>
                  <w14:solidFill>
                    <w14:schemeClr w14:val="tx1"/>
                  </w14:solidFill>
                </w14:textFill>
              </w:rPr>
              <w:t>60t/d的</w:t>
            </w:r>
            <w:r>
              <w:rPr>
                <w:rFonts w:hint="eastAsia" w:cs="宋体"/>
                <w:color w:val="000000" w:themeColor="text1"/>
                <w:sz w:val="24"/>
                <w:szCs w:val="32"/>
                <w:highlight w:val="none"/>
                <w14:textFill>
                  <w14:solidFill>
                    <w14:schemeClr w14:val="tx1"/>
                  </w14:solidFill>
                </w14:textFill>
              </w:rPr>
              <w:t>综合废水处理系统。</w:t>
            </w:r>
            <w:r>
              <w:rPr>
                <w:rFonts w:hint="eastAsia"/>
                <w:color w:val="000000" w:themeColor="text1"/>
                <w:sz w:val="24"/>
                <w:szCs w:val="32"/>
                <w:highlight w:val="none"/>
                <w14:textFill>
                  <w14:solidFill>
                    <w14:schemeClr w14:val="tx1"/>
                  </w14:solidFill>
                </w14:textFill>
              </w:rPr>
              <w:t>本项目含氟废水先经预处理后与一般清洗废水、酸碱废水一并排入综合污水处理站处理</w:t>
            </w:r>
            <w:r>
              <w:rPr>
                <w:rFonts w:hint="eastAsia" w:cs="宋体"/>
                <w:color w:val="000000" w:themeColor="text1"/>
                <w:sz w:val="24"/>
                <w:szCs w:val="32"/>
                <w:highlight w:val="none"/>
                <w14:textFill>
                  <w14:solidFill>
                    <w14:schemeClr w14:val="tx1"/>
                  </w14:solidFill>
                </w14:textFill>
              </w:rPr>
              <w:t>。</w:t>
            </w:r>
          </w:p>
          <w:p w14:paraId="705D3926">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（1）含氟废水处理系统</w:t>
            </w:r>
          </w:p>
          <w:p w14:paraId="17349704">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①废水调节池</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含氟废水通过厂区管网首先进入废水调节池，该单元核心功能为水质水量均质调节，通过池体缓冲作用，平衡废水的进水浓度波动与水量冲击，为后续反应池提供稳定的进水条件，避免瞬时流量波动影响加药量冲击后续处理系统。</w:t>
            </w:r>
            <w:r>
              <w:rPr>
                <w:rFonts w:hint="eastAsia" w:cs="宋体"/>
                <w:color w:val="000000" w:themeColor="text1"/>
                <w:sz w:val="24"/>
                <w:szCs w:val="32"/>
                <w:highlight w:val="none"/>
                <w:lang w:val="en-US" w:eastAsia="zh-CN"/>
                <w14:textFill>
                  <w14:solidFill>
                    <w14:schemeClr w14:val="tx1"/>
                  </w14:solidFill>
                </w14:textFill>
              </w:rPr>
              <w:t>同时控制pH7~9，为氟化钙提供最佳沉淀条件。</w:t>
            </w:r>
          </w:p>
          <w:p w14:paraId="27EAB79F">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default" w:cs="宋体"/>
                <w:color w:val="000000" w:themeColor="text1"/>
                <w:sz w:val="24"/>
                <w:szCs w:val="32"/>
                <w:highlight w:val="none"/>
                <w14:textFill>
                  <w14:solidFill>
                    <w14:schemeClr w14:val="tx1"/>
                  </w14:solidFill>
                </w14:textFill>
              </w:rPr>
              <w:t>②</w:t>
            </w:r>
            <w:r>
              <w:rPr>
                <w:rFonts w:hint="eastAsia" w:cs="宋体"/>
                <w:color w:val="000000" w:themeColor="text1"/>
                <w:sz w:val="24"/>
                <w:szCs w:val="32"/>
                <w:highlight w:val="none"/>
                <w14:textFill>
                  <w14:solidFill>
                    <w14:schemeClr w14:val="tx1"/>
                  </w14:solidFill>
                </w14:textFill>
              </w:rPr>
              <w:t>反应池</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调节后的含氟废水进入反应池，投加</w:t>
            </w:r>
            <w:r>
              <w:rPr>
                <w:rFonts w:hint="eastAsia" w:cs="宋体"/>
                <w:color w:val="000000" w:themeColor="text1"/>
                <w:sz w:val="24"/>
                <w:szCs w:val="32"/>
                <w:highlight w:val="none"/>
                <w:lang w:val="en-US" w:eastAsia="zh-CN"/>
                <w14:textFill>
                  <w14:solidFill>
                    <w14:schemeClr w14:val="tx1"/>
                  </w14:solidFill>
                </w14:textFill>
              </w:rPr>
              <w:t>过量</w:t>
            </w:r>
            <w:r>
              <w:rPr>
                <w:rFonts w:hint="eastAsia" w:cs="宋体"/>
                <w:color w:val="000000" w:themeColor="text1"/>
                <w:sz w:val="24"/>
                <w:szCs w:val="32"/>
                <w:highlight w:val="none"/>
                <w14:textFill>
                  <w14:solidFill>
                    <w14:schemeClr w14:val="tx1"/>
                  </w14:solidFill>
                </w14:textFill>
              </w:rPr>
              <w:t>氯化钙作为除氟药剂，通过化学反应生成氟化钙沉淀，</w:t>
            </w:r>
            <w:r>
              <w:rPr>
                <w:rFonts w:hint="eastAsia" w:cs="宋体"/>
                <w:color w:val="000000" w:themeColor="text1"/>
                <w:sz w:val="24"/>
                <w:szCs w:val="32"/>
                <w:highlight w:val="none"/>
                <w:lang w:val="en-US" w:eastAsia="zh-CN"/>
                <w14:textFill>
                  <w14:solidFill>
                    <w14:schemeClr w14:val="tx1"/>
                  </w14:solidFill>
                </w14:textFill>
              </w:rPr>
              <w:t>保证氟离子完全反应，</w:t>
            </w:r>
            <w:r>
              <w:rPr>
                <w:rFonts w:hint="eastAsia" w:cs="宋体"/>
                <w:color w:val="000000" w:themeColor="text1"/>
                <w:sz w:val="24"/>
                <w:szCs w:val="32"/>
                <w:highlight w:val="none"/>
                <w14:textFill>
                  <w14:solidFill>
                    <w14:schemeClr w14:val="tx1"/>
                  </w14:solidFill>
                </w14:textFill>
              </w:rPr>
              <w:t>实现氟离子的高效去除，反应过程通过搅拌保证药剂与废水充分混合，确保除氟反应完全。</w:t>
            </w:r>
          </w:p>
          <w:p w14:paraId="78CA8671">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default" w:cs="宋体"/>
                <w:color w:val="000000" w:themeColor="text1"/>
                <w:sz w:val="24"/>
                <w:szCs w:val="32"/>
                <w:highlight w:val="none"/>
                <w14:textFill>
                  <w14:solidFill>
                    <w14:schemeClr w14:val="tx1"/>
                  </w14:solidFill>
                </w14:textFill>
              </w:rPr>
              <w:t>③</w:t>
            </w:r>
            <w:r>
              <w:rPr>
                <w:rFonts w:hint="eastAsia" w:cs="宋体"/>
                <w:color w:val="000000" w:themeColor="text1"/>
                <w:sz w:val="24"/>
                <w:szCs w:val="32"/>
                <w:highlight w:val="none"/>
                <w14:textFill>
                  <w14:solidFill>
                    <w14:schemeClr w14:val="tx1"/>
                  </w14:solidFill>
                </w14:textFill>
              </w:rPr>
              <w:t>沉淀池</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反应后的含氟泥水混合液进入沉淀池，通过重力沉降作用，将氟化钙污泥与上清液分离：上清液自流进入综合调节池，与其他废水合并处理；沉淀污泥通过污泥管路排入污泥池，进入后续污泥处理系统。</w:t>
            </w:r>
          </w:p>
          <w:p w14:paraId="22D5C58A">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氯化钙与氢氟酸反应生成难溶氟化钙（CaF</w:t>
            </w:r>
            <w:r>
              <w:rPr>
                <w:rFonts w:hint="eastAsia" w:cs="宋体"/>
                <w:color w:val="000000" w:themeColor="text1"/>
                <w:sz w:val="24"/>
                <w:szCs w:val="32"/>
                <w:highlight w:val="none"/>
                <w:vertAlign w:val="subscript"/>
                <w:lang w:val="en-US" w:eastAsia="zh-CN"/>
                <w14:textFill>
                  <w14:solidFill>
                    <w14:schemeClr w14:val="tx1"/>
                  </w14:solidFill>
                </w14:textFill>
              </w:rPr>
              <w:t>2</w:t>
            </w:r>
            <w:r>
              <w:rPr>
                <w:rFonts w:hint="eastAsia" w:cs="宋体"/>
                <w:color w:val="000000" w:themeColor="text1"/>
                <w:sz w:val="24"/>
                <w:szCs w:val="32"/>
                <w:highlight w:val="none"/>
                <w14:textFill>
                  <w14:solidFill>
                    <w14:schemeClr w14:val="tx1"/>
                  </w14:solidFill>
                </w14:textFill>
              </w:rPr>
              <w:t>），是经典的化学沉淀除氟技术，对高浓度含氟废水去除率可达</w:t>
            </w:r>
            <w:r>
              <w:rPr>
                <w:rFonts w:hint="eastAsia" w:cs="宋体"/>
                <w:color w:val="000000" w:themeColor="text1"/>
                <w:sz w:val="24"/>
                <w:szCs w:val="32"/>
                <w:highlight w:val="none"/>
                <w:lang w:val="en-US" w:eastAsia="zh-CN"/>
                <w14:textFill>
                  <w14:solidFill>
                    <w14:schemeClr w14:val="tx1"/>
                  </w14:solidFill>
                </w14:textFill>
              </w:rPr>
              <w:t>90</w:t>
            </w:r>
            <w:r>
              <w:rPr>
                <w:rFonts w:hint="eastAsia" w:cs="宋体"/>
                <w:color w:val="000000" w:themeColor="text1"/>
                <w:sz w:val="24"/>
                <w:szCs w:val="32"/>
                <w:highlight w:val="none"/>
                <w14:textFill>
                  <w14:solidFill>
                    <w14:schemeClr w14:val="tx1"/>
                  </w14:solidFill>
                </w14:textFill>
              </w:rPr>
              <w:t>%以上，能大幅降低后续处理负荷。</w:t>
            </w:r>
            <w:r>
              <w:rPr>
                <w:rFonts w:hint="eastAsia" w:cs="宋体"/>
                <w:color w:val="000000" w:themeColor="text1"/>
                <w:sz w:val="24"/>
                <w:szCs w:val="32"/>
                <w:highlight w:val="none"/>
                <w:lang w:val="en-US" w:eastAsia="zh-CN"/>
                <w14:textFill>
                  <w14:solidFill>
                    <w14:schemeClr w14:val="tx1"/>
                  </w14:solidFill>
                </w14:textFill>
              </w:rPr>
              <w:t>含氟废水单独分流，采用化学沉淀法预处理，符合《电子工业水污染防治可行技术指南》(H1298-2023)。本项目含氟废水产生浓度130mg/L，本次采用调节池+氯化钙反应+沉淀预处理，去除率95%，处理后氟化物浓度6.5mg/L，已满足《电子工业水污染物排放标准》(GB 39731-2020）间接排放标准，经后续综合废水处理系统处理后浓度可进一步降低，因此该处理技术可行。</w:t>
            </w:r>
          </w:p>
          <w:p w14:paraId="5AE3A637">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该股废水量不大，</w:t>
            </w:r>
            <w:r>
              <w:rPr>
                <w:rFonts w:hint="eastAsia" w:cs="宋体"/>
                <w:color w:val="000000" w:themeColor="text1"/>
                <w:sz w:val="24"/>
                <w:szCs w:val="32"/>
                <w:highlight w:val="none"/>
                <w14:textFill>
                  <w14:solidFill>
                    <w14:schemeClr w14:val="tx1"/>
                  </w14:solidFill>
                </w14:textFill>
              </w:rPr>
              <w:t>单独预处理便于精准控制反应pH、药剂投加量，保证除氟稳定性。预处理产生的酸性废水可通过后续pH调节池中和，工艺衔接顺畅。</w:t>
            </w:r>
            <w:r>
              <w:rPr>
                <w:rFonts w:hint="eastAsia" w:cs="宋体"/>
                <w:color w:val="000000" w:themeColor="text1"/>
                <w:sz w:val="24"/>
                <w:szCs w:val="32"/>
                <w:highlight w:val="none"/>
                <w:lang w:val="en-US" w:eastAsia="zh-CN"/>
                <w14:textFill>
                  <w14:solidFill>
                    <w14:schemeClr w14:val="tx1"/>
                  </w14:solidFill>
                </w14:textFill>
              </w:rPr>
              <w:t>本项目含氟废水产生量7.2t/d，本项目</w:t>
            </w:r>
            <w:r>
              <w:rPr>
                <w:rFonts w:hint="eastAsia" w:cs="宋体"/>
                <w:color w:val="000000" w:themeColor="text1"/>
                <w:sz w:val="24"/>
                <w:szCs w:val="32"/>
                <w:highlight w:val="none"/>
                <w14:textFill>
                  <w14:solidFill>
                    <w14:schemeClr w14:val="tx1"/>
                  </w14:solidFill>
                </w14:textFill>
              </w:rPr>
              <w:t>含氟废水</w:t>
            </w:r>
            <w:r>
              <w:rPr>
                <w:rFonts w:hint="eastAsia" w:cs="宋体"/>
                <w:color w:val="000000" w:themeColor="text1"/>
                <w:sz w:val="24"/>
                <w:szCs w:val="32"/>
                <w:highlight w:val="none"/>
                <w:lang w:val="en-US" w:eastAsia="zh-CN"/>
                <w14:textFill>
                  <w14:solidFill>
                    <w14:schemeClr w14:val="tx1"/>
                  </w14:solidFill>
                </w14:textFill>
              </w:rPr>
              <w:t>预</w:t>
            </w:r>
            <w:r>
              <w:rPr>
                <w:rFonts w:hint="eastAsia" w:cs="宋体"/>
                <w:color w:val="000000" w:themeColor="text1"/>
                <w:sz w:val="24"/>
                <w:szCs w:val="32"/>
                <w:highlight w:val="none"/>
                <w14:textFill>
                  <w14:solidFill>
                    <w14:schemeClr w14:val="tx1"/>
                  </w14:solidFill>
                </w14:textFill>
              </w:rPr>
              <w:t>处理系统</w:t>
            </w:r>
            <w:r>
              <w:rPr>
                <w:rFonts w:hint="eastAsia" w:cs="宋体"/>
                <w:color w:val="000000" w:themeColor="text1"/>
                <w:sz w:val="24"/>
                <w:szCs w:val="32"/>
                <w:highlight w:val="none"/>
                <w:lang w:val="en-US" w:eastAsia="zh-CN"/>
                <w14:textFill>
                  <w14:solidFill>
                    <w14:schemeClr w14:val="tx1"/>
                  </w14:solidFill>
                </w14:textFill>
              </w:rPr>
              <w:t>规模为10t/d，可满足本项目含氟废水量的处理。</w:t>
            </w:r>
          </w:p>
          <w:p w14:paraId="6E117CDF">
            <w:pPr>
              <w:spacing w:line="360" w:lineRule="auto"/>
              <w:ind w:firstLine="480" w:firstLineChars="200"/>
              <w:rPr>
                <w:rFonts w:hint="eastAsia" w:eastAsia="宋体"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2</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综合</w:t>
            </w:r>
            <w:r>
              <w:rPr>
                <w:rFonts w:hint="eastAsia" w:cs="宋体"/>
                <w:color w:val="000000" w:themeColor="text1"/>
                <w:sz w:val="24"/>
                <w:szCs w:val="32"/>
                <w:highlight w:val="none"/>
                <w14:textFill>
                  <w14:solidFill>
                    <w14:schemeClr w14:val="tx1"/>
                  </w14:solidFill>
                </w14:textFill>
              </w:rPr>
              <w:t>废水处理系统</w:t>
            </w:r>
          </w:p>
          <w:p w14:paraId="7E886555">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①综合调节池</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其他废水与含氟废水预处理单元的出水共同汇入综合调节池。该单元进一步均质混合两股废水的水质水量，同时调节废水pH值，为后续混凝沉淀单元提供稳定的进水工况，保障后续药剂投加效果。</w:t>
            </w:r>
          </w:p>
          <w:p w14:paraId="1DE12B4E">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default" w:cs="宋体"/>
                <w:color w:val="000000" w:themeColor="text1"/>
                <w:sz w:val="24"/>
                <w:szCs w:val="32"/>
                <w:highlight w:val="none"/>
                <w14:textFill>
                  <w14:solidFill>
                    <w14:schemeClr w14:val="tx1"/>
                  </w14:solidFill>
                </w14:textFill>
              </w:rPr>
              <w:t>②</w:t>
            </w:r>
            <w:r>
              <w:rPr>
                <w:rFonts w:hint="eastAsia" w:cs="宋体"/>
                <w:color w:val="000000" w:themeColor="text1"/>
                <w:sz w:val="24"/>
                <w:szCs w:val="32"/>
                <w:highlight w:val="none"/>
                <w14:textFill>
                  <w14:solidFill>
                    <w14:schemeClr w14:val="tx1"/>
                  </w14:solidFill>
                </w14:textFill>
              </w:rPr>
              <w:t>混凝池1#</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综合调节池出水进入混凝池1#，投加酸/碱、PAC（聚合氯化铝）：通过酸碱调节将废水pH值控制在混凝反应最佳范围，PAC作为混凝剂，通过电中和、吸附架桥作用，使废水中的胶体、悬浮物脱稳凝聚，形成微小絮体。</w:t>
            </w:r>
          </w:p>
          <w:p w14:paraId="5AB96A0D">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default" w:cs="宋体"/>
                <w:color w:val="000000" w:themeColor="text1"/>
                <w:sz w:val="24"/>
                <w:szCs w:val="32"/>
                <w:highlight w:val="none"/>
                <w14:textFill>
                  <w14:solidFill>
                    <w14:schemeClr w14:val="tx1"/>
                  </w14:solidFill>
                </w14:textFill>
              </w:rPr>
              <w:t>③</w:t>
            </w:r>
            <w:r>
              <w:rPr>
                <w:rFonts w:hint="eastAsia" w:cs="宋体"/>
                <w:color w:val="000000" w:themeColor="text1"/>
                <w:sz w:val="24"/>
                <w:szCs w:val="32"/>
                <w:highlight w:val="none"/>
                <w14:textFill>
                  <w14:solidFill>
                    <w14:schemeClr w14:val="tx1"/>
                  </w14:solidFill>
                </w14:textFill>
              </w:rPr>
              <w:t>混凝池2#</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1#混凝池出水进入混凝池2#，投加PAM（聚丙烯酰胺）作为助凝剂，通过高分子链的吸附架桥作用，将微小絮体进一步絮凝为大而密实的矾花，大幅提升后续沉淀效率。</w:t>
            </w:r>
          </w:p>
          <w:p w14:paraId="0AFD9617">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PAC（混凝剂）+PAM（助凝剂）可高效去除悬浮物、胶体及残留氟化物，是工业废水处理的成熟工艺，运行稳定、抗冲击负荷强。</w:t>
            </w:r>
          </w:p>
          <w:p w14:paraId="29F3A25F">
            <w:pPr>
              <w:spacing w:line="360" w:lineRule="auto"/>
              <w:ind w:firstLine="480" w:firstLineChars="200"/>
              <w:rPr>
                <w:rFonts w:hint="eastAsia" w:eastAsia="宋体"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进入混凝</w:t>
            </w:r>
            <w:r>
              <w:rPr>
                <w:rFonts w:hint="eastAsia" w:cs="宋体"/>
                <w:color w:val="000000" w:themeColor="text1"/>
                <w:sz w:val="24"/>
                <w:szCs w:val="32"/>
                <w:highlight w:val="none"/>
                <w:lang w:val="en-US" w:eastAsia="zh-CN"/>
                <w14:textFill>
                  <w14:solidFill>
                    <w14:schemeClr w14:val="tx1"/>
                  </w14:solidFill>
                </w14:textFill>
              </w:rPr>
              <w:t>池</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加入PAC混凝剂的作用是通过它或者它的水解产物的压缩双电层、电性中和、卷带网捕以及吸附桥联等四个方面的作用完成</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然后</w:t>
            </w:r>
            <w:r>
              <w:rPr>
                <w:rFonts w:hint="eastAsia" w:cs="宋体"/>
                <w:color w:val="000000" w:themeColor="text1"/>
                <w:sz w:val="24"/>
                <w:szCs w:val="32"/>
                <w:highlight w:val="none"/>
                <w:lang w:val="en-US" w:eastAsia="zh-CN"/>
                <w14:textFill>
                  <w14:solidFill>
                    <w14:schemeClr w14:val="tx1"/>
                  </w14:solidFill>
                </w14:textFill>
              </w:rPr>
              <w:t>再</w:t>
            </w:r>
            <w:r>
              <w:rPr>
                <w:rFonts w:hint="eastAsia" w:cs="宋体"/>
                <w:color w:val="000000" w:themeColor="text1"/>
                <w:sz w:val="24"/>
                <w:szCs w:val="32"/>
                <w:highlight w:val="none"/>
                <w14:textFill>
                  <w14:solidFill>
                    <w14:schemeClr w14:val="tx1"/>
                  </w14:solidFill>
                </w14:textFill>
              </w:rPr>
              <w:t>加入PAM絮凝剂，能使悬浮物质通过电中和，架桥吸附作用，起絮凝作用：PAM用于絮凝时，与被絮凝物种类表面性质，特别是动电位，</w:t>
            </w:r>
            <w:r>
              <w:rPr>
                <w:rFonts w:hint="eastAsia" w:cs="宋体"/>
                <w:color w:val="000000" w:themeColor="text1"/>
                <w:sz w:val="24"/>
                <w:szCs w:val="32"/>
                <w:highlight w:val="none"/>
                <w:lang w:eastAsia="zh-CN"/>
                <w14:textFill>
                  <w14:solidFill>
                    <w14:schemeClr w14:val="tx1"/>
                  </w14:solidFill>
                </w14:textFill>
              </w:rPr>
              <w:t>黏度</w:t>
            </w:r>
            <w:r>
              <w:rPr>
                <w:rFonts w:hint="eastAsia" w:cs="宋体"/>
                <w:color w:val="000000" w:themeColor="text1"/>
                <w:sz w:val="24"/>
                <w:szCs w:val="32"/>
                <w:highlight w:val="none"/>
                <w14:textFill>
                  <w14:solidFill>
                    <w14:schemeClr w14:val="tx1"/>
                  </w14:solidFill>
                </w14:textFill>
              </w:rPr>
              <w:t>，浊度及悬浮液的pH值有关，颗粒表面的动电位，是颗粒阻聚的原因加入表面电荷相反的PAM，能速动电位降低而凝聚</w:t>
            </w:r>
            <w:r>
              <w:rPr>
                <w:rFonts w:hint="eastAsia" w:cs="宋体"/>
                <w:color w:val="000000" w:themeColor="text1"/>
                <w:sz w:val="24"/>
                <w:szCs w:val="32"/>
                <w:highlight w:val="none"/>
                <w:lang w:val="en-US" w:eastAsia="zh-CN"/>
                <w14:textFill>
                  <w14:solidFill>
                    <w14:schemeClr w14:val="tx1"/>
                  </w14:solidFill>
                </w14:textFill>
              </w:rPr>
              <w:t>。</w:t>
            </w:r>
          </w:p>
          <w:p w14:paraId="08C1FF3A">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④</w:t>
            </w:r>
            <w:r>
              <w:rPr>
                <w:rFonts w:hint="eastAsia" w:cs="宋体"/>
                <w:color w:val="000000" w:themeColor="text1"/>
                <w:sz w:val="24"/>
                <w:szCs w:val="32"/>
                <w:highlight w:val="none"/>
                <w14:textFill>
                  <w14:solidFill>
                    <w14:schemeClr w14:val="tx1"/>
                  </w14:solidFill>
                </w14:textFill>
              </w:rPr>
              <w:t>沉淀池</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混凝后的泥水混合液进入沉淀池，通过重力沉降实现固液分离：上清液自流进入过滤池进行深度处理；沉淀污泥通过污泥管路排入污泥池，进入污泥处理系统。</w:t>
            </w:r>
          </w:p>
          <w:p w14:paraId="0188C1AE">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⑤</w:t>
            </w:r>
            <w:r>
              <w:rPr>
                <w:rFonts w:hint="eastAsia" w:cs="宋体"/>
                <w:color w:val="000000" w:themeColor="text1"/>
                <w:sz w:val="24"/>
                <w:szCs w:val="32"/>
                <w:highlight w:val="none"/>
                <w14:textFill>
                  <w14:solidFill>
                    <w14:schemeClr w14:val="tx1"/>
                  </w14:solidFill>
                </w14:textFill>
              </w:rPr>
              <w:t>深度处理单元</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为了保证出水稳定达标，沉淀池上清液进入过滤池，通过微滤膜的物理截留作用，进一步去除废水中残留的悬浮物、胶体及微量污染物，深度净化水质，确保出水各项指标满足排放标准要求，最终达标外排。</w:t>
            </w:r>
          </w:p>
          <w:p w14:paraId="72BF1A4D">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本项目综合</w:t>
            </w:r>
            <w:r>
              <w:rPr>
                <w:rFonts w:hint="eastAsia" w:cs="宋体"/>
                <w:color w:val="000000" w:themeColor="text1"/>
                <w:sz w:val="24"/>
                <w:szCs w:val="32"/>
                <w:highlight w:val="none"/>
                <w14:textFill>
                  <w14:solidFill>
                    <w14:schemeClr w14:val="tx1"/>
                  </w14:solidFill>
                </w14:textFill>
              </w:rPr>
              <w:t>废水处理系统</w:t>
            </w:r>
            <w:r>
              <w:rPr>
                <w:rFonts w:hint="eastAsia" w:cs="宋体"/>
                <w:color w:val="000000" w:themeColor="text1"/>
                <w:sz w:val="24"/>
                <w:szCs w:val="32"/>
                <w:highlight w:val="none"/>
                <w:lang w:val="en-US" w:eastAsia="zh-CN"/>
                <w14:textFill>
                  <w14:solidFill>
                    <w14:schemeClr w14:val="tx1"/>
                  </w14:solidFill>
                </w14:textFill>
              </w:rPr>
              <w:t>规模60t/d，可满足本项目综合废水量的处理。</w:t>
            </w:r>
          </w:p>
          <w:p w14:paraId="176A61BD">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3</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污泥处理系统</w:t>
            </w:r>
          </w:p>
          <w:p w14:paraId="4E156885">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（四）污泥处理单元</w:t>
            </w:r>
          </w:p>
          <w:p w14:paraId="7777D941">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①污泥池</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含氟废水预处理沉淀池、综合废水沉淀池产生的污泥，以及过滤池反冲洗产生的污泥，全部汇入污泥池，进行污泥浓缩，降低污泥含水率，减少后续处理体积。</w:t>
            </w:r>
          </w:p>
          <w:p w14:paraId="3B7184A9">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default" w:cs="宋体"/>
                <w:color w:val="000000" w:themeColor="text1"/>
                <w:sz w:val="24"/>
                <w:szCs w:val="32"/>
                <w:highlight w:val="none"/>
                <w14:textFill>
                  <w14:solidFill>
                    <w14:schemeClr w14:val="tx1"/>
                  </w14:solidFill>
                </w14:textFill>
              </w:rPr>
              <w:t>②</w:t>
            </w:r>
            <w:r>
              <w:rPr>
                <w:rFonts w:hint="eastAsia" w:cs="宋体"/>
                <w:color w:val="000000" w:themeColor="text1"/>
                <w:sz w:val="24"/>
                <w:szCs w:val="32"/>
                <w:highlight w:val="none"/>
                <w14:textFill>
                  <w14:solidFill>
                    <w14:schemeClr w14:val="tx1"/>
                  </w14:solidFill>
                </w14:textFill>
              </w:rPr>
              <w:t>板框压滤机</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浓缩后的污泥泵入板框压滤机，通过高压压榨实现污泥深度脱水，将污泥含水率降至60%以下，形成泥饼。</w:t>
            </w:r>
          </w:p>
          <w:p w14:paraId="4B670A67">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default" w:cs="宋体"/>
                <w:color w:val="000000" w:themeColor="text1"/>
                <w:sz w:val="24"/>
                <w:szCs w:val="32"/>
                <w:highlight w:val="none"/>
                <w14:textFill>
                  <w14:solidFill>
                    <w14:schemeClr w14:val="tx1"/>
                  </w14:solidFill>
                </w14:textFill>
              </w:rPr>
              <w:t>③</w:t>
            </w:r>
            <w:r>
              <w:rPr>
                <w:rFonts w:hint="eastAsia" w:cs="宋体"/>
                <w:color w:val="000000" w:themeColor="text1"/>
                <w:sz w:val="24"/>
                <w:szCs w:val="32"/>
                <w:highlight w:val="none"/>
                <w14:textFill>
                  <w14:solidFill>
                    <w14:schemeClr w14:val="tx1"/>
                  </w14:solidFill>
                </w14:textFill>
              </w:rPr>
              <w:t>污泥外运</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压滤产生的泥饼定期外运处置；压滤过程产生的滤液回流至综合调节池，重新进入处理系统，避免二次污染；实现全流程污泥闭环处理。</w:t>
            </w:r>
          </w:p>
          <w:p w14:paraId="282E5C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本项目生产废水污水处理工艺流程见下图。</w:t>
            </w:r>
          </w:p>
          <w:p w14:paraId="3DCD6C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drawing>
                <wp:inline distT="0" distB="0" distL="114300" distR="114300">
                  <wp:extent cx="5160010" cy="1830070"/>
                  <wp:effectExtent l="0" t="0" r="2540" b="17780"/>
                  <wp:docPr id="14" name="图片 14" descr="污水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污水处理工艺流程图"/>
                          <pic:cNvPicPr>
                            <a:picLocks noChangeAspect="1"/>
                          </pic:cNvPicPr>
                        </pic:nvPicPr>
                        <pic:blipFill>
                          <a:blip r:embed="rId17"/>
                          <a:stretch>
                            <a:fillRect/>
                          </a:stretch>
                        </pic:blipFill>
                        <pic:spPr>
                          <a:xfrm>
                            <a:off x="0" y="0"/>
                            <a:ext cx="5160010" cy="1830070"/>
                          </a:xfrm>
                          <a:prstGeom prst="rect">
                            <a:avLst/>
                          </a:prstGeom>
                        </pic:spPr>
                      </pic:pic>
                    </a:graphicData>
                  </a:graphic>
                </wp:inline>
              </w:drawing>
            </w:r>
          </w:p>
          <w:p w14:paraId="57EC5919">
            <w:pPr>
              <w:spacing w:line="360" w:lineRule="auto"/>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4.2-1 本项目生产废水污水处理工艺流程图</w:t>
            </w:r>
          </w:p>
          <w:p w14:paraId="5CF26B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二</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生活污水</w:t>
            </w:r>
            <w:r>
              <w:rPr>
                <w:rFonts w:hint="eastAsia" w:cs="宋体"/>
                <w:color w:val="000000" w:themeColor="text1"/>
                <w:sz w:val="24"/>
                <w:szCs w:val="32"/>
                <w:highlight w:val="none"/>
                <w14:textFill>
                  <w14:solidFill>
                    <w14:schemeClr w14:val="tx1"/>
                  </w14:solidFill>
                </w14:textFill>
              </w:rPr>
              <w:t>处理</w:t>
            </w:r>
            <w:r>
              <w:rPr>
                <w:rFonts w:hint="eastAsia" w:cs="宋体"/>
                <w:color w:val="000000" w:themeColor="text1"/>
                <w:sz w:val="24"/>
                <w:szCs w:val="32"/>
                <w:highlight w:val="none"/>
                <w:lang w:val="en-US" w:eastAsia="zh-CN"/>
                <w14:textFill>
                  <w14:solidFill>
                    <w14:schemeClr w14:val="tx1"/>
                  </w14:solidFill>
                </w14:textFill>
              </w:rPr>
              <w:t>措施可行性分析</w:t>
            </w:r>
          </w:p>
          <w:p w14:paraId="2ABCC84B">
            <w:pPr>
              <w:spacing w:line="360" w:lineRule="auto"/>
              <w:ind w:firstLine="480" w:firstLineChars="200"/>
              <w:rPr>
                <w:rFonts w:hint="default" w:cs="宋体"/>
                <w:color w:val="000000" w:themeColor="text1"/>
                <w:sz w:val="24"/>
                <w:szCs w:val="32"/>
                <w:highlight w:val="none"/>
                <w:lang w:val="en-US"/>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项目生活污水经</w:t>
            </w:r>
            <w:r>
              <w:rPr>
                <w:rFonts w:hint="eastAsia" w:cs="宋体"/>
                <w:color w:val="000000" w:themeColor="text1"/>
                <w:sz w:val="24"/>
                <w:szCs w:val="32"/>
                <w:highlight w:val="none"/>
                <w:lang w:val="en-US" w:eastAsia="zh-CN"/>
                <w14:textFill>
                  <w14:solidFill>
                    <w14:schemeClr w14:val="tx1"/>
                  </w14:solidFill>
                </w14:textFill>
              </w:rPr>
              <w:t>隔油+</w:t>
            </w:r>
            <w:r>
              <w:rPr>
                <w:rFonts w:hint="eastAsia" w:cs="宋体"/>
                <w:color w:val="000000" w:themeColor="text1"/>
                <w:sz w:val="24"/>
                <w:szCs w:val="32"/>
                <w:highlight w:val="none"/>
                <w14:textFill>
                  <w14:solidFill>
                    <w14:schemeClr w14:val="tx1"/>
                  </w14:solidFill>
                </w14:textFill>
              </w:rPr>
              <w:t>化粪池预处理后排入市政污水管网，送往</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14:textFill>
                  <w14:solidFill>
                    <w14:schemeClr w14:val="tx1"/>
                  </w14:solidFill>
                </w14:textFill>
              </w:rPr>
              <w:t>集中处理，</w:t>
            </w:r>
            <w:r>
              <w:rPr>
                <w:rFonts w:hint="eastAsia"/>
                <w:color w:val="000000" w:themeColor="text1"/>
                <w:sz w:val="24"/>
                <w:szCs w:val="32"/>
                <w:highlight w:val="none"/>
                <w:lang w:val="en-US" w:eastAsia="zh-CN"/>
                <w14:textFill>
                  <w14:solidFill>
                    <w14:schemeClr w14:val="tx1"/>
                  </w14:solidFill>
                </w14:textFill>
              </w:rPr>
              <w:t>生活污水经隔油+化粪池处理也能满足大学城污水处理厂进水水质标准，处理措施可行。</w:t>
            </w:r>
          </w:p>
          <w:p w14:paraId="386B42FA">
            <w:pPr>
              <w:spacing w:line="360" w:lineRule="auto"/>
              <w:ind w:firstLine="480" w:firstLineChars="200"/>
              <w:rPr>
                <w:rFonts w:hint="default"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（三）处理工艺可行性分析</w:t>
            </w:r>
          </w:p>
          <w:p w14:paraId="0F167FF1">
            <w:pPr>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根据《排污许可证申请与核发技术规范—电子工业》（HJ1031—2019），厂区污水站生产废水处理工艺和生活污水处理工艺属于可行技术，详见下表。</w:t>
            </w:r>
          </w:p>
          <w:p w14:paraId="2892536E">
            <w:pPr>
              <w:spacing w:line="360" w:lineRule="auto"/>
              <w:jc w:val="center"/>
              <w:rPr>
                <w:rFonts w:hint="eastAsia" w:cs="宋体"/>
                <w:b/>
                <w:bCs w:val="0"/>
                <w:color w:val="000000" w:themeColor="text1"/>
                <w:sz w:val="24"/>
                <w:szCs w:val="24"/>
                <w:highlight w:val="none"/>
                <w14:textFill>
                  <w14:solidFill>
                    <w14:schemeClr w14:val="tx1"/>
                  </w14:solidFill>
                </w14:textFill>
              </w:rPr>
            </w:pPr>
          </w:p>
          <w:p w14:paraId="6DB4C91C">
            <w:pPr>
              <w:spacing w:line="360" w:lineRule="auto"/>
              <w:jc w:val="center"/>
              <w:rPr>
                <w:rFonts w:hint="eastAsia" w:cs="宋体"/>
                <w:b/>
                <w:bCs w:val="0"/>
                <w:color w:val="000000" w:themeColor="text1"/>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表</w:t>
            </w:r>
            <w:r>
              <w:rPr>
                <w:rFonts w:hint="eastAsia" w:cs="宋体"/>
                <w:b/>
                <w:bCs w:val="0"/>
                <w:color w:val="000000" w:themeColor="text1"/>
                <w:sz w:val="24"/>
                <w:szCs w:val="24"/>
                <w:highlight w:val="none"/>
                <w:lang w:val="en-US" w:eastAsia="zh-CN"/>
                <w14:textFill>
                  <w14:solidFill>
                    <w14:schemeClr w14:val="tx1"/>
                  </w14:solidFill>
                </w14:textFill>
              </w:rPr>
              <w:t>4</w:t>
            </w:r>
            <w:r>
              <w:rPr>
                <w:rFonts w:hint="eastAsia"/>
                <w:b/>
                <w:bCs w:val="0"/>
                <w:color w:val="000000" w:themeColor="text1"/>
                <w:sz w:val="24"/>
                <w:szCs w:val="24"/>
                <w:highlight w:val="none"/>
                <w:lang w:val="en-US" w:eastAsia="zh-CN"/>
                <w14:textFill>
                  <w14:solidFill>
                    <w14:schemeClr w14:val="tx1"/>
                  </w14:solidFill>
                </w14:textFill>
              </w:rPr>
              <w:t>.2</w:t>
            </w:r>
            <w:r>
              <w:rPr>
                <w:rFonts w:hint="eastAsia" w:cs="宋体"/>
                <w:b/>
                <w:bCs w:val="0"/>
                <w:color w:val="000000" w:themeColor="text1"/>
                <w:sz w:val="24"/>
                <w:szCs w:val="24"/>
                <w:highlight w:val="none"/>
                <w:lang w:val="en-US" w:eastAsia="zh-CN"/>
                <w14:textFill>
                  <w14:solidFill>
                    <w14:schemeClr w14:val="tx1"/>
                  </w14:solidFill>
                </w14:textFill>
              </w:rPr>
              <w:t xml:space="preserve">-3  </w:t>
            </w:r>
            <w:r>
              <w:rPr>
                <w:rFonts w:hint="eastAsia" w:cs="宋体"/>
                <w:b/>
                <w:bCs w:val="0"/>
                <w:color w:val="000000" w:themeColor="text1"/>
                <w:sz w:val="24"/>
                <w:szCs w:val="24"/>
                <w:highlight w:val="none"/>
                <w14:textFill>
                  <w14:solidFill>
                    <w14:schemeClr w14:val="tx1"/>
                  </w14:solidFill>
                </w14:textFill>
              </w:rPr>
              <w:t>酸性废气治理措施可行分析表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225"/>
              <w:gridCol w:w="2038"/>
              <w:gridCol w:w="1828"/>
              <w:gridCol w:w="1929"/>
              <w:gridCol w:w="1100"/>
            </w:tblGrid>
            <w:tr w14:paraId="056B7EE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754" w:type="pct"/>
                  <w:tcBorders>
                    <w:tl2br w:val="nil"/>
                    <w:tr2bl w:val="nil"/>
                  </w:tcBorders>
                  <w:vAlign w:val="center"/>
                </w:tcPr>
                <w:p w14:paraId="4AFF3D27">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废水类别</w:t>
                  </w:r>
                </w:p>
              </w:tc>
              <w:tc>
                <w:tcPr>
                  <w:tcW w:w="1254" w:type="pct"/>
                  <w:tcBorders>
                    <w:tl2br w:val="nil"/>
                    <w:tr2bl w:val="nil"/>
                  </w:tcBorders>
                  <w:vAlign w:val="center"/>
                </w:tcPr>
                <w:p w14:paraId="0DE6C8F8">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125" w:type="pct"/>
                  <w:tcBorders>
                    <w:tl2br w:val="nil"/>
                    <w:tr2bl w:val="nil"/>
                  </w:tcBorders>
                  <w:vAlign w:val="center"/>
                </w:tcPr>
                <w:p w14:paraId="5C8EC050">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可行技术</w:t>
                  </w:r>
                </w:p>
              </w:tc>
              <w:tc>
                <w:tcPr>
                  <w:tcW w:w="1187" w:type="pct"/>
                  <w:tcBorders>
                    <w:tl2br w:val="nil"/>
                    <w:tr2bl w:val="nil"/>
                  </w:tcBorders>
                  <w:vAlign w:val="center"/>
                </w:tcPr>
                <w:p w14:paraId="48C01ED2">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项目实际</w:t>
                  </w:r>
                </w:p>
              </w:tc>
              <w:tc>
                <w:tcPr>
                  <w:tcW w:w="677" w:type="pct"/>
                  <w:tcBorders>
                    <w:tl2br w:val="nil"/>
                    <w:tr2bl w:val="nil"/>
                  </w:tcBorders>
                  <w:vAlign w:val="center"/>
                </w:tcPr>
                <w:p w14:paraId="1BB935BD">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是否可行</w:t>
                  </w:r>
                </w:p>
              </w:tc>
            </w:tr>
            <w:tr w14:paraId="253F2DD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23" w:hRule="atLeast"/>
              </w:trPr>
              <w:tc>
                <w:tcPr>
                  <w:tcW w:w="754" w:type="pct"/>
                  <w:tcBorders>
                    <w:tl2br w:val="nil"/>
                    <w:tr2bl w:val="nil"/>
                  </w:tcBorders>
                  <w:vAlign w:val="center"/>
                </w:tcPr>
                <w:p w14:paraId="746754FB">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含氟废水</w:t>
                  </w:r>
                </w:p>
              </w:tc>
              <w:tc>
                <w:tcPr>
                  <w:tcW w:w="1254" w:type="pct"/>
                  <w:tcBorders>
                    <w:tl2br w:val="nil"/>
                    <w:tr2bl w:val="nil"/>
                  </w:tcBorders>
                  <w:vAlign w:val="center"/>
                </w:tcPr>
                <w:p w14:paraId="7FDA9ABE">
                  <w:pPr>
                    <w:pStyle w:val="11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氟化物</w:t>
                  </w:r>
                </w:p>
              </w:tc>
              <w:tc>
                <w:tcPr>
                  <w:tcW w:w="1125" w:type="pct"/>
                  <w:tcBorders>
                    <w:tl2br w:val="nil"/>
                    <w:tr2bl w:val="nil"/>
                  </w:tcBorders>
                  <w:vAlign w:val="center"/>
                </w:tcPr>
                <w:p w14:paraId="13422C67">
                  <w:pPr>
                    <w:pStyle w:val="1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化学沉淀法、其他</w:t>
                  </w:r>
                </w:p>
              </w:tc>
              <w:tc>
                <w:tcPr>
                  <w:tcW w:w="1187" w:type="pct"/>
                  <w:tcBorders>
                    <w:tl2br w:val="nil"/>
                    <w:tr2bl w:val="nil"/>
                  </w:tcBorders>
                  <w:vAlign w:val="center"/>
                </w:tcPr>
                <w:p w14:paraId="41BDED2C">
                  <w:pPr>
                    <w:pStyle w:val="11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氯化钙化学沉淀</w:t>
                  </w:r>
                  <w:r>
                    <w:rPr>
                      <w:rFonts w:hint="eastAsia"/>
                      <w:color w:val="000000" w:themeColor="text1"/>
                      <w:highlight w:val="none"/>
                      <w:lang w:val="en-US" w:eastAsia="zh-CN"/>
                      <w14:textFill>
                        <w14:solidFill>
                          <w14:schemeClr w14:val="tx1"/>
                        </w14:solidFill>
                      </w14:textFill>
                    </w:rPr>
                    <w:t>法</w:t>
                  </w:r>
                </w:p>
              </w:tc>
              <w:tc>
                <w:tcPr>
                  <w:tcW w:w="677" w:type="pct"/>
                  <w:tcBorders>
                    <w:tl2br w:val="nil"/>
                    <w:tr2bl w:val="nil"/>
                  </w:tcBorders>
                  <w:vAlign w:val="center"/>
                </w:tcPr>
                <w:p w14:paraId="4287A71B">
                  <w:pPr>
                    <w:pStyle w:val="11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是</w:t>
                  </w:r>
                </w:p>
              </w:tc>
            </w:tr>
            <w:tr w14:paraId="20858F3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73" w:hRule="atLeast"/>
              </w:trPr>
              <w:tc>
                <w:tcPr>
                  <w:tcW w:w="754" w:type="pct"/>
                  <w:tcBorders>
                    <w:tl2br w:val="nil"/>
                    <w:tr2bl w:val="nil"/>
                  </w:tcBorders>
                  <w:vAlign w:val="center"/>
                </w:tcPr>
                <w:p w14:paraId="257D4F8D">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综合废水</w:t>
                  </w:r>
                </w:p>
              </w:tc>
              <w:tc>
                <w:tcPr>
                  <w:tcW w:w="1254" w:type="pct"/>
                  <w:tcBorders>
                    <w:tl2br w:val="nil"/>
                    <w:tr2bl w:val="nil"/>
                  </w:tcBorders>
                  <w:vAlign w:val="center"/>
                </w:tcPr>
                <w:p w14:paraId="6123D410">
                  <w:pPr>
                    <w:pStyle w:val="11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化学需氧量、氨氮、氟化物、</w:t>
                  </w:r>
                  <w:r>
                    <w:rPr>
                      <w:rFonts w:hint="eastAsia"/>
                      <w:color w:val="000000" w:themeColor="text1"/>
                      <w:highlight w:val="none"/>
                      <w:lang w:val="en-US" w:eastAsia="zh-CN"/>
                      <w14:textFill>
                        <w14:solidFill>
                          <w14:schemeClr w14:val="tx1"/>
                        </w14:solidFill>
                      </w14:textFill>
                    </w:rPr>
                    <w:t>悬浮物</w:t>
                  </w:r>
                </w:p>
              </w:tc>
              <w:tc>
                <w:tcPr>
                  <w:tcW w:w="1125" w:type="pct"/>
                  <w:tcBorders>
                    <w:tl2br w:val="nil"/>
                    <w:tr2bl w:val="nil"/>
                  </w:tcBorders>
                  <w:vAlign w:val="center"/>
                </w:tcPr>
                <w:p w14:paraId="39926BBD">
                  <w:pPr>
                    <w:pStyle w:val="1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厂内综合污水处理设施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中和调节法、生化法、其他</w:t>
                  </w:r>
                </w:p>
              </w:tc>
              <w:tc>
                <w:tcPr>
                  <w:tcW w:w="1187" w:type="pct"/>
                  <w:tcBorders>
                    <w:tl2br w:val="nil"/>
                    <w:tr2bl w:val="nil"/>
                  </w:tcBorders>
                  <w:vAlign w:val="center"/>
                </w:tcPr>
                <w:p w14:paraId="43CDB83B">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pH调节+混凝池+沉淀池+过滤池</w:t>
                  </w:r>
                </w:p>
              </w:tc>
              <w:tc>
                <w:tcPr>
                  <w:tcW w:w="677" w:type="pct"/>
                  <w:tcBorders>
                    <w:tl2br w:val="nil"/>
                    <w:tr2bl w:val="nil"/>
                  </w:tcBorders>
                  <w:vAlign w:val="center"/>
                </w:tcPr>
                <w:p w14:paraId="08991C06">
                  <w:pPr>
                    <w:pStyle w:val="11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是</w:t>
                  </w:r>
                </w:p>
              </w:tc>
            </w:tr>
            <w:tr w14:paraId="3EDC394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73" w:hRule="atLeast"/>
              </w:trPr>
              <w:tc>
                <w:tcPr>
                  <w:tcW w:w="754" w:type="pct"/>
                  <w:tcBorders>
                    <w:tl2br w:val="nil"/>
                    <w:tr2bl w:val="nil"/>
                  </w:tcBorders>
                  <w:vAlign w:val="center"/>
                </w:tcPr>
                <w:p w14:paraId="27026190">
                  <w:pPr>
                    <w:pStyle w:val="11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生活污水</w:t>
                  </w:r>
                </w:p>
              </w:tc>
              <w:tc>
                <w:tcPr>
                  <w:tcW w:w="1254" w:type="pct"/>
                  <w:tcBorders>
                    <w:tl2br w:val="nil"/>
                    <w:tr2bl w:val="nil"/>
                  </w:tcBorders>
                  <w:vAlign w:val="center"/>
                </w:tcPr>
                <w:p w14:paraId="03B33BBD">
                  <w:pPr>
                    <w:pStyle w:val="11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化学需氧量、氨氮等</w:t>
                  </w:r>
                </w:p>
              </w:tc>
              <w:tc>
                <w:tcPr>
                  <w:tcW w:w="1125" w:type="pct"/>
                  <w:tcBorders>
                    <w:tl2br w:val="nil"/>
                    <w:tr2bl w:val="nil"/>
                  </w:tcBorders>
                  <w:vAlign w:val="center"/>
                </w:tcPr>
                <w:p w14:paraId="2353B872">
                  <w:pPr>
                    <w:pStyle w:val="11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隔油池+化粪池</w:t>
                  </w:r>
                </w:p>
              </w:tc>
              <w:tc>
                <w:tcPr>
                  <w:tcW w:w="1187" w:type="pct"/>
                  <w:tcBorders>
                    <w:tl2br w:val="nil"/>
                    <w:tr2bl w:val="nil"/>
                  </w:tcBorders>
                  <w:vAlign w:val="center"/>
                </w:tcPr>
                <w:p w14:paraId="3CDC4BDD">
                  <w:pPr>
                    <w:pStyle w:val="11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隔油+化粪池</w:t>
                  </w:r>
                </w:p>
              </w:tc>
              <w:tc>
                <w:tcPr>
                  <w:tcW w:w="677" w:type="pct"/>
                  <w:tcBorders>
                    <w:tl2br w:val="nil"/>
                    <w:tr2bl w:val="nil"/>
                  </w:tcBorders>
                  <w:vAlign w:val="center"/>
                </w:tcPr>
                <w:p w14:paraId="4775894C">
                  <w:pPr>
                    <w:pStyle w:val="11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是</w:t>
                  </w:r>
                </w:p>
              </w:tc>
            </w:tr>
          </w:tbl>
          <w:p w14:paraId="6692A18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四</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污水处理厂依托可行性分析</w:t>
            </w:r>
          </w:p>
          <w:p w14:paraId="4C248ADB">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本项目生产废水、生活污水经处理后，均纳入</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14:textFill>
                  <w14:solidFill>
                    <w14:schemeClr w14:val="tx1"/>
                  </w14:solidFill>
                </w14:textFill>
              </w:rPr>
              <w:t>集中处理</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属于间接排放，根据《建设项目环境影响报告表编制技术指南(污染影响类)(试行)》</w:t>
            </w:r>
            <w:r>
              <w:rPr>
                <w:rFonts w:hint="eastAsia" w:cs="宋体"/>
                <w:color w:val="000000" w:themeColor="text1"/>
                <w:sz w:val="24"/>
                <w:szCs w:val="24"/>
                <w:highlight w:val="none"/>
                <w14:textFill>
                  <w14:solidFill>
                    <w14:schemeClr w14:val="tx1"/>
                  </w14:solidFill>
                </w14:textFill>
              </w:rPr>
              <w:t>(环办环评</w:t>
            </w:r>
            <w:r>
              <w:rPr>
                <w:rFonts w:hint="eastAsia"/>
                <w:color w:val="000000" w:themeColor="text1"/>
                <w:sz w:val="24"/>
                <w:szCs w:val="24"/>
                <w:highlight w:val="none"/>
                <w:lang w:eastAsia="zh-CN"/>
                <w14:textFill>
                  <w14:solidFill>
                    <w14:schemeClr w14:val="tx1"/>
                  </w14:solidFill>
                </w14:textFill>
              </w:rPr>
              <w:t>〔20</w:t>
            </w:r>
            <w:r>
              <w:rPr>
                <w:rFonts w:hint="eastAsia"/>
                <w:color w:val="000000" w:themeColor="text1"/>
                <w:sz w:val="24"/>
                <w:szCs w:val="24"/>
                <w:highlight w:val="none"/>
                <w:lang w:val="en-US" w:eastAsia="zh-CN"/>
                <w14:textFill>
                  <w14:solidFill>
                    <w14:schemeClr w14:val="tx1"/>
                  </w14:solidFill>
                </w14:textFill>
              </w:rPr>
              <w:t>20</w:t>
            </w:r>
            <w:r>
              <w:rPr>
                <w:rFonts w:hint="eastAsia"/>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33号)</w:t>
            </w:r>
            <w:r>
              <w:rPr>
                <w:rFonts w:hint="eastAsia" w:cs="宋体"/>
                <w:color w:val="000000" w:themeColor="text1"/>
                <w:sz w:val="24"/>
                <w:szCs w:val="32"/>
                <w:highlight w:val="none"/>
                <w14:textFill>
                  <w14:solidFill>
                    <w14:schemeClr w14:val="tx1"/>
                  </w14:solidFill>
                </w14:textFill>
              </w:rPr>
              <w:t>要求，废水间接排放的建设项目应从处理能力、处理工艺、设计进出水水质等方面，分析依托集中污水处理厂的可行性。</w:t>
            </w:r>
          </w:p>
          <w:p w14:paraId="0778E801">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(1)</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14:textFill>
                  <w14:solidFill>
                    <w14:schemeClr w14:val="tx1"/>
                  </w14:solidFill>
                </w14:textFill>
              </w:rPr>
              <w:t>基本情况</w:t>
            </w:r>
          </w:p>
          <w:p w14:paraId="289EE40D">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①设计进出水水质</w:t>
            </w:r>
          </w:p>
          <w:p w14:paraId="1E2254FA">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根据</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lang w:val="en-US" w:eastAsia="zh-CN"/>
                <w14:textFill>
                  <w14:solidFill>
                    <w14:schemeClr w14:val="tx1"/>
                  </w14:solidFill>
                </w14:textFill>
              </w:rPr>
              <w:t>环评报告可知</w:t>
            </w:r>
            <w:r>
              <w:rPr>
                <w:rFonts w:hint="eastAsia" w:cs="宋体"/>
                <w:color w:val="000000" w:themeColor="text1"/>
                <w:sz w:val="24"/>
                <w:szCs w:val="32"/>
                <w:highlight w:val="none"/>
                <w14:textFill>
                  <w14:solidFill>
                    <w14:schemeClr w14:val="tx1"/>
                  </w14:solidFill>
                </w14:textFill>
              </w:rPr>
              <w:t>，</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14:textFill>
                  <w14:solidFill>
                    <w14:schemeClr w14:val="tx1"/>
                  </w14:solidFill>
                </w14:textFill>
              </w:rPr>
              <w:t>进出水水质见</w:t>
            </w:r>
            <w:r>
              <w:rPr>
                <w:rFonts w:hint="eastAsia" w:cs="宋体"/>
                <w:color w:val="000000" w:themeColor="text1"/>
                <w:sz w:val="24"/>
                <w:szCs w:val="32"/>
                <w:highlight w:val="none"/>
                <w:lang w:val="en-US" w:eastAsia="zh-CN"/>
                <w14:textFill>
                  <w14:solidFill>
                    <w14:schemeClr w14:val="tx1"/>
                  </w14:solidFill>
                </w14:textFill>
              </w:rPr>
              <w:t>下</w:t>
            </w:r>
            <w:r>
              <w:rPr>
                <w:rFonts w:hint="eastAsia" w:cs="宋体"/>
                <w:color w:val="000000" w:themeColor="text1"/>
                <w:sz w:val="24"/>
                <w:szCs w:val="32"/>
                <w:highlight w:val="none"/>
                <w14:textFill>
                  <w14:solidFill>
                    <w14:schemeClr w14:val="tx1"/>
                  </w14:solidFill>
                </w14:textFill>
              </w:rPr>
              <w:t>表。</w:t>
            </w:r>
          </w:p>
          <w:p w14:paraId="08F24955">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表4</w:t>
            </w:r>
            <w:r>
              <w:rPr>
                <w:rFonts w:hint="eastAsia"/>
                <w:b/>
                <w:bCs w:val="0"/>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w:t>
            </w:r>
            <w:r>
              <w:rPr>
                <w:rFonts w:hint="eastAsia" w:eastAsia="宋体" w:cs="宋体"/>
                <w:b/>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w:t>
            </w:r>
            <w:r>
              <w:rPr>
                <w:rFonts w:hint="eastAsia" w:eastAsia="宋体" w:cs="宋体"/>
                <w:b/>
                <w:color w:val="000000" w:themeColor="text1"/>
                <w:kern w:val="2"/>
                <w:sz w:val="24"/>
                <w:szCs w:val="24"/>
                <w:highlight w:val="none"/>
                <w:lang w:val="en-US" w:eastAsia="zh-CN" w:bidi="ar-SA"/>
                <w14:textFill>
                  <w14:solidFill>
                    <w14:schemeClr w14:val="tx1"/>
                  </w14:solidFill>
                </w14:textFill>
              </w:rPr>
              <w:t>污水处理厂</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进出水水质标准(mg/L  pH除外)</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045"/>
              <w:gridCol w:w="543"/>
              <w:gridCol w:w="706"/>
              <w:gridCol w:w="706"/>
              <w:gridCol w:w="580"/>
              <w:gridCol w:w="832"/>
              <w:gridCol w:w="706"/>
              <w:gridCol w:w="712"/>
              <w:gridCol w:w="2290"/>
            </w:tblGrid>
            <w:tr w14:paraId="1FDE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blHeader/>
                <w:jc w:val="center"/>
              </w:trPr>
              <w:tc>
                <w:tcPr>
                  <w:tcW w:w="643" w:type="pct"/>
                  <w:shd w:val="clear" w:color="auto" w:fill="auto"/>
                  <w:vAlign w:val="center"/>
                </w:tcPr>
                <w:p w14:paraId="257D6E6F">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水质指标</w:t>
                  </w:r>
                </w:p>
              </w:tc>
              <w:tc>
                <w:tcPr>
                  <w:tcW w:w="334" w:type="pct"/>
                  <w:shd w:val="clear" w:color="auto" w:fill="auto"/>
                  <w:vAlign w:val="center"/>
                </w:tcPr>
                <w:p w14:paraId="14BF68FE">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pH</w:t>
                  </w:r>
                </w:p>
              </w:tc>
              <w:tc>
                <w:tcPr>
                  <w:tcW w:w="434" w:type="pct"/>
                  <w:shd w:val="clear" w:color="auto" w:fill="auto"/>
                  <w:vAlign w:val="center"/>
                </w:tcPr>
                <w:p w14:paraId="434D23DC">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COD</w:t>
                  </w:r>
                </w:p>
              </w:tc>
              <w:tc>
                <w:tcPr>
                  <w:tcW w:w="434" w:type="pct"/>
                  <w:shd w:val="clear" w:color="auto" w:fill="auto"/>
                  <w:vAlign w:val="center"/>
                </w:tcPr>
                <w:p w14:paraId="32DC16EE">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BOD</w:t>
                  </w:r>
                  <w:r>
                    <w:rPr>
                      <w:rFonts w:hint="eastAsia"/>
                      <w:color w:val="000000" w:themeColor="text1"/>
                      <w:sz w:val="21"/>
                      <w:szCs w:val="21"/>
                      <w:highlight w:val="none"/>
                      <w:vertAlign w:val="subscript"/>
                      <w:lang w:val="en-US" w:eastAsia="zh-CN"/>
                      <w14:textFill>
                        <w14:solidFill>
                          <w14:schemeClr w14:val="tx1"/>
                        </w14:solidFill>
                      </w14:textFill>
                    </w:rPr>
                    <w:t>5</w:t>
                  </w:r>
                </w:p>
              </w:tc>
              <w:tc>
                <w:tcPr>
                  <w:tcW w:w="357" w:type="pct"/>
                  <w:shd w:val="clear" w:color="auto" w:fill="auto"/>
                  <w:vAlign w:val="center"/>
                </w:tcPr>
                <w:p w14:paraId="570857A9">
                  <w:pPr>
                    <w:pStyle w:val="70"/>
                    <w:adjustRightInd/>
                    <w:snapToGrid/>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SS</w:t>
                  </w:r>
                </w:p>
              </w:tc>
              <w:tc>
                <w:tcPr>
                  <w:tcW w:w="512" w:type="pct"/>
                  <w:shd w:val="clear" w:color="auto" w:fill="auto"/>
                  <w:vAlign w:val="center"/>
                </w:tcPr>
                <w:p w14:paraId="7C4DD583">
                  <w:pPr>
                    <w:pStyle w:val="70"/>
                    <w:adjustRightInd/>
                    <w:snapToGrid/>
                    <w:rPr>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NH</w:t>
                  </w:r>
                  <w:r>
                    <w:rPr>
                      <w:rFonts w:hint="eastAsia" w:cs="宋体"/>
                      <w:color w:val="000000" w:themeColor="text1"/>
                      <w:sz w:val="21"/>
                      <w:szCs w:val="21"/>
                      <w:highlight w:val="none"/>
                      <w:vertAlign w:val="subscript"/>
                      <w:lang w:val="en-US" w:eastAsia="zh-CN"/>
                      <w14:textFill>
                        <w14:solidFill>
                          <w14:schemeClr w14:val="tx1"/>
                        </w14:solidFill>
                      </w14:textFill>
                    </w:rPr>
                    <w:t>3</w:t>
                  </w:r>
                  <w:r>
                    <w:rPr>
                      <w:rFonts w:hint="eastAsia" w:cs="宋体"/>
                      <w:color w:val="000000" w:themeColor="text1"/>
                      <w:sz w:val="21"/>
                      <w:szCs w:val="21"/>
                      <w:highlight w:val="none"/>
                      <w:lang w:val="en-US" w:eastAsia="zh-CN"/>
                      <w14:textFill>
                        <w14:solidFill>
                          <w14:schemeClr w14:val="tx1"/>
                        </w14:solidFill>
                      </w14:textFill>
                    </w:rPr>
                    <w:t>-N</w:t>
                  </w:r>
                </w:p>
              </w:tc>
              <w:tc>
                <w:tcPr>
                  <w:tcW w:w="434" w:type="pct"/>
                  <w:shd w:val="clear" w:color="auto" w:fill="auto"/>
                  <w:vAlign w:val="center"/>
                </w:tcPr>
                <w:p w14:paraId="6BE6FB60">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TN</w:t>
                  </w:r>
                </w:p>
              </w:tc>
              <w:tc>
                <w:tcPr>
                  <w:tcW w:w="438" w:type="pct"/>
                  <w:shd w:val="clear" w:color="auto" w:fill="auto"/>
                  <w:vAlign w:val="center"/>
                </w:tcPr>
                <w:p w14:paraId="5D695BAA">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TP</w:t>
                  </w:r>
                </w:p>
              </w:tc>
              <w:tc>
                <w:tcPr>
                  <w:tcW w:w="1410" w:type="pct"/>
                  <w:shd w:val="clear" w:color="auto" w:fill="auto"/>
                  <w:vAlign w:val="center"/>
                </w:tcPr>
                <w:p w14:paraId="6B73C881">
                  <w:pPr>
                    <w:pStyle w:val="70"/>
                    <w:adjustRightInd/>
                    <w:snapToGrid/>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备注</w:t>
                  </w:r>
                </w:p>
              </w:tc>
            </w:tr>
            <w:tr w14:paraId="0591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43" w:type="pct"/>
                  <w:shd w:val="clear" w:color="auto" w:fill="auto"/>
                  <w:vAlign w:val="center"/>
                </w:tcPr>
                <w:p w14:paraId="513DC43D">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进水水质</w:t>
                  </w:r>
                </w:p>
              </w:tc>
              <w:tc>
                <w:tcPr>
                  <w:tcW w:w="334" w:type="pct"/>
                  <w:shd w:val="clear" w:color="auto" w:fill="auto"/>
                  <w:vAlign w:val="center"/>
                </w:tcPr>
                <w:p w14:paraId="0AAFB11F">
                  <w:pPr>
                    <w:pStyle w:val="70"/>
                    <w:adjustRightInd/>
                    <w:snapToGrid/>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434" w:type="pct"/>
                  <w:shd w:val="clear" w:color="auto" w:fill="auto"/>
                  <w:vAlign w:val="center"/>
                </w:tcPr>
                <w:p w14:paraId="0A9F877A">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240</w:t>
                  </w:r>
                </w:p>
              </w:tc>
              <w:tc>
                <w:tcPr>
                  <w:tcW w:w="434" w:type="pct"/>
                  <w:shd w:val="clear" w:color="auto" w:fill="auto"/>
                  <w:vAlign w:val="center"/>
                </w:tcPr>
                <w:p w14:paraId="19E4FF80">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120</w:t>
                  </w:r>
                </w:p>
              </w:tc>
              <w:tc>
                <w:tcPr>
                  <w:tcW w:w="357" w:type="pct"/>
                  <w:shd w:val="clear" w:color="auto" w:fill="auto"/>
                  <w:vAlign w:val="center"/>
                </w:tcPr>
                <w:p w14:paraId="6B6D9D94">
                  <w:pPr>
                    <w:pStyle w:val="70"/>
                    <w:adjustRightInd/>
                    <w:snapToGrid/>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180</w:t>
                  </w:r>
                </w:p>
              </w:tc>
              <w:tc>
                <w:tcPr>
                  <w:tcW w:w="512" w:type="pct"/>
                  <w:shd w:val="clear" w:color="auto" w:fill="auto"/>
                  <w:vAlign w:val="center"/>
                </w:tcPr>
                <w:p w14:paraId="170922BA">
                  <w:pPr>
                    <w:pStyle w:val="70"/>
                    <w:adjustRightInd/>
                    <w:snapToGrid/>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434" w:type="pct"/>
                  <w:shd w:val="clear" w:color="auto" w:fill="auto"/>
                  <w:vAlign w:val="center"/>
                </w:tcPr>
                <w:p w14:paraId="61008EB0">
                  <w:pPr>
                    <w:pStyle w:val="70"/>
                    <w:adjustRightInd/>
                    <w:snapToGrid/>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p>
              </w:tc>
              <w:tc>
                <w:tcPr>
                  <w:tcW w:w="438" w:type="pct"/>
                  <w:shd w:val="clear" w:color="auto" w:fill="auto"/>
                  <w:vAlign w:val="center"/>
                </w:tcPr>
                <w:p w14:paraId="3CF52F1D">
                  <w:pPr>
                    <w:pStyle w:val="70"/>
                    <w:adjustRightInd/>
                    <w:snapToGrid/>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410" w:type="pct"/>
                  <w:shd w:val="clear" w:color="auto" w:fill="auto"/>
                  <w:vAlign w:val="center"/>
                </w:tcPr>
                <w:p w14:paraId="56CB14D2">
                  <w:pPr>
                    <w:pStyle w:val="70"/>
                    <w:adjustRightInd/>
                    <w:snapToGrid/>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1552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43" w:type="pct"/>
                  <w:shd w:val="clear" w:color="auto" w:fill="auto"/>
                  <w:vAlign w:val="center"/>
                </w:tcPr>
                <w:p w14:paraId="38CA8ABD">
                  <w:pPr>
                    <w:pStyle w:val="70"/>
                    <w:adjustRightInd/>
                    <w:snapToGrid/>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出水水质</w:t>
                  </w:r>
                </w:p>
              </w:tc>
              <w:tc>
                <w:tcPr>
                  <w:tcW w:w="334" w:type="pct"/>
                  <w:shd w:val="clear" w:color="auto" w:fill="auto"/>
                  <w:vAlign w:val="center"/>
                </w:tcPr>
                <w:p w14:paraId="4BE43732">
                  <w:pPr>
                    <w:pStyle w:val="70"/>
                    <w:adjustRightInd/>
                    <w:snapToGrid/>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434" w:type="pct"/>
                  <w:shd w:val="clear" w:color="auto" w:fill="auto"/>
                  <w:vAlign w:val="center"/>
                </w:tcPr>
                <w:p w14:paraId="7CA71795">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434" w:type="pct"/>
                  <w:shd w:val="clear" w:color="auto" w:fill="auto"/>
                  <w:vAlign w:val="center"/>
                </w:tcPr>
                <w:p w14:paraId="219BCC82">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357" w:type="pct"/>
                  <w:shd w:val="clear" w:color="auto" w:fill="auto"/>
                  <w:vAlign w:val="center"/>
                </w:tcPr>
                <w:p w14:paraId="551A2E68">
                  <w:pPr>
                    <w:pStyle w:val="70"/>
                    <w:adjustRightInd/>
                    <w:snapToGrid/>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512" w:type="pct"/>
                  <w:shd w:val="clear" w:color="auto" w:fill="auto"/>
                  <w:vAlign w:val="center"/>
                </w:tcPr>
                <w:p w14:paraId="50EE3D0E">
                  <w:pPr>
                    <w:pStyle w:val="70"/>
                    <w:adjustRightInd/>
                    <w:snapToGrid/>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434" w:type="pct"/>
                  <w:shd w:val="clear" w:color="auto" w:fill="auto"/>
                  <w:vAlign w:val="center"/>
                </w:tcPr>
                <w:p w14:paraId="1756CA4B">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438" w:type="pct"/>
                  <w:shd w:val="clear" w:color="auto" w:fill="auto"/>
                  <w:vAlign w:val="center"/>
                </w:tcPr>
                <w:p w14:paraId="657574B7">
                  <w:pPr>
                    <w:pStyle w:val="70"/>
                    <w:adjustRightInd/>
                    <w:snapToGrid/>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c>
                <w:tcPr>
                  <w:tcW w:w="1410" w:type="pct"/>
                  <w:shd w:val="clear" w:color="auto" w:fill="auto"/>
                  <w:vAlign w:val="center"/>
                </w:tcPr>
                <w:p w14:paraId="29131775">
                  <w:pPr>
                    <w:pStyle w:val="70"/>
                    <w:adjustRightInd/>
                    <w:snapToGrid/>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《城镇污水处理厂污染物排放标准》(GB18918-2002)及其修改单表1中一级</w:t>
                  </w:r>
                  <w:r>
                    <w:rPr>
                      <w:rFonts w:hint="eastAsia"/>
                      <w:color w:val="000000" w:themeColor="text1"/>
                      <w:sz w:val="21"/>
                      <w:szCs w:val="21"/>
                      <w:highlight w:val="none"/>
                      <w:lang w:val="en-US" w:eastAsia="zh-CN"/>
                      <w14:textFill>
                        <w14:solidFill>
                          <w14:schemeClr w14:val="tx1"/>
                        </w14:solidFill>
                      </w14:textFill>
                    </w:rPr>
                    <w:t>A</w:t>
                  </w:r>
                  <w:r>
                    <w:rPr>
                      <w:rFonts w:hint="eastAsia"/>
                      <w:color w:val="000000" w:themeColor="text1"/>
                      <w:sz w:val="21"/>
                      <w:szCs w:val="21"/>
                      <w:highlight w:val="none"/>
                      <w14:textFill>
                        <w14:solidFill>
                          <w14:schemeClr w14:val="tx1"/>
                        </w14:solidFill>
                      </w14:textFill>
                    </w:rPr>
                    <w:t>标准</w:t>
                  </w:r>
                </w:p>
              </w:tc>
            </w:tr>
          </w:tbl>
          <w:p w14:paraId="16FFD463">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②处理工艺</w:t>
            </w:r>
          </w:p>
          <w:p w14:paraId="2F18A4C7">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大学城污水处理厂采用CASS工艺（循环式活性污泥法），污水处理工艺流程详见</w:t>
            </w:r>
            <w:r>
              <w:rPr>
                <w:rFonts w:hint="eastAsia" w:cs="宋体"/>
                <w:color w:val="000000" w:themeColor="text1"/>
                <w:sz w:val="24"/>
                <w:szCs w:val="32"/>
                <w:highlight w:val="none"/>
                <w:lang w:val="en-US" w:eastAsia="zh-CN"/>
                <w14:textFill>
                  <w14:solidFill>
                    <w14:schemeClr w14:val="tx1"/>
                  </w14:solidFill>
                </w14:textFill>
              </w:rPr>
              <w:t>下</w:t>
            </w:r>
            <w:r>
              <w:rPr>
                <w:rFonts w:hint="eastAsia" w:cs="宋体"/>
                <w:color w:val="000000" w:themeColor="text1"/>
                <w:sz w:val="24"/>
                <w:szCs w:val="32"/>
                <w:highlight w:val="none"/>
                <w14:textFill>
                  <w14:solidFill>
                    <w14:schemeClr w14:val="tx1"/>
                  </w14:solidFill>
                </w14:textFill>
              </w:rPr>
              <w:t>图。</w:t>
            </w:r>
          </w:p>
          <w:p w14:paraId="24603EC6">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161915" cy="2094230"/>
                  <wp:effectExtent l="0" t="0" r="635"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8"/>
                          <a:stretch>
                            <a:fillRect/>
                          </a:stretch>
                        </pic:blipFill>
                        <pic:spPr>
                          <a:xfrm>
                            <a:off x="0" y="0"/>
                            <a:ext cx="5161915" cy="2094230"/>
                          </a:xfrm>
                          <a:prstGeom prst="rect">
                            <a:avLst/>
                          </a:prstGeom>
                          <a:noFill/>
                          <a:ln>
                            <a:noFill/>
                          </a:ln>
                        </pic:spPr>
                      </pic:pic>
                    </a:graphicData>
                  </a:graphic>
                </wp:inline>
              </w:drawing>
            </w:r>
          </w:p>
          <w:p w14:paraId="26DF7AEA">
            <w:pPr>
              <w:spacing w:line="360" w:lineRule="auto"/>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4.2-2 污水处理厂处理工艺流程图</w:t>
            </w:r>
          </w:p>
          <w:p w14:paraId="3F7AE7DF">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(2)依托可行性分析</w:t>
            </w:r>
          </w:p>
          <w:p w14:paraId="60417919">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①接管可行性</w:t>
            </w:r>
          </w:p>
          <w:p w14:paraId="21B4F6E2">
            <w:pPr>
              <w:spacing w:line="360" w:lineRule="auto"/>
              <w:ind w:firstLine="480" w:firstLineChars="200"/>
              <w:rPr>
                <w:rFonts w:hint="default"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大学城污水处理厂现状规模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.0万m³/d，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服务范围包括上街镇、大学城、南屿片区，包括本项目所在的福州市生物医药和机电产业园</w:t>
            </w:r>
            <w:r>
              <w:rPr>
                <w:rFonts w:hint="eastAsia" w:cs="Times New Roman"/>
                <w:color w:val="000000" w:themeColor="text1"/>
                <w:sz w:val="24"/>
                <w:szCs w:val="24"/>
                <w:highlight w:val="none"/>
                <w:lang w:val="en-US" w:eastAsia="zh-CN"/>
                <w14:textFill>
                  <w14:solidFill>
                    <w14:schemeClr w14:val="tx1"/>
                  </w14:solidFill>
                </w14:textFill>
              </w:rPr>
              <w:t>，主要</w:t>
            </w:r>
            <w:r>
              <w:rPr>
                <w:rFonts w:hint="eastAsia" w:cs="宋体"/>
                <w:color w:val="000000" w:themeColor="text1"/>
                <w:sz w:val="24"/>
                <w:szCs w:val="32"/>
                <w:highlight w:val="none"/>
                <w14:textFill>
                  <w14:solidFill>
                    <w14:schemeClr w14:val="tx1"/>
                  </w14:solidFill>
                </w14:textFill>
              </w:rPr>
              <w:t>收集和处理</w:t>
            </w:r>
            <w:r>
              <w:rPr>
                <w:rFonts w:hint="eastAsia" w:cs="宋体"/>
                <w:color w:val="000000" w:themeColor="text1"/>
                <w:sz w:val="24"/>
                <w:szCs w:val="32"/>
                <w:highlight w:val="none"/>
                <w:lang w:val="en-US" w:eastAsia="zh-CN"/>
                <w14:textFill>
                  <w14:solidFill>
                    <w14:schemeClr w14:val="tx1"/>
                  </w14:solidFill>
                </w14:textFill>
              </w:rPr>
              <w:t>服务范围内的居民和企业员工的办公生活污水，以及工业园区的企业生产废水。生产废水污染物类型为易控、可控型，不涉及重金属等一类污染物。</w:t>
            </w:r>
          </w:p>
          <w:p w14:paraId="7D915693">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根据现场勘查，项目市政管网已经铺设至项目所在地</w:t>
            </w:r>
            <w:r>
              <w:rPr>
                <w:rFonts w:hint="eastAsia" w:cs="宋体"/>
                <w:color w:val="000000" w:themeColor="text1"/>
                <w:sz w:val="24"/>
                <w:szCs w:val="32"/>
                <w:highlight w:val="none"/>
                <w:lang w:eastAsia="zh-CN"/>
                <w14:textFill>
                  <w14:solidFill>
                    <w14:schemeClr w14:val="tx1"/>
                  </w14:solidFill>
                </w14:textFill>
              </w:rPr>
              <w:t>，项目污水可从项目南侧3号路管网接入福州大学城污水处理厂处理</w:t>
            </w:r>
            <w:r>
              <w:rPr>
                <w:rFonts w:hint="eastAsia" w:cs="宋体"/>
                <w:color w:val="000000" w:themeColor="text1"/>
                <w:sz w:val="24"/>
                <w:szCs w:val="32"/>
                <w:highlight w:val="none"/>
                <w14:textFill>
                  <w14:solidFill>
                    <w14:schemeClr w14:val="tx1"/>
                  </w14:solidFill>
                </w14:textFill>
              </w:rPr>
              <w:t>。</w:t>
            </w:r>
          </w:p>
          <w:p w14:paraId="4B69F35B">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②水质负荷</w:t>
            </w:r>
          </w:p>
          <w:p w14:paraId="03ECAD98">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根据本次评价测算，生产废水经处理后，</w:t>
            </w:r>
            <w:r>
              <w:rPr>
                <w:rFonts w:hint="eastAsia"/>
                <w:color w:val="000000" w:themeColor="text1"/>
                <w:sz w:val="24"/>
                <w:szCs w:val="32"/>
                <w:highlight w:val="none"/>
                <w:lang w:val="en-US" w:eastAsia="zh-CN"/>
                <w14:textFill>
                  <w14:solidFill>
                    <w14:schemeClr w14:val="tx1"/>
                  </w14:solidFill>
                </w14:textFill>
              </w:rPr>
              <w:t>浓度满足《电子工业水污染物排放标准》（GB 39731-2020）间接排放标准，也满足大学城污水处理厂进水水质标准；</w:t>
            </w:r>
            <w:r>
              <w:rPr>
                <w:rFonts w:hint="eastAsia" w:cs="宋体"/>
                <w:color w:val="000000" w:themeColor="text1"/>
                <w:sz w:val="24"/>
                <w:szCs w:val="32"/>
                <w:highlight w:val="none"/>
                <w:lang w:val="en-US" w:eastAsia="zh-CN"/>
                <w14:textFill>
                  <w14:solidFill>
                    <w14:schemeClr w14:val="tx1"/>
                  </w14:solidFill>
                </w14:textFill>
              </w:rPr>
              <w:t>生活污水经处理后的浓度</w:t>
            </w:r>
            <w:r>
              <w:rPr>
                <w:rFonts w:hint="eastAsia"/>
                <w:color w:val="000000" w:themeColor="text1"/>
                <w:sz w:val="24"/>
                <w:szCs w:val="32"/>
                <w:highlight w:val="none"/>
                <w:lang w:val="en-US" w:eastAsia="zh-CN"/>
                <w14:textFill>
                  <w14:solidFill>
                    <w14:schemeClr w14:val="tx1"/>
                  </w14:solidFill>
                </w14:textFill>
              </w:rPr>
              <w:t>也满足大学城污水处理厂进水水质标准。</w:t>
            </w:r>
          </w:p>
          <w:p w14:paraId="008BA821">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项目</w:t>
            </w:r>
            <w:r>
              <w:rPr>
                <w:rFonts w:hint="eastAsia" w:cs="宋体"/>
                <w:color w:val="000000" w:themeColor="text1"/>
                <w:sz w:val="24"/>
                <w:szCs w:val="32"/>
                <w:highlight w:val="none"/>
                <w:lang w:val="en-US" w:eastAsia="zh-CN"/>
                <w14:textFill>
                  <w14:solidFill>
                    <w14:schemeClr w14:val="tx1"/>
                  </w14:solidFill>
                </w14:textFill>
              </w:rPr>
              <w:t>生产废水污染物类型为易控、可控型，不涉及重金属等一类污染物，</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14:textFill>
                  <w14:solidFill>
                    <w14:schemeClr w14:val="tx1"/>
                  </w14:solidFill>
                </w14:textFill>
              </w:rPr>
              <w:t>可接纳项目污水水质，不会对</w:t>
            </w:r>
            <w:r>
              <w:rPr>
                <w:rFonts w:hint="eastAsia" w:cs="宋体"/>
                <w:color w:val="000000" w:themeColor="text1"/>
                <w:sz w:val="24"/>
                <w:szCs w:val="32"/>
                <w:highlight w:val="none"/>
                <w:lang w:eastAsia="zh-CN"/>
                <w14:textFill>
                  <w14:solidFill>
                    <w14:schemeClr w14:val="tx1"/>
                  </w14:solidFill>
                </w14:textFill>
              </w:rPr>
              <w:t>污水处理厂</w:t>
            </w:r>
            <w:r>
              <w:rPr>
                <w:rFonts w:hint="eastAsia" w:cs="宋体"/>
                <w:color w:val="000000" w:themeColor="text1"/>
                <w:sz w:val="24"/>
                <w:szCs w:val="32"/>
                <w:highlight w:val="none"/>
                <w14:textFill>
                  <w14:solidFill>
                    <w14:schemeClr w14:val="tx1"/>
                  </w14:solidFill>
                </w14:textFill>
              </w:rPr>
              <w:t>水质负荷造成冲击。</w:t>
            </w:r>
          </w:p>
          <w:p w14:paraId="46F5B9EA">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③水量负荷</w:t>
            </w:r>
          </w:p>
          <w:p w14:paraId="4533CC33">
            <w:pPr>
              <w:spacing w:line="360" w:lineRule="auto"/>
              <w:ind w:firstLine="480" w:firstLineChars="200"/>
              <w:rPr>
                <w:rFonts w:hint="default" w:eastAsia="宋体" w:cs="宋体"/>
                <w:color w:val="000000" w:themeColor="text1"/>
                <w:sz w:val="24"/>
                <w:szCs w:val="32"/>
                <w:highlight w:val="none"/>
                <w:lang w:val="en-US" w:eastAsia="zh-CN"/>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根据调查，目前</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14:textFill>
                  <w14:solidFill>
                    <w14:schemeClr w14:val="tx1"/>
                  </w14:solidFill>
                </w14:textFill>
              </w:rPr>
              <w:t>现状总处理规模</w:t>
            </w:r>
            <w:r>
              <w:rPr>
                <w:rFonts w:hint="eastAsia" w:cs="宋体"/>
                <w:color w:val="000000" w:themeColor="text1"/>
                <w:sz w:val="24"/>
                <w:szCs w:val="32"/>
                <w:highlight w:val="none"/>
                <w:lang w:val="en-US" w:eastAsia="zh-CN"/>
                <w14:textFill>
                  <w14:solidFill>
                    <w14:schemeClr w14:val="tx1"/>
                  </w14:solidFill>
                </w14:textFill>
              </w:rPr>
              <w:t>12万</w:t>
            </w:r>
            <w:r>
              <w:rPr>
                <w:rFonts w:hint="eastAsia" w:cs="宋体"/>
                <w:color w:val="000000" w:themeColor="text1"/>
                <w:sz w:val="24"/>
                <w:szCs w:val="32"/>
                <w:highlight w:val="none"/>
                <w14:textFill>
                  <w14:solidFill>
                    <w14:schemeClr w14:val="tx1"/>
                  </w14:solidFill>
                </w14:textFill>
              </w:rPr>
              <w:t>t/d</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目前该污水处理厂实际处理规模</w:t>
            </w:r>
            <w:r>
              <w:rPr>
                <w:rFonts w:hint="eastAsia" w:cs="宋体"/>
                <w:color w:val="000000" w:themeColor="text1"/>
                <w:sz w:val="24"/>
                <w:szCs w:val="32"/>
                <w:highlight w:val="none"/>
                <w:lang w:val="en-US" w:eastAsia="zh-CN"/>
                <w14:textFill>
                  <w14:solidFill>
                    <w14:schemeClr w14:val="tx1"/>
                  </w14:solidFill>
                </w14:textFill>
              </w:rPr>
              <w:t>约</w:t>
            </w:r>
            <w:r>
              <w:rPr>
                <w:rFonts w:hint="eastAsia" w:cs="宋体"/>
                <w:color w:val="000000" w:themeColor="text1"/>
                <w:sz w:val="24"/>
                <w:szCs w:val="32"/>
                <w:highlight w:val="none"/>
                <w14:textFill>
                  <w14:solidFill>
                    <w14:schemeClr w14:val="tx1"/>
                  </w14:solidFill>
                </w14:textFill>
              </w:rPr>
              <w:t>为</w:t>
            </w:r>
            <w:r>
              <w:rPr>
                <w:rFonts w:hint="eastAsia" w:cs="宋体"/>
                <w:color w:val="000000" w:themeColor="text1"/>
                <w:sz w:val="24"/>
                <w:szCs w:val="32"/>
                <w:highlight w:val="none"/>
                <w:lang w:val="en-US" w:eastAsia="zh-CN"/>
                <w14:textFill>
                  <w14:solidFill>
                    <w14:schemeClr w14:val="tx1"/>
                  </w14:solidFill>
                </w14:textFill>
              </w:rPr>
              <w:t>11</w:t>
            </w:r>
            <w:r>
              <w:rPr>
                <w:rFonts w:hint="eastAsia" w:cs="宋体"/>
                <w:color w:val="000000" w:themeColor="text1"/>
                <w:sz w:val="24"/>
                <w:szCs w:val="32"/>
                <w:highlight w:val="none"/>
                <w14:textFill>
                  <w14:solidFill>
                    <w14:schemeClr w14:val="tx1"/>
                  </w14:solidFill>
                </w14:textFill>
              </w:rPr>
              <w:t>万t/d</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剩余处理规模</w:t>
            </w:r>
            <w:r>
              <w:rPr>
                <w:rFonts w:hint="eastAsia" w:cs="宋体"/>
                <w:color w:val="000000" w:themeColor="text1"/>
                <w:sz w:val="24"/>
                <w:szCs w:val="32"/>
                <w:highlight w:val="none"/>
                <w:lang w:val="en-US" w:eastAsia="zh-CN"/>
                <w14:textFill>
                  <w14:solidFill>
                    <w14:schemeClr w14:val="tx1"/>
                  </w14:solidFill>
                </w14:textFill>
              </w:rPr>
              <w:t>1</w:t>
            </w:r>
            <w:r>
              <w:rPr>
                <w:rFonts w:hint="eastAsia" w:cs="宋体"/>
                <w:color w:val="000000" w:themeColor="text1"/>
                <w:sz w:val="24"/>
                <w:szCs w:val="32"/>
                <w:highlight w:val="none"/>
                <w14:textFill>
                  <w14:solidFill>
                    <w14:schemeClr w14:val="tx1"/>
                  </w14:solidFill>
                </w14:textFill>
              </w:rPr>
              <w:t>万t/d</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项目</w:t>
            </w:r>
            <w:r>
              <w:rPr>
                <w:rFonts w:hint="eastAsia" w:cs="宋体"/>
                <w:color w:val="000000" w:themeColor="text1"/>
                <w:sz w:val="24"/>
                <w:szCs w:val="32"/>
                <w:highlight w:val="none"/>
                <w:lang w:val="en-US" w:eastAsia="zh-CN"/>
                <w14:textFill>
                  <w14:solidFill>
                    <w14:schemeClr w14:val="tx1"/>
                  </w14:solidFill>
                </w14:textFill>
              </w:rPr>
              <w:t>新增生产废水排放量33.84</w:t>
            </w:r>
            <w:r>
              <w:rPr>
                <w:rFonts w:hint="eastAsia" w:cs="宋体"/>
                <w:color w:val="000000" w:themeColor="text1"/>
                <w:sz w:val="24"/>
                <w:szCs w:val="32"/>
                <w:highlight w:val="none"/>
                <w14:textFill>
                  <w14:solidFill>
                    <w14:schemeClr w14:val="tx1"/>
                  </w14:solidFill>
                </w14:textFill>
              </w:rPr>
              <w:t>t/d</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生活污水排放量</w:t>
            </w:r>
            <w:r>
              <w:rPr>
                <w:rFonts w:hint="eastAsia"/>
                <w:color w:val="000000" w:themeColor="text1"/>
                <w:sz w:val="24"/>
                <w:szCs w:val="32"/>
                <w:highlight w:val="none"/>
                <w:lang w:val="en-US" w:eastAsia="zh-CN"/>
                <w14:textFill>
                  <w14:solidFill>
                    <w14:schemeClr w14:val="tx1"/>
                  </w14:solidFill>
                </w14:textFill>
              </w:rPr>
              <w:t>7.5t/d，合计41.34t/d</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仅占</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14:textFill>
                  <w14:solidFill>
                    <w14:schemeClr w14:val="tx1"/>
                  </w14:solidFill>
                </w14:textFill>
              </w:rPr>
              <w:t>剩余处理规模的0.</w:t>
            </w:r>
            <w:r>
              <w:rPr>
                <w:rFonts w:hint="eastAsia" w:cs="宋体"/>
                <w:color w:val="000000" w:themeColor="text1"/>
                <w:sz w:val="24"/>
                <w:szCs w:val="32"/>
                <w:highlight w:val="none"/>
                <w:lang w:val="en-US" w:eastAsia="zh-CN"/>
                <w14:textFill>
                  <w14:solidFill>
                    <w14:schemeClr w14:val="tx1"/>
                  </w14:solidFill>
                </w14:textFill>
              </w:rPr>
              <w:t>41</w:t>
            </w:r>
            <w:r>
              <w:rPr>
                <w:rFonts w:hint="eastAsia" w:cs="宋体"/>
                <w:color w:val="000000" w:themeColor="text1"/>
                <w:sz w:val="24"/>
                <w:szCs w:val="32"/>
                <w:highlight w:val="none"/>
                <w14:textFill>
                  <w14:solidFill>
                    <w14:schemeClr w14:val="tx1"/>
                  </w14:solidFill>
                </w14:textFill>
              </w:rPr>
              <w:t>%，因此，从处理能力分析，</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14:textFill>
                  <w14:solidFill>
                    <w14:schemeClr w14:val="tx1"/>
                  </w14:solidFill>
                </w14:textFill>
              </w:rPr>
              <w:t>可接纳项目废水排放量，不会对</w:t>
            </w:r>
            <w:r>
              <w:rPr>
                <w:rFonts w:hint="eastAsia" w:cs="宋体"/>
                <w:color w:val="000000" w:themeColor="text1"/>
                <w:sz w:val="24"/>
                <w:szCs w:val="32"/>
                <w:highlight w:val="none"/>
                <w:lang w:eastAsia="zh-CN"/>
                <w14:textFill>
                  <w14:solidFill>
                    <w14:schemeClr w14:val="tx1"/>
                  </w14:solidFill>
                </w14:textFill>
              </w:rPr>
              <w:t>污水处理厂</w:t>
            </w:r>
            <w:r>
              <w:rPr>
                <w:rFonts w:hint="eastAsia" w:cs="宋体"/>
                <w:color w:val="000000" w:themeColor="text1"/>
                <w:sz w:val="24"/>
                <w:szCs w:val="32"/>
                <w:highlight w:val="none"/>
                <w14:textFill>
                  <w14:solidFill>
                    <w14:schemeClr w14:val="tx1"/>
                  </w14:solidFill>
                </w14:textFill>
              </w:rPr>
              <w:t>水量负荷造成冲击。</w:t>
            </w:r>
            <w:r>
              <w:rPr>
                <w:rFonts w:hint="eastAsia" w:cs="宋体"/>
                <w:color w:val="000000" w:themeColor="text1"/>
                <w:sz w:val="24"/>
                <w:szCs w:val="32"/>
                <w:highlight w:val="none"/>
                <w:lang w:val="en-US" w:eastAsia="zh-CN"/>
                <w14:textFill>
                  <w14:solidFill>
                    <w14:schemeClr w14:val="tx1"/>
                  </w14:solidFill>
                </w14:textFill>
              </w:rPr>
              <w:t>且</w:t>
            </w:r>
            <w:r>
              <w:rPr>
                <w:rFonts w:hint="eastAsia" w:cs="宋体"/>
                <w:color w:val="000000" w:themeColor="text1"/>
                <w:sz w:val="24"/>
                <w:szCs w:val="32"/>
                <w:highlight w:val="none"/>
                <w:lang w:eastAsia="zh-CN"/>
                <w14:textFill>
                  <w14:solidFill>
                    <w14:schemeClr w14:val="tx1"/>
                  </w14:solidFill>
                </w14:textFill>
              </w:rPr>
              <w:t>《福州市闽侯县大学城污水处理厂四期工程(厂内工程第一阶段)项目</w:t>
            </w:r>
            <w:r>
              <w:rPr>
                <w:rFonts w:hint="eastAsia" w:cs="宋体"/>
                <w:color w:val="000000" w:themeColor="text1"/>
                <w:sz w:val="24"/>
                <w:szCs w:val="32"/>
                <w:highlight w:val="none"/>
                <w:lang w:val="en-US" w:eastAsia="zh-CN"/>
                <w14:textFill>
                  <w14:solidFill>
                    <w14:schemeClr w14:val="tx1"/>
                  </w14:solidFill>
                </w14:textFill>
              </w:rPr>
              <w:t>环境影响报告表</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lang w:val="en-US" w:eastAsia="zh-CN"/>
                <w14:textFill>
                  <w14:solidFill>
                    <w14:schemeClr w14:val="tx1"/>
                  </w14:solidFill>
                </w14:textFill>
              </w:rPr>
              <w:t>已取得环评批复，</w:t>
            </w:r>
            <w:r>
              <w:rPr>
                <w:rFonts w:hint="eastAsia" w:cs="宋体"/>
                <w:color w:val="000000" w:themeColor="text1"/>
                <w:sz w:val="24"/>
                <w:szCs w:val="32"/>
                <w:highlight w:val="none"/>
                <w:lang w:eastAsia="zh-CN"/>
                <w14:textFill>
                  <w14:solidFill>
                    <w14:schemeClr w14:val="tx1"/>
                  </w14:solidFill>
                </w14:textFill>
              </w:rPr>
              <w:t>福州大学城污水处理厂</w:t>
            </w:r>
            <w:r>
              <w:rPr>
                <w:rFonts w:hint="eastAsia" w:cs="宋体"/>
                <w:color w:val="000000" w:themeColor="text1"/>
                <w:sz w:val="24"/>
                <w:szCs w:val="32"/>
                <w:highlight w:val="none"/>
                <w:lang w:val="en-US" w:eastAsia="zh-CN"/>
                <w14:textFill>
                  <w14:solidFill>
                    <w14:schemeClr w14:val="tx1"/>
                  </w14:solidFill>
                </w14:textFill>
              </w:rPr>
              <w:t>拟新增2</w:t>
            </w:r>
            <w:r>
              <w:rPr>
                <w:rFonts w:hint="eastAsia" w:cs="宋体"/>
                <w:color w:val="000000" w:themeColor="text1"/>
                <w:sz w:val="24"/>
                <w:szCs w:val="32"/>
                <w:highlight w:val="none"/>
                <w14:textFill>
                  <w14:solidFill>
                    <w14:schemeClr w14:val="tx1"/>
                  </w14:solidFill>
                </w14:textFill>
              </w:rPr>
              <w:t>万t/d</w:t>
            </w:r>
            <w:r>
              <w:rPr>
                <w:rFonts w:hint="eastAsia" w:cs="宋体"/>
                <w:color w:val="000000" w:themeColor="text1"/>
                <w:sz w:val="24"/>
                <w:szCs w:val="32"/>
                <w:highlight w:val="none"/>
                <w:lang w:val="en-US" w:eastAsia="zh-CN"/>
                <w14:textFill>
                  <w14:solidFill>
                    <w14:schemeClr w14:val="tx1"/>
                  </w14:solidFill>
                </w14:textFill>
              </w:rPr>
              <w:t>的污水处理能力，可进一步确保污水处理能力。</w:t>
            </w:r>
          </w:p>
          <w:p w14:paraId="45C826B4">
            <w:pPr>
              <w:pStyle w:val="37"/>
              <w:rPr>
                <w:rFonts w:hint="default"/>
                <w:color w:val="000000" w:themeColor="text1"/>
                <w:sz w:val="24"/>
                <w:szCs w:val="21"/>
                <w:highlight w:val="none"/>
                <w:lang w:val="en-US" w:eastAsia="zh-CN"/>
                <w14:textFill>
                  <w14:solidFill>
                    <w14:schemeClr w14:val="tx1"/>
                  </w14:solidFill>
                </w14:textFill>
              </w:rPr>
            </w:pPr>
            <w:r>
              <w:rPr>
                <w:rFonts w:hint="default"/>
                <w:color w:val="000000" w:themeColor="text1"/>
                <w:sz w:val="24"/>
                <w:szCs w:val="21"/>
                <w:highlight w:val="none"/>
                <w:lang w:val="en-US" w:eastAsia="zh-CN"/>
                <w14:textFill>
                  <w14:solidFill>
                    <w14:schemeClr w14:val="tx1"/>
                  </w14:solidFill>
                </w14:textFill>
              </w:rPr>
              <w:t>4.2.</w:t>
            </w:r>
            <w:r>
              <w:rPr>
                <w:rFonts w:hint="eastAsia"/>
                <w:color w:val="000000" w:themeColor="text1"/>
                <w:sz w:val="24"/>
                <w:szCs w:val="21"/>
                <w:highlight w:val="none"/>
                <w:lang w:val="en-US" w:eastAsia="zh-CN"/>
                <w14:textFill>
                  <w14:solidFill>
                    <w14:schemeClr w14:val="tx1"/>
                  </w14:solidFill>
                </w14:textFill>
              </w:rPr>
              <w:t>3</w:t>
            </w:r>
            <w:r>
              <w:rPr>
                <w:rFonts w:hint="default"/>
                <w:color w:val="000000" w:themeColor="text1"/>
                <w:sz w:val="24"/>
                <w:szCs w:val="21"/>
                <w:highlight w:val="none"/>
                <w:lang w:val="en-US" w:eastAsia="zh-CN"/>
                <w14:textFill>
                  <w14:solidFill>
                    <w14:schemeClr w14:val="tx1"/>
                  </w14:solidFill>
                </w14:textFill>
              </w:rPr>
              <w:t xml:space="preserve"> </w:t>
            </w:r>
            <w:r>
              <w:rPr>
                <w:rFonts w:hint="eastAsia"/>
                <w:color w:val="000000" w:themeColor="text1"/>
                <w:sz w:val="24"/>
                <w:szCs w:val="21"/>
                <w:highlight w:val="none"/>
                <w:lang w:val="en-US" w:eastAsia="zh-CN"/>
                <w14:textFill>
                  <w14:solidFill>
                    <w14:schemeClr w14:val="tx1"/>
                  </w14:solidFill>
                </w14:textFill>
              </w:rPr>
              <w:t>小结</w:t>
            </w:r>
          </w:p>
          <w:p w14:paraId="77BE685B">
            <w:pPr>
              <w:spacing w:line="360" w:lineRule="auto"/>
              <w:ind w:firstLine="480" w:firstLineChars="200"/>
              <w:rPr>
                <w:color w:val="000000" w:themeColor="text1"/>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根据上述分析，</w:t>
            </w:r>
            <w:r>
              <w:rPr>
                <w:rFonts w:hint="eastAsia" w:cs="宋体"/>
                <w:color w:val="000000" w:themeColor="text1"/>
                <w:sz w:val="24"/>
                <w:szCs w:val="32"/>
                <w:highlight w:val="none"/>
                <w:lang w:val="en-US" w:eastAsia="zh-CN"/>
                <w14:textFill>
                  <w14:solidFill>
                    <w14:schemeClr w14:val="tx1"/>
                  </w14:solidFill>
                </w14:textFill>
              </w:rPr>
              <w:t>本项目生产废水、生活污水经处理后，均纳入福州大学城污水处理厂集中处理</w:t>
            </w:r>
            <w:r>
              <w:rPr>
                <w:rFonts w:hint="eastAsia" w:cs="宋体"/>
                <w:color w:val="000000" w:themeColor="text1"/>
                <w:sz w:val="24"/>
                <w:szCs w:val="32"/>
                <w:highlight w:val="none"/>
                <w:lang w:eastAsia="zh-CN"/>
                <w14:textFill>
                  <w14:solidFill>
                    <w14:schemeClr w14:val="tx1"/>
                  </w14:solidFill>
                </w14:textFill>
              </w:rPr>
              <w:t>，</w:t>
            </w:r>
            <w:r>
              <w:rPr>
                <w:rFonts w:hint="eastAsia" w:cs="宋体"/>
                <w:color w:val="000000" w:themeColor="text1"/>
                <w:sz w:val="24"/>
                <w:szCs w:val="32"/>
                <w:highlight w:val="none"/>
                <w14:textFill>
                  <w14:solidFill>
                    <w14:schemeClr w14:val="tx1"/>
                  </w14:solidFill>
                </w14:textFill>
              </w:rPr>
              <w:t>项目废水水质、水量不会对污水处理厂造成负荷冲击，项目污水不直接排入地表水体，因此不会对区域地表水环境产生直接不利影响。</w:t>
            </w:r>
          </w:p>
          <w:p w14:paraId="3E67FB64">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4.</w:t>
            </w:r>
            <w:r>
              <w:rPr>
                <w:rFonts w:hint="eastAsia"/>
                <w:color w:val="000000" w:themeColor="text1"/>
                <w:sz w:val="24"/>
                <w:szCs w:val="21"/>
                <w:highlight w:val="none"/>
                <w:lang w:val="en-US" w:eastAsia="zh-CN"/>
                <w14:textFill>
                  <w14:solidFill>
                    <w14:schemeClr w14:val="tx1"/>
                  </w14:solidFill>
                </w14:textFill>
              </w:rPr>
              <w:t>3</w:t>
            </w:r>
            <w:r>
              <w:rPr>
                <w:color w:val="000000" w:themeColor="text1"/>
                <w:sz w:val="24"/>
                <w:szCs w:val="21"/>
                <w:highlight w:val="non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运营期声环境影响分析和污染防治措施</w:t>
            </w:r>
          </w:p>
          <w:p w14:paraId="19546FF6">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1、噪声源强</w:t>
            </w:r>
          </w:p>
          <w:p w14:paraId="3D884E1F">
            <w:pPr>
              <w:spacing w:line="360" w:lineRule="auto"/>
              <w:ind w:firstLine="480" w:firstLineChars="200"/>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本项目噪声主要为各种机械设备运行过程中产生的噪声，本次评价主要采用类比法，类比同类型项目对噪声污染源源强进行核算，本项目实施后全厂具体主要噪声源强详见下表</w:t>
            </w:r>
            <w:r>
              <w:rPr>
                <w:rFonts w:hint="eastAsia" w:cs="宋体"/>
                <w:color w:val="000000" w:themeColor="text1"/>
                <w:sz w:val="24"/>
                <w:szCs w:val="32"/>
                <w:highlight w:val="none"/>
                <w:lang w:eastAsia="zh-CN"/>
                <w14:textFill>
                  <w14:solidFill>
                    <w14:schemeClr w14:val="tx1"/>
                  </w14:solidFill>
                </w14:textFill>
              </w:rPr>
              <w:t>。</w:t>
            </w:r>
          </w:p>
          <w:p w14:paraId="75FD44F0">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 4</w:t>
            </w:r>
            <w:r>
              <w:rPr>
                <w:rFonts w:hint="eastAsia" w:eastAsia="宋体" w:cs="宋体"/>
                <w:b/>
                <w:color w:val="000000" w:themeColor="text1"/>
                <w:kern w:val="2"/>
                <w:sz w:val="24"/>
                <w:szCs w:val="24"/>
                <w:highlight w:val="none"/>
                <w:lang w:val="en-US" w:eastAsia="zh-CN" w:bidi="ar-SA"/>
                <w14:textFill>
                  <w14:solidFill>
                    <w14:schemeClr w14:val="tx1"/>
                  </w14:solidFill>
                </w14:textFill>
              </w:rPr>
              <w:t>.3-1</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项目</w:t>
            </w:r>
            <w:r>
              <w:rPr>
                <w:rFonts w:hint="eastAsia" w:eastAsia="宋体" w:cs="宋体"/>
                <w:b/>
                <w:color w:val="000000" w:themeColor="text1"/>
                <w:kern w:val="2"/>
                <w:sz w:val="24"/>
                <w:szCs w:val="24"/>
                <w:highlight w:val="none"/>
                <w:lang w:val="en-US" w:eastAsia="zh-CN" w:bidi="ar-SA"/>
                <w14:textFill>
                  <w14:solidFill>
                    <w14:schemeClr w14:val="tx1"/>
                  </w14:solidFill>
                </w14:textFill>
              </w:rPr>
              <w:t>主要</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噪声源强调查结果</w:t>
            </w:r>
            <w:r>
              <w:rPr>
                <w:rFonts w:hint="eastAsia" w:eastAsia="宋体" w:cs="宋体"/>
                <w:b/>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单位 dB(A)</w:t>
            </w:r>
          </w:p>
          <w:tbl>
            <w:tblPr>
              <w:tblStyle w:val="30"/>
              <w:tblW w:w="0" w:type="auto"/>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720"/>
              <w:gridCol w:w="540"/>
              <w:gridCol w:w="780"/>
              <w:gridCol w:w="960"/>
              <w:gridCol w:w="1980"/>
              <w:gridCol w:w="870"/>
              <w:gridCol w:w="915"/>
              <w:gridCol w:w="544"/>
            </w:tblGrid>
            <w:tr w14:paraId="782F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vMerge w:val="restart"/>
                  <w:shd w:val="clear" w:color="auto" w:fill="auto"/>
                  <w:vAlign w:val="center"/>
                </w:tcPr>
                <w:p w14:paraId="511AF29A">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噪声源</w:t>
                  </w:r>
                </w:p>
              </w:tc>
              <w:tc>
                <w:tcPr>
                  <w:tcW w:w="720" w:type="dxa"/>
                  <w:vMerge w:val="restart"/>
                  <w:shd w:val="clear" w:color="auto" w:fill="auto"/>
                  <w:vAlign w:val="center"/>
                </w:tcPr>
                <w:p w14:paraId="1767EBBE">
                  <w:pPr>
                    <w:pStyle w:val="36"/>
                    <w:autoSpaceDE/>
                    <w:autoSpaceDN/>
                    <w:spacing w:before="0"/>
                    <w:ind w:left="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空间位置信息</w:t>
                  </w:r>
                </w:p>
              </w:tc>
              <w:tc>
                <w:tcPr>
                  <w:tcW w:w="540" w:type="dxa"/>
                  <w:vMerge w:val="restart"/>
                  <w:shd w:val="clear" w:color="auto" w:fill="auto"/>
                  <w:vAlign w:val="center"/>
                </w:tcPr>
                <w:p w14:paraId="2CD7A3DA">
                  <w:pPr>
                    <w:pStyle w:val="36"/>
                    <w:autoSpaceDE/>
                    <w:autoSpaceDN/>
                    <w:spacing w:before="0"/>
                    <w:ind w:left="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数量</w:t>
                  </w:r>
                </w:p>
              </w:tc>
              <w:tc>
                <w:tcPr>
                  <w:tcW w:w="780" w:type="dxa"/>
                  <w:vMerge w:val="restart"/>
                  <w:shd w:val="clear" w:color="auto" w:fill="auto"/>
                  <w:vAlign w:val="center"/>
                </w:tcPr>
                <w:p w14:paraId="1DFA52CE">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声源类型</w:t>
                  </w:r>
                </w:p>
              </w:tc>
              <w:tc>
                <w:tcPr>
                  <w:tcW w:w="960" w:type="dxa"/>
                  <w:vMerge w:val="restart"/>
                  <w:shd w:val="clear" w:color="auto" w:fill="auto"/>
                  <w:vAlign w:val="center"/>
                </w:tcPr>
                <w:p w14:paraId="46309CA3">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噪声源强dB(A)</w:t>
                  </w:r>
                </w:p>
              </w:tc>
              <w:tc>
                <w:tcPr>
                  <w:tcW w:w="2850" w:type="dxa"/>
                  <w:gridSpan w:val="2"/>
                  <w:shd w:val="clear" w:color="auto" w:fill="auto"/>
                  <w:vAlign w:val="center"/>
                </w:tcPr>
                <w:p w14:paraId="791DE2F6">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降噪措施</w:t>
                  </w:r>
                </w:p>
              </w:tc>
              <w:tc>
                <w:tcPr>
                  <w:tcW w:w="915" w:type="dxa"/>
                  <w:vMerge w:val="restart"/>
                  <w:shd w:val="clear" w:color="auto" w:fill="auto"/>
                  <w:vAlign w:val="center"/>
                </w:tcPr>
                <w:p w14:paraId="4FB6BC8C">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噪声最大排放值(dB(A))</w:t>
                  </w:r>
                </w:p>
              </w:tc>
              <w:tc>
                <w:tcPr>
                  <w:tcW w:w="544" w:type="dxa"/>
                  <w:vMerge w:val="restart"/>
                  <w:shd w:val="clear" w:color="auto" w:fill="auto"/>
                  <w:vAlign w:val="center"/>
                </w:tcPr>
                <w:p w14:paraId="4AA21D46">
                  <w:pPr>
                    <w:pStyle w:val="36"/>
                    <w:autoSpaceDE/>
                    <w:autoSpaceDN/>
                    <w:spacing w:before="0"/>
                    <w:ind w:left="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持续时间</w:t>
                  </w:r>
                </w:p>
              </w:tc>
            </w:tr>
            <w:tr w14:paraId="0D2D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trPr>
              <w:tc>
                <w:tcPr>
                  <w:tcW w:w="804" w:type="dxa"/>
                  <w:vMerge w:val="continue"/>
                  <w:shd w:val="clear" w:color="auto" w:fill="auto"/>
                  <w:vAlign w:val="center"/>
                </w:tcPr>
                <w:p w14:paraId="72AE0C7E">
                  <w:pPr>
                    <w:jc w:val="center"/>
                    <w:rPr>
                      <w:color w:val="000000" w:themeColor="text1"/>
                      <w:sz w:val="21"/>
                      <w:szCs w:val="21"/>
                      <w:highlight w:val="none"/>
                      <w:lang w:eastAsia="en-US"/>
                      <w14:textFill>
                        <w14:solidFill>
                          <w14:schemeClr w14:val="tx1"/>
                        </w14:solidFill>
                      </w14:textFill>
                    </w:rPr>
                  </w:pPr>
                </w:p>
              </w:tc>
              <w:tc>
                <w:tcPr>
                  <w:tcW w:w="720" w:type="dxa"/>
                  <w:vMerge w:val="continue"/>
                  <w:shd w:val="clear" w:color="auto" w:fill="auto"/>
                  <w:vAlign w:val="center"/>
                </w:tcPr>
                <w:p w14:paraId="7F8017D9">
                  <w:pPr>
                    <w:jc w:val="center"/>
                    <w:rPr>
                      <w:color w:val="000000" w:themeColor="text1"/>
                      <w:sz w:val="21"/>
                      <w:szCs w:val="21"/>
                      <w:highlight w:val="none"/>
                      <w:lang w:eastAsia="en-US"/>
                      <w14:textFill>
                        <w14:solidFill>
                          <w14:schemeClr w14:val="tx1"/>
                        </w14:solidFill>
                      </w14:textFill>
                    </w:rPr>
                  </w:pPr>
                </w:p>
              </w:tc>
              <w:tc>
                <w:tcPr>
                  <w:tcW w:w="540" w:type="dxa"/>
                  <w:vMerge w:val="continue"/>
                  <w:shd w:val="clear" w:color="auto" w:fill="auto"/>
                  <w:vAlign w:val="center"/>
                </w:tcPr>
                <w:p w14:paraId="6970B7DF">
                  <w:pPr>
                    <w:jc w:val="center"/>
                    <w:rPr>
                      <w:color w:val="000000" w:themeColor="text1"/>
                      <w:sz w:val="21"/>
                      <w:szCs w:val="21"/>
                      <w:highlight w:val="none"/>
                      <w:lang w:eastAsia="en-US"/>
                      <w14:textFill>
                        <w14:solidFill>
                          <w14:schemeClr w14:val="tx1"/>
                        </w14:solidFill>
                      </w14:textFill>
                    </w:rPr>
                  </w:pPr>
                </w:p>
              </w:tc>
              <w:tc>
                <w:tcPr>
                  <w:tcW w:w="780" w:type="dxa"/>
                  <w:vMerge w:val="continue"/>
                  <w:shd w:val="clear" w:color="auto" w:fill="auto"/>
                  <w:vAlign w:val="center"/>
                </w:tcPr>
                <w:p w14:paraId="1A56570C">
                  <w:pPr>
                    <w:jc w:val="center"/>
                    <w:rPr>
                      <w:color w:val="000000" w:themeColor="text1"/>
                      <w:sz w:val="21"/>
                      <w:szCs w:val="21"/>
                      <w:highlight w:val="none"/>
                      <w:lang w:eastAsia="en-US"/>
                      <w14:textFill>
                        <w14:solidFill>
                          <w14:schemeClr w14:val="tx1"/>
                        </w14:solidFill>
                      </w14:textFill>
                    </w:rPr>
                  </w:pPr>
                </w:p>
              </w:tc>
              <w:tc>
                <w:tcPr>
                  <w:tcW w:w="960" w:type="dxa"/>
                  <w:vMerge w:val="continue"/>
                  <w:shd w:val="clear" w:color="auto" w:fill="auto"/>
                  <w:vAlign w:val="center"/>
                </w:tcPr>
                <w:p w14:paraId="2EEFE2B1">
                  <w:pPr>
                    <w:jc w:val="center"/>
                    <w:rPr>
                      <w:color w:val="000000" w:themeColor="text1"/>
                      <w:sz w:val="21"/>
                      <w:szCs w:val="21"/>
                      <w:highlight w:val="none"/>
                      <w:lang w:eastAsia="en-US"/>
                      <w14:textFill>
                        <w14:solidFill>
                          <w14:schemeClr w14:val="tx1"/>
                        </w14:solidFill>
                      </w14:textFill>
                    </w:rPr>
                  </w:pPr>
                </w:p>
              </w:tc>
              <w:tc>
                <w:tcPr>
                  <w:tcW w:w="1980" w:type="dxa"/>
                  <w:shd w:val="clear" w:color="auto" w:fill="auto"/>
                  <w:vAlign w:val="center"/>
                </w:tcPr>
                <w:p w14:paraId="6C69F873">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工艺</w:t>
                  </w:r>
                </w:p>
              </w:tc>
              <w:tc>
                <w:tcPr>
                  <w:tcW w:w="870" w:type="dxa"/>
                  <w:shd w:val="clear" w:color="auto" w:fill="auto"/>
                  <w:vAlign w:val="center"/>
                </w:tcPr>
                <w:p w14:paraId="634EECF9">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降噪效果</w:t>
                  </w:r>
                </w:p>
                <w:p w14:paraId="379E8D53">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dB(A)</w:t>
                  </w:r>
                </w:p>
              </w:tc>
              <w:tc>
                <w:tcPr>
                  <w:tcW w:w="915" w:type="dxa"/>
                  <w:vMerge w:val="continue"/>
                  <w:shd w:val="clear" w:color="auto" w:fill="auto"/>
                  <w:vAlign w:val="center"/>
                </w:tcPr>
                <w:p w14:paraId="25198571">
                  <w:pPr>
                    <w:jc w:val="center"/>
                    <w:rPr>
                      <w:color w:val="000000" w:themeColor="text1"/>
                      <w:sz w:val="21"/>
                      <w:szCs w:val="21"/>
                      <w:highlight w:val="none"/>
                      <w:lang w:eastAsia="en-US"/>
                      <w14:textFill>
                        <w14:solidFill>
                          <w14:schemeClr w14:val="tx1"/>
                        </w14:solidFill>
                      </w14:textFill>
                    </w:rPr>
                  </w:pPr>
                </w:p>
              </w:tc>
              <w:tc>
                <w:tcPr>
                  <w:tcW w:w="544" w:type="dxa"/>
                  <w:vMerge w:val="continue"/>
                  <w:shd w:val="clear" w:color="auto" w:fill="auto"/>
                  <w:vAlign w:val="center"/>
                </w:tcPr>
                <w:p w14:paraId="131E6C20">
                  <w:pPr>
                    <w:jc w:val="center"/>
                    <w:rPr>
                      <w:color w:val="000000" w:themeColor="text1"/>
                      <w:sz w:val="21"/>
                      <w:szCs w:val="21"/>
                      <w:highlight w:val="none"/>
                      <w:lang w:eastAsia="en-US"/>
                      <w14:textFill>
                        <w14:solidFill>
                          <w14:schemeClr w14:val="tx1"/>
                        </w14:solidFill>
                      </w14:textFill>
                    </w:rPr>
                  </w:pPr>
                </w:p>
              </w:tc>
            </w:tr>
            <w:tr w14:paraId="510C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54890214">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抛光机</w:t>
                  </w:r>
                </w:p>
              </w:tc>
              <w:tc>
                <w:tcPr>
                  <w:tcW w:w="720" w:type="dxa"/>
                  <w:shd w:val="clear" w:color="auto" w:fill="auto"/>
                  <w:vAlign w:val="center"/>
                </w:tcPr>
                <w:p w14:paraId="1EF5E609">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14449A35">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45FFDA3B">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0E7E7BED">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4A6B2144">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37273A79">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045F65FB">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55CDADAA">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5AFC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2A5F46E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研磨机</w:t>
                  </w:r>
                </w:p>
              </w:tc>
              <w:tc>
                <w:tcPr>
                  <w:tcW w:w="720" w:type="dxa"/>
                  <w:shd w:val="clear" w:color="auto" w:fill="auto"/>
                  <w:vAlign w:val="center"/>
                </w:tcPr>
                <w:p w14:paraId="638BBEA0">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621B13AE">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1B2A7967">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6A9A1CDB">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44D8A1B2">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04CEA321">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4AD1994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2A927473">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2880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45039535">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铣磨机</w:t>
                  </w:r>
                </w:p>
              </w:tc>
              <w:tc>
                <w:tcPr>
                  <w:tcW w:w="720" w:type="dxa"/>
                  <w:shd w:val="clear" w:color="auto" w:fill="auto"/>
                  <w:vAlign w:val="center"/>
                </w:tcPr>
                <w:p w14:paraId="4A91BB63">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6B319B49">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428B11F3">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5FF32F1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49854B22">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3AD27AE7">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605A4AE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6E10259F">
                  <w:pPr>
                    <w:keepNext w:val="0"/>
                    <w:keepLines w:val="0"/>
                    <w:widowControl/>
                    <w:suppressLineNumbers w:val="0"/>
                    <w:jc w:val="center"/>
                    <w:textAlignment w:val="center"/>
                    <w:rPr>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13E5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47F7973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超声波清洗机</w:t>
                  </w:r>
                </w:p>
              </w:tc>
              <w:tc>
                <w:tcPr>
                  <w:tcW w:w="720" w:type="dxa"/>
                  <w:shd w:val="clear" w:color="auto" w:fill="auto"/>
                  <w:vAlign w:val="center"/>
                </w:tcPr>
                <w:p w14:paraId="640B87B8">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10EAE26D">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2A6D2A3B">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6D9E66C1">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980" w:type="dxa"/>
                  <w:shd w:val="clear" w:color="auto" w:fill="auto"/>
                  <w:vAlign w:val="center"/>
                </w:tcPr>
                <w:p w14:paraId="7B76ED2D">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7288FDB2">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0350DCC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544" w:type="dxa"/>
                  <w:shd w:val="clear" w:color="auto" w:fill="auto"/>
                  <w:vAlign w:val="center"/>
                </w:tcPr>
                <w:p w14:paraId="4B053A80">
                  <w:pPr>
                    <w:keepNext w:val="0"/>
                    <w:keepLines w:val="0"/>
                    <w:widowControl/>
                    <w:suppressLineNumbers w:val="0"/>
                    <w:jc w:val="center"/>
                    <w:textAlignment w:val="center"/>
                    <w:rPr>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7434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0FB6D2E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环磨机</w:t>
                  </w:r>
                </w:p>
              </w:tc>
              <w:tc>
                <w:tcPr>
                  <w:tcW w:w="720" w:type="dxa"/>
                  <w:shd w:val="clear" w:color="auto" w:fill="auto"/>
                  <w:vAlign w:val="center"/>
                </w:tcPr>
                <w:p w14:paraId="582B36B8">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463CF39B">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0FADB61E">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21C25758">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5FA382F4">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08F2E502">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38797F3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0D1C6073">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05F9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61B1CD3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环抛机</w:t>
                  </w:r>
                </w:p>
              </w:tc>
              <w:tc>
                <w:tcPr>
                  <w:tcW w:w="720" w:type="dxa"/>
                  <w:shd w:val="clear" w:color="auto" w:fill="auto"/>
                  <w:vAlign w:val="center"/>
                </w:tcPr>
                <w:p w14:paraId="6F9C07EF">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31B86A3A">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8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1573795D">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2B88F206">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31E377E5">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5A7B8C37">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622D967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6CCE086D">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0823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6DF50D9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马弗炉</w:t>
                  </w:r>
                </w:p>
              </w:tc>
              <w:tc>
                <w:tcPr>
                  <w:tcW w:w="720" w:type="dxa"/>
                  <w:shd w:val="clear" w:color="auto" w:fill="auto"/>
                  <w:vAlign w:val="center"/>
                </w:tcPr>
                <w:p w14:paraId="27215165">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2DC34E0B">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4D9A05C5">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1A1EC8C4">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980" w:type="dxa"/>
                  <w:shd w:val="clear" w:color="auto" w:fill="auto"/>
                  <w:vAlign w:val="center"/>
                </w:tcPr>
                <w:p w14:paraId="7CBE7650">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0C980CB9">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6EA1AC0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544" w:type="dxa"/>
                  <w:shd w:val="clear" w:color="auto" w:fill="auto"/>
                  <w:vAlign w:val="center"/>
                </w:tcPr>
                <w:p w14:paraId="15F0BF4B">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10C5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1A1822C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精雕机</w:t>
                  </w:r>
                </w:p>
              </w:tc>
              <w:tc>
                <w:tcPr>
                  <w:tcW w:w="720" w:type="dxa"/>
                  <w:shd w:val="clear" w:color="auto" w:fill="auto"/>
                  <w:vAlign w:val="center"/>
                </w:tcPr>
                <w:p w14:paraId="1F245B91">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7FE2962A">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16B12ADC">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18ACBCD8">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5A92E77D">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62F84F10">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1016EDA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5EBA22BD">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2BA8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267D1D1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精密双磨机</w:t>
                  </w:r>
                </w:p>
              </w:tc>
              <w:tc>
                <w:tcPr>
                  <w:tcW w:w="720" w:type="dxa"/>
                  <w:shd w:val="clear" w:color="auto" w:fill="auto"/>
                  <w:vAlign w:val="center"/>
                </w:tcPr>
                <w:p w14:paraId="403BFDF1">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6627D7CD">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36D96B7F">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76FA9DE7">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6C64F4E1">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793DECA9">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65645A2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489D7734">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008B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4E7B881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精密双抛机</w:t>
                  </w:r>
                </w:p>
              </w:tc>
              <w:tc>
                <w:tcPr>
                  <w:tcW w:w="720" w:type="dxa"/>
                  <w:shd w:val="clear" w:color="auto" w:fill="auto"/>
                  <w:vAlign w:val="center"/>
                </w:tcPr>
                <w:p w14:paraId="2DA92192">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247E357C">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6E2ABF8A">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6DDF51E7">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30EE073D">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1F058C65">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5749F70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3B085C4E">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3CA3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51512DE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真空镀膜机</w:t>
                  </w:r>
                </w:p>
              </w:tc>
              <w:tc>
                <w:tcPr>
                  <w:tcW w:w="720" w:type="dxa"/>
                  <w:shd w:val="clear" w:color="auto" w:fill="auto"/>
                  <w:vAlign w:val="center"/>
                </w:tcPr>
                <w:p w14:paraId="1364248C">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6146F7D7">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5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28A0E870">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788A9C4D">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980" w:type="dxa"/>
                  <w:shd w:val="clear" w:color="auto" w:fill="auto"/>
                  <w:vAlign w:val="center"/>
                </w:tcPr>
                <w:p w14:paraId="488384A2">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05064D88">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11A9D9A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544" w:type="dxa"/>
                  <w:shd w:val="clear" w:color="auto" w:fill="auto"/>
                  <w:vAlign w:val="center"/>
                </w:tcPr>
                <w:p w14:paraId="43F67985">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2148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1F9035A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键合机</w:t>
                  </w:r>
                </w:p>
              </w:tc>
              <w:tc>
                <w:tcPr>
                  <w:tcW w:w="720" w:type="dxa"/>
                  <w:shd w:val="clear" w:color="auto" w:fill="auto"/>
                  <w:vAlign w:val="center"/>
                </w:tcPr>
                <w:p w14:paraId="6FE38325">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44BB8723">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8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0B8E9F7D">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31D7EC25">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980" w:type="dxa"/>
                  <w:shd w:val="clear" w:color="auto" w:fill="auto"/>
                  <w:vAlign w:val="center"/>
                </w:tcPr>
                <w:p w14:paraId="19449B51">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6C2BA1A0">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2BB0716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544" w:type="dxa"/>
                  <w:shd w:val="clear" w:color="auto" w:fill="auto"/>
                  <w:vAlign w:val="center"/>
                </w:tcPr>
                <w:p w14:paraId="7BE5B8D9">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7FE0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084F852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离子束抛光机</w:t>
                  </w:r>
                </w:p>
              </w:tc>
              <w:tc>
                <w:tcPr>
                  <w:tcW w:w="720" w:type="dxa"/>
                  <w:shd w:val="clear" w:color="auto" w:fill="auto"/>
                  <w:vAlign w:val="center"/>
                </w:tcPr>
                <w:p w14:paraId="2E48A6A4">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557C5DDA">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39D3FDCE">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470031F4">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799E2AAC">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0725B50E">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731BBB7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6BADBF04">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0691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4BAFA5C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喷砂机</w:t>
                  </w:r>
                </w:p>
              </w:tc>
              <w:tc>
                <w:tcPr>
                  <w:tcW w:w="720" w:type="dxa"/>
                  <w:shd w:val="clear" w:color="auto" w:fill="auto"/>
                  <w:vAlign w:val="center"/>
                </w:tcPr>
                <w:p w14:paraId="335BC27E">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69B481B4">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2A4BA8FB">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0C672E6B">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227EFDE7">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20ECD11D">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0B6EB40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0040430B">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1572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564F920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线切割机</w:t>
                  </w:r>
                </w:p>
              </w:tc>
              <w:tc>
                <w:tcPr>
                  <w:tcW w:w="720" w:type="dxa"/>
                  <w:shd w:val="clear" w:color="auto" w:fill="auto"/>
                  <w:vAlign w:val="center"/>
                </w:tcPr>
                <w:p w14:paraId="74812D83">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109EA255">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4243A353">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686F408C">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980" w:type="dxa"/>
                  <w:shd w:val="clear" w:color="auto" w:fill="auto"/>
                  <w:vAlign w:val="center"/>
                </w:tcPr>
                <w:p w14:paraId="10A67318">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44D57D7E">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6361225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544" w:type="dxa"/>
                  <w:shd w:val="clear" w:color="auto" w:fill="auto"/>
                  <w:vAlign w:val="center"/>
                </w:tcPr>
                <w:p w14:paraId="25AB363A">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2FAE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6025EF3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等离子清洗机</w:t>
                  </w:r>
                </w:p>
              </w:tc>
              <w:tc>
                <w:tcPr>
                  <w:tcW w:w="720" w:type="dxa"/>
                  <w:shd w:val="clear" w:color="auto" w:fill="auto"/>
                  <w:vAlign w:val="center"/>
                </w:tcPr>
                <w:p w14:paraId="101D6847">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0390A2EF">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60EA300D">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084AD2B2">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980" w:type="dxa"/>
                  <w:shd w:val="clear" w:color="auto" w:fill="auto"/>
                  <w:vAlign w:val="center"/>
                </w:tcPr>
                <w:p w14:paraId="35810167">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6C03ADDB">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7389E80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544" w:type="dxa"/>
                  <w:shd w:val="clear" w:color="auto" w:fill="auto"/>
                  <w:vAlign w:val="center"/>
                </w:tcPr>
                <w:p w14:paraId="12A93CFF">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6890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748FB5D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喷胶机</w:t>
                  </w:r>
                </w:p>
              </w:tc>
              <w:tc>
                <w:tcPr>
                  <w:tcW w:w="720" w:type="dxa"/>
                  <w:shd w:val="clear" w:color="auto" w:fill="auto"/>
                  <w:vAlign w:val="center"/>
                </w:tcPr>
                <w:p w14:paraId="26C3045E">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6BEA5939">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3FA65620">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05C6745F">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980" w:type="dxa"/>
                  <w:shd w:val="clear" w:color="auto" w:fill="auto"/>
                  <w:vAlign w:val="center"/>
                </w:tcPr>
                <w:p w14:paraId="099EC4D5">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6E4F87A1">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43354E4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544" w:type="dxa"/>
                  <w:shd w:val="clear" w:color="auto" w:fill="auto"/>
                  <w:vAlign w:val="center"/>
                </w:tcPr>
                <w:p w14:paraId="68DAC04E">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2619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4BA63C1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涂胶机</w:t>
                  </w:r>
                </w:p>
              </w:tc>
              <w:tc>
                <w:tcPr>
                  <w:tcW w:w="720" w:type="dxa"/>
                  <w:shd w:val="clear" w:color="auto" w:fill="auto"/>
                  <w:vAlign w:val="center"/>
                </w:tcPr>
                <w:p w14:paraId="0691EE37">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2C5C58AF">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250B140C">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20277C93">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980" w:type="dxa"/>
                  <w:shd w:val="clear" w:color="auto" w:fill="auto"/>
                  <w:vAlign w:val="center"/>
                </w:tcPr>
                <w:p w14:paraId="35796546">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5EEE3CC4">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09BF37C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544" w:type="dxa"/>
                  <w:shd w:val="clear" w:color="auto" w:fill="auto"/>
                  <w:vAlign w:val="center"/>
                </w:tcPr>
                <w:p w14:paraId="12839C57">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3784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459851E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光刻机</w:t>
                  </w:r>
                </w:p>
              </w:tc>
              <w:tc>
                <w:tcPr>
                  <w:tcW w:w="720" w:type="dxa"/>
                  <w:shd w:val="clear" w:color="auto" w:fill="auto"/>
                  <w:vAlign w:val="center"/>
                </w:tcPr>
                <w:p w14:paraId="1C6BBB38">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5F7E1CB2">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25553F13">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54471AE7">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980" w:type="dxa"/>
                  <w:shd w:val="clear" w:color="auto" w:fill="auto"/>
                  <w:vAlign w:val="center"/>
                </w:tcPr>
                <w:p w14:paraId="732FAC71">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02EA87AB">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20A99BF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544" w:type="dxa"/>
                  <w:shd w:val="clear" w:color="auto" w:fill="auto"/>
                  <w:vAlign w:val="center"/>
                </w:tcPr>
                <w:p w14:paraId="1EE599C3">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07DA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4C49F62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显影机</w:t>
                  </w:r>
                </w:p>
              </w:tc>
              <w:tc>
                <w:tcPr>
                  <w:tcW w:w="720" w:type="dxa"/>
                  <w:shd w:val="clear" w:color="auto" w:fill="auto"/>
                  <w:vAlign w:val="center"/>
                </w:tcPr>
                <w:p w14:paraId="6553FBF9">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6DC4A26C">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6C95D833">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5198EA6D">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980" w:type="dxa"/>
                  <w:shd w:val="clear" w:color="auto" w:fill="auto"/>
                  <w:vAlign w:val="center"/>
                </w:tcPr>
                <w:p w14:paraId="38630F9E">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29674AB3">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253C3DA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544" w:type="dxa"/>
                  <w:shd w:val="clear" w:color="auto" w:fill="auto"/>
                  <w:vAlign w:val="center"/>
                </w:tcPr>
                <w:p w14:paraId="33FA575A">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r w14:paraId="5756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4" w:type="dxa"/>
                  <w:shd w:val="clear" w:color="auto" w:fill="auto"/>
                  <w:vAlign w:val="center"/>
                </w:tcPr>
                <w:p w14:paraId="6139827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湿法腐蚀机</w:t>
                  </w:r>
                </w:p>
              </w:tc>
              <w:tc>
                <w:tcPr>
                  <w:tcW w:w="720" w:type="dxa"/>
                  <w:shd w:val="clear" w:color="auto" w:fill="auto"/>
                  <w:vAlign w:val="center"/>
                </w:tcPr>
                <w:p w14:paraId="6249F7A2">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w:t>
                  </w:r>
                </w:p>
              </w:tc>
              <w:tc>
                <w:tcPr>
                  <w:tcW w:w="540" w:type="dxa"/>
                  <w:shd w:val="clear" w:color="auto" w:fill="auto"/>
                  <w:vAlign w:val="center"/>
                </w:tcPr>
                <w:p w14:paraId="7FF55335">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780" w:type="dxa"/>
                  <w:shd w:val="clear" w:color="auto" w:fill="auto"/>
                  <w:vAlign w:val="center"/>
                </w:tcPr>
                <w:p w14:paraId="53C40A09">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频发</w:t>
                  </w:r>
                </w:p>
              </w:tc>
              <w:tc>
                <w:tcPr>
                  <w:tcW w:w="960" w:type="dxa"/>
                  <w:shd w:val="clear" w:color="auto" w:fill="auto"/>
                  <w:vAlign w:val="center"/>
                </w:tcPr>
                <w:p w14:paraId="1F75B39B">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980" w:type="dxa"/>
                  <w:shd w:val="clear" w:color="auto" w:fill="auto"/>
                  <w:vAlign w:val="center"/>
                </w:tcPr>
                <w:p w14:paraId="239CFEAD">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厂房隔声</w:t>
                  </w:r>
                </w:p>
              </w:tc>
              <w:tc>
                <w:tcPr>
                  <w:tcW w:w="870" w:type="dxa"/>
                  <w:shd w:val="clear" w:color="auto" w:fill="auto"/>
                  <w:vAlign w:val="center"/>
                </w:tcPr>
                <w:p w14:paraId="0F9DE837">
                  <w:pPr>
                    <w:keepNext w:val="0"/>
                    <w:keepLines w:val="0"/>
                    <w:widowControl/>
                    <w:suppressLineNumbers w:val="0"/>
                    <w:jc w:val="center"/>
                    <w:textAlignment w:val="center"/>
                    <w:rPr>
                      <w:rFonts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915" w:type="dxa"/>
                  <w:shd w:val="clear" w:color="auto" w:fill="auto"/>
                  <w:vAlign w:val="center"/>
                </w:tcPr>
                <w:p w14:paraId="5B33A53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544" w:type="dxa"/>
                  <w:shd w:val="clear" w:color="auto" w:fill="auto"/>
                  <w:vAlign w:val="center"/>
                </w:tcPr>
                <w:p w14:paraId="29605E17">
                  <w:pPr>
                    <w:keepNext w:val="0"/>
                    <w:keepLines w:val="0"/>
                    <w:widowControl/>
                    <w:suppressLineNumbers w:val="0"/>
                    <w:jc w:val="center"/>
                    <w:textAlignment w:val="center"/>
                    <w:rPr>
                      <w:rFonts w:hint="eastAsia"/>
                      <w:color w:val="000000" w:themeColor="text1"/>
                      <w:sz w:val="21"/>
                      <w:szCs w:val="21"/>
                      <w:highlight w:val="none"/>
                      <w:lang w:eastAsia="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连续</w:t>
                  </w:r>
                </w:p>
              </w:tc>
            </w:tr>
          </w:tbl>
          <w:p w14:paraId="3B888DC0">
            <w:pPr>
              <w:spacing w:before="120" w:beforeLines="50"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2、</w:t>
            </w:r>
            <w:r>
              <w:rPr>
                <w:rFonts w:cs="宋体"/>
                <w:color w:val="000000" w:themeColor="text1"/>
                <w:sz w:val="24"/>
                <w:szCs w:val="32"/>
                <w:highlight w:val="none"/>
                <w14:textFill>
                  <w14:solidFill>
                    <w14:schemeClr w14:val="tx1"/>
                  </w14:solidFill>
                </w14:textFill>
              </w:rPr>
              <w:t>声环境影响</w:t>
            </w:r>
          </w:p>
          <w:p w14:paraId="1F59A71C">
            <w:pPr>
              <w:pStyle w:val="66"/>
              <w:ind w:firstLine="420"/>
              <w:rPr>
                <w:color w:val="000000" w:themeColor="text1"/>
                <w:sz w:val="24"/>
                <w:szCs w:val="32"/>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w:t>
            </w:r>
            <w:r>
              <w:rPr>
                <w:color w:val="000000" w:themeColor="text1"/>
                <w:sz w:val="24"/>
                <w:szCs w:val="32"/>
                <w:highlight w:val="none"/>
                <w14:textFill>
                  <w14:solidFill>
                    <w14:schemeClr w14:val="tx1"/>
                  </w14:solidFill>
                </w14:textFill>
              </w:rPr>
              <w:t>1</w:t>
            </w:r>
            <w:r>
              <w:rPr>
                <w:rFonts w:ascii="宋体" w:hAnsi="宋体"/>
                <w:color w:val="000000" w:themeColor="text1"/>
                <w:sz w:val="24"/>
                <w:szCs w:val="32"/>
                <w:highlight w:val="none"/>
                <w14:textFill>
                  <w14:solidFill>
                    <w14:schemeClr w14:val="tx1"/>
                  </w14:solidFill>
                </w14:textFill>
              </w:rPr>
              <w:t>）预测点位及范围</w:t>
            </w:r>
          </w:p>
          <w:p w14:paraId="789A81EE">
            <w:pPr>
              <w:pStyle w:val="66"/>
              <w:ind w:firstLine="420"/>
              <w:rPr>
                <w:color w:val="000000" w:themeColor="text1"/>
                <w:sz w:val="24"/>
                <w:szCs w:val="32"/>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噪声预测范围为：厂界范围；</w:t>
            </w:r>
          </w:p>
          <w:p w14:paraId="52ADF9E2">
            <w:pPr>
              <w:pStyle w:val="66"/>
              <w:ind w:firstLine="420"/>
              <w:rPr>
                <w:color w:val="000000" w:themeColor="text1"/>
                <w:sz w:val="24"/>
                <w:szCs w:val="32"/>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预测点位：本次预测点位选取项目厂界四周为预测评价点；</w:t>
            </w:r>
          </w:p>
          <w:p w14:paraId="69CADDCD">
            <w:pPr>
              <w:pStyle w:val="66"/>
              <w:ind w:firstLine="420"/>
              <w:rPr>
                <w:color w:val="000000" w:themeColor="text1"/>
                <w:sz w:val="24"/>
                <w:szCs w:val="32"/>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预测内容：预测厂界昼、夜间预测点位等效连续</w:t>
            </w:r>
            <w:r>
              <w:rPr>
                <w:color w:val="000000" w:themeColor="text1"/>
                <w:sz w:val="24"/>
                <w:szCs w:val="32"/>
                <w:highlight w:val="none"/>
                <w14:textFill>
                  <w14:solidFill>
                    <w14:schemeClr w14:val="tx1"/>
                  </w14:solidFill>
                </w14:textFill>
              </w:rPr>
              <w:t>A</w:t>
            </w:r>
            <w:r>
              <w:rPr>
                <w:rFonts w:ascii="宋体" w:hAnsi="宋体"/>
                <w:color w:val="000000" w:themeColor="text1"/>
                <w:sz w:val="24"/>
                <w:szCs w:val="32"/>
                <w:highlight w:val="none"/>
                <w14:textFill>
                  <w14:solidFill>
                    <w14:schemeClr w14:val="tx1"/>
                  </w14:solidFill>
                </w14:textFill>
              </w:rPr>
              <w:t>声级。</w:t>
            </w:r>
          </w:p>
          <w:p w14:paraId="028559E2">
            <w:pPr>
              <w:pStyle w:val="66"/>
              <w:ind w:firstLine="420"/>
              <w:rPr>
                <w:color w:val="000000" w:themeColor="text1"/>
                <w:sz w:val="24"/>
                <w:szCs w:val="32"/>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w:t>
            </w:r>
            <w:r>
              <w:rPr>
                <w:color w:val="000000" w:themeColor="text1"/>
                <w:sz w:val="24"/>
                <w:szCs w:val="32"/>
                <w:highlight w:val="none"/>
                <w14:textFill>
                  <w14:solidFill>
                    <w14:schemeClr w14:val="tx1"/>
                  </w14:solidFill>
                </w14:textFill>
              </w:rPr>
              <w:t>2</w:t>
            </w:r>
            <w:r>
              <w:rPr>
                <w:rFonts w:ascii="宋体" w:hAnsi="宋体"/>
                <w:color w:val="000000" w:themeColor="text1"/>
                <w:sz w:val="24"/>
                <w:szCs w:val="32"/>
                <w:highlight w:val="none"/>
                <w14:textFill>
                  <w14:solidFill>
                    <w14:schemeClr w14:val="tx1"/>
                  </w14:solidFill>
                </w14:textFill>
              </w:rPr>
              <w:t>）预测模式</w:t>
            </w:r>
          </w:p>
          <w:p w14:paraId="0E970915">
            <w:pPr>
              <w:pStyle w:val="66"/>
              <w:ind w:firstLine="420"/>
              <w:rPr>
                <w:color w:val="000000" w:themeColor="text1"/>
                <w:sz w:val="24"/>
                <w:szCs w:val="32"/>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噪声预测模式采用《环境影响评价技术导则</w:t>
            </w:r>
            <w:r>
              <w:rPr>
                <w:color w:val="000000" w:themeColor="text1"/>
                <w:sz w:val="24"/>
                <w:szCs w:val="32"/>
                <w:highlight w:val="none"/>
                <w14:textFill>
                  <w14:solidFill>
                    <w14:schemeClr w14:val="tx1"/>
                  </w14:solidFill>
                </w14:textFill>
              </w:rPr>
              <w:t xml:space="preserve">  </w:t>
            </w:r>
            <w:r>
              <w:rPr>
                <w:rFonts w:ascii="宋体" w:hAnsi="宋体"/>
                <w:color w:val="000000" w:themeColor="text1"/>
                <w:sz w:val="24"/>
                <w:szCs w:val="32"/>
                <w:highlight w:val="none"/>
                <w14:textFill>
                  <w14:solidFill>
                    <w14:schemeClr w14:val="tx1"/>
                  </w14:solidFill>
                </w14:textFill>
              </w:rPr>
              <w:t>声环境》</w:t>
            </w:r>
            <w:r>
              <w:rPr>
                <w:rFonts w:hint="eastAsia" w:ascii="宋体" w:hAnsi="宋体"/>
                <w:color w:val="000000" w:themeColor="text1"/>
                <w:sz w:val="24"/>
                <w:szCs w:val="32"/>
                <w:highlight w:val="none"/>
                <w14:textFill>
                  <w14:solidFill>
                    <w14:schemeClr w14:val="tx1"/>
                  </w14:solidFill>
                </w14:textFill>
              </w:rPr>
              <w:t>（</w:t>
            </w:r>
            <w:r>
              <w:rPr>
                <w:color w:val="000000" w:themeColor="text1"/>
                <w:sz w:val="24"/>
                <w:szCs w:val="32"/>
                <w:highlight w:val="none"/>
                <w14:textFill>
                  <w14:solidFill>
                    <w14:schemeClr w14:val="tx1"/>
                  </w14:solidFill>
                </w14:textFill>
              </w:rPr>
              <w:t>HJ2.4-20</w:t>
            </w:r>
            <w:r>
              <w:rPr>
                <w:rFonts w:hint="eastAsia"/>
                <w:color w:val="000000" w:themeColor="text1"/>
                <w:sz w:val="24"/>
                <w:szCs w:val="32"/>
                <w:highlight w:val="none"/>
                <w14:textFill>
                  <w14:solidFill>
                    <w14:schemeClr w14:val="tx1"/>
                  </w14:solidFill>
                </w14:textFill>
              </w:rPr>
              <w:t>21</w:t>
            </w:r>
            <w:r>
              <w:rPr>
                <w:rFonts w:hint="eastAsia" w:ascii="宋体" w:hAnsi="宋体"/>
                <w:color w:val="000000" w:themeColor="text1"/>
                <w:sz w:val="24"/>
                <w:szCs w:val="32"/>
                <w:highlight w:val="none"/>
                <w14:textFill>
                  <w14:solidFill>
                    <w14:schemeClr w14:val="tx1"/>
                  </w14:solidFill>
                </w14:textFill>
              </w:rPr>
              <w:t>）</w:t>
            </w:r>
            <w:r>
              <w:rPr>
                <w:rFonts w:ascii="宋体" w:hAnsi="宋体"/>
                <w:color w:val="000000" w:themeColor="text1"/>
                <w:sz w:val="24"/>
                <w:szCs w:val="32"/>
                <w:highlight w:val="none"/>
                <w14:textFill>
                  <w14:solidFill>
                    <w14:schemeClr w14:val="tx1"/>
                  </w14:solidFill>
                </w14:textFill>
              </w:rPr>
              <w:t>中</w:t>
            </w:r>
            <w:r>
              <w:rPr>
                <w:rFonts w:hint="eastAsia" w:ascii="宋体" w:hAnsi="宋体"/>
                <w:color w:val="000000" w:themeColor="text1"/>
                <w:sz w:val="24"/>
                <w:szCs w:val="32"/>
                <w:highlight w:val="none"/>
                <w14:textFill>
                  <w14:solidFill>
                    <w14:schemeClr w14:val="tx1"/>
                  </w14:solidFill>
                </w14:textFill>
              </w:rPr>
              <w:t>附录</w:t>
            </w:r>
            <w:r>
              <w:rPr>
                <w:rFonts w:hint="eastAsia"/>
                <w:color w:val="000000" w:themeColor="text1"/>
                <w:sz w:val="24"/>
                <w:szCs w:val="32"/>
                <w:highlight w:val="none"/>
                <w14:textFill>
                  <w14:solidFill>
                    <w14:schemeClr w14:val="tx1"/>
                  </w14:solidFill>
                </w14:textFill>
              </w:rPr>
              <w:t>A</w:t>
            </w:r>
            <w:r>
              <w:rPr>
                <w:rFonts w:hint="eastAsia" w:ascii="宋体" w:hAnsi="宋体"/>
                <w:color w:val="000000" w:themeColor="text1"/>
                <w:sz w:val="24"/>
                <w:szCs w:val="32"/>
                <w:highlight w:val="none"/>
                <w14:textFill>
                  <w14:solidFill>
                    <w14:schemeClr w14:val="tx1"/>
                  </w14:solidFill>
                </w14:textFill>
              </w:rPr>
              <w:t>和附录</w:t>
            </w:r>
            <w:r>
              <w:rPr>
                <w:rFonts w:hint="eastAsia"/>
                <w:color w:val="000000" w:themeColor="text1"/>
                <w:sz w:val="24"/>
                <w:szCs w:val="32"/>
                <w:highlight w:val="none"/>
                <w14:textFill>
                  <w14:solidFill>
                    <w14:schemeClr w14:val="tx1"/>
                  </w14:solidFill>
                </w14:textFill>
              </w:rPr>
              <w:t>B</w:t>
            </w:r>
            <w:r>
              <w:rPr>
                <w:rFonts w:ascii="宋体" w:hAnsi="宋体"/>
                <w:color w:val="000000" w:themeColor="text1"/>
                <w:sz w:val="24"/>
                <w:szCs w:val="32"/>
                <w:highlight w:val="none"/>
                <w14:textFill>
                  <w14:solidFill>
                    <w14:schemeClr w14:val="tx1"/>
                  </w14:solidFill>
                </w14:textFill>
              </w:rPr>
              <w:t>中的预测模式。</w:t>
            </w:r>
          </w:p>
          <w:p w14:paraId="19BAE9BF">
            <w:pPr>
              <w:adjustRightInd w:val="0"/>
              <w:snapToGrid w:val="0"/>
              <w:spacing w:line="360" w:lineRule="auto"/>
              <w:ind w:firstLine="480"/>
              <w:rPr>
                <w:rFonts w:ascii="Times New Roman" w:hAnsi="Times New Roman"/>
                <w:b/>
                <w:color w:val="000000" w:themeColor="text1"/>
                <w:sz w:val="24"/>
                <w:highlight w:val="none"/>
                <w14:textFill>
                  <w14:solidFill>
                    <w14:schemeClr w14:val="tx1"/>
                  </w14:solidFill>
                </w14:textFill>
              </w:rPr>
            </w:pPr>
            <w:r>
              <w:rPr>
                <w:rFonts w:ascii="Times New Roman" w:hAnsi="Times New Roman"/>
                <w:b w:val="0"/>
                <w:bCs/>
                <w:color w:val="000000" w:themeColor="text1"/>
                <w:sz w:val="24"/>
                <w:highlight w:val="none"/>
                <w14:textFill>
                  <w14:solidFill>
                    <w14:schemeClr w14:val="tx1"/>
                  </w14:solidFill>
                </w14:textFill>
              </w:rPr>
              <w:t>1）室内声源等效室外声源声功率级计算方法</w:t>
            </w:r>
          </w:p>
          <w:p w14:paraId="1759AB4F">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①如下图所示，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227820C1">
            <w:pPr>
              <w:adjustRightInd w:val="0"/>
              <w:snapToGrid w:val="0"/>
              <w:spacing w:line="360" w:lineRule="auto"/>
              <w:ind w:firstLine="480"/>
              <w:jc w:val="center"/>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drawing>
                <wp:inline distT="0" distB="0" distL="114300" distR="114300">
                  <wp:extent cx="1248410" cy="238760"/>
                  <wp:effectExtent l="0" t="0" r="8890" b="762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9"/>
                          <a:stretch>
                            <a:fillRect/>
                          </a:stretch>
                        </pic:blipFill>
                        <pic:spPr>
                          <a:xfrm>
                            <a:off x="0" y="0"/>
                            <a:ext cx="1248410" cy="238760"/>
                          </a:xfrm>
                          <a:prstGeom prst="rect">
                            <a:avLst/>
                          </a:prstGeom>
                          <a:noFill/>
                          <a:ln>
                            <a:noFill/>
                          </a:ln>
                        </pic:spPr>
                      </pic:pic>
                    </a:graphicData>
                  </a:graphic>
                </wp:inline>
              </w:drawing>
            </w:r>
          </w:p>
          <w:p w14:paraId="2FE166CC">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w:t>
            </w:r>
          </w:p>
          <w:p w14:paraId="19B60C43">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t>
            </w:r>
            <w:r>
              <w:rPr>
                <w:rFonts w:ascii="Times New Roman" w:hAnsi="Times New Roman"/>
                <w:color w:val="000000" w:themeColor="text1"/>
                <w:sz w:val="24"/>
                <w:highlight w:val="none"/>
                <w:vertAlign w:val="subscript"/>
                <w14:textFill>
                  <w14:solidFill>
                    <w14:schemeClr w14:val="tx1"/>
                  </w14:solidFill>
                </w14:textFill>
              </w:rPr>
              <w:t>p1</w:t>
            </w:r>
            <w:r>
              <w:rPr>
                <w:rFonts w:ascii="Times New Roman" w:hAnsi="Times New Roman"/>
                <w:color w:val="000000" w:themeColor="text1"/>
                <w:sz w:val="24"/>
                <w:highlight w:val="none"/>
                <w14:textFill>
                  <w14:solidFill>
                    <w14:schemeClr w14:val="tx1"/>
                  </w14:solidFill>
                </w14:textFill>
              </w:rPr>
              <w:t>—靠近开口处(或窗户)室内某倍频带的声压级或A声级，dB；</w:t>
            </w:r>
          </w:p>
          <w:p w14:paraId="6CFE27A9">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t>
            </w:r>
            <w:r>
              <w:rPr>
                <w:rFonts w:ascii="Times New Roman" w:hAnsi="Times New Roman"/>
                <w:color w:val="000000" w:themeColor="text1"/>
                <w:sz w:val="24"/>
                <w:highlight w:val="none"/>
                <w:vertAlign w:val="subscript"/>
                <w14:textFill>
                  <w14:solidFill>
                    <w14:schemeClr w14:val="tx1"/>
                  </w14:solidFill>
                </w14:textFill>
              </w:rPr>
              <w:t>p2</w:t>
            </w:r>
            <w:r>
              <w:rPr>
                <w:rFonts w:ascii="Times New Roman" w:hAnsi="Times New Roman"/>
                <w:color w:val="000000" w:themeColor="text1"/>
                <w:sz w:val="24"/>
                <w:highlight w:val="none"/>
                <w14:textFill>
                  <w14:solidFill>
                    <w14:schemeClr w14:val="tx1"/>
                  </w14:solidFill>
                </w14:textFill>
              </w:rPr>
              <w:t>—靠近开口处(或窗户)室外某倍频带的声压级或A声级，dB；</w:t>
            </w:r>
          </w:p>
          <w:p w14:paraId="20999BE8">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TI—隔墙(或窗户)倍频带或A声级的隔声量，dB。</w:t>
            </w:r>
          </w:p>
          <w:p w14:paraId="4DBAB371">
            <w:pPr>
              <w:adjustRightInd w:val="0"/>
              <w:snapToGrid w:val="0"/>
              <w:spacing w:line="360" w:lineRule="auto"/>
              <w:ind w:firstLine="480"/>
              <w:jc w:val="center"/>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drawing>
                <wp:inline distT="0" distB="0" distL="114300" distR="114300">
                  <wp:extent cx="2323465" cy="1275715"/>
                  <wp:effectExtent l="0" t="0" r="635" b="63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20"/>
                          <a:stretch>
                            <a:fillRect/>
                          </a:stretch>
                        </pic:blipFill>
                        <pic:spPr>
                          <a:xfrm>
                            <a:off x="0" y="0"/>
                            <a:ext cx="2323465" cy="1275715"/>
                          </a:xfrm>
                          <a:prstGeom prst="rect">
                            <a:avLst/>
                          </a:prstGeom>
                          <a:noFill/>
                          <a:ln>
                            <a:noFill/>
                          </a:ln>
                        </pic:spPr>
                      </pic:pic>
                    </a:graphicData>
                  </a:graphic>
                </wp:inline>
              </w:drawing>
            </w:r>
          </w:p>
          <w:p w14:paraId="3BCEDD2D">
            <w:pPr>
              <w:adjustRightInd w:val="0"/>
              <w:snapToGrid w:val="0"/>
              <w:spacing w:line="360" w:lineRule="auto"/>
              <w:ind w:firstLine="480"/>
              <w:jc w:val="center"/>
              <w:rPr>
                <w:rFonts w:ascii="Times New Roman" w:hAnsi="Times New Roman" w:eastAsia="黑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图</w:t>
            </w:r>
            <w:r>
              <w:rPr>
                <w:rFonts w:hint="eastAsia" w:ascii="Times New Roman" w:hAnsi="Times New Roman" w:eastAsia="宋体"/>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lang w:val="en-US" w:eastAsia="zh-CN"/>
                <w14:textFill>
                  <w14:solidFill>
                    <w14:schemeClr w14:val="tx1"/>
                  </w14:solidFill>
                </w14:textFill>
              </w:rPr>
              <w:t>.3</w:t>
            </w:r>
            <w:r>
              <w:rPr>
                <w:rFonts w:hint="eastAsia" w:ascii="Times New Roman" w:hAnsi="Times New Roman" w:eastAsia="宋体"/>
                <w:b/>
                <w:bCs/>
                <w:color w:val="000000" w:themeColor="text1"/>
                <w:sz w:val="24"/>
                <w:highlight w:val="none"/>
                <w:lang w:val="en-US"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1</w:t>
            </w:r>
            <w:r>
              <w:rPr>
                <w:rFonts w:hint="eastAsia" w:ascii="Times New Roman" w:hAnsi="Times New Roman" w:eastAsia="宋体"/>
                <w:b/>
                <w:bCs/>
                <w:color w:val="000000" w:themeColor="text1"/>
                <w:sz w:val="24"/>
                <w:highlight w:val="none"/>
                <w14:textFill>
                  <w14:solidFill>
                    <w14:schemeClr w14:val="tx1"/>
                  </w14:solidFill>
                </w14:textFill>
              </w:rPr>
              <w:t xml:space="preserve"> 室内声源等效室外声源图例</w:t>
            </w:r>
          </w:p>
          <w:p w14:paraId="6492B979">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②按下式计算某一室内声源靠近围护结构处产生的倍频带声压级或A声级：</w:t>
            </w:r>
          </w:p>
          <w:p w14:paraId="419E2CF0">
            <w:pPr>
              <w:adjustRightInd w:val="0"/>
              <w:snapToGrid w:val="0"/>
              <w:spacing w:line="360" w:lineRule="auto"/>
              <w:ind w:firstLine="480"/>
              <w:jc w:val="center"/>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drawing>
                <wp:inline distT="0" distB="0" distL="114300" distR="114300">
                  <wp:extent cx="1714500" cy="485775"/>
                  <wp:effectExtent l="0" t="0" r="0" b="889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21"/>
                          <a:stretch>
                            <a:fillRect/>
                          </a:stretch>
                        </pic:blipFill>
                        <pic:spPr>
                          <a:xfrm>
                            <a:off x="0" y="0"/>
                            <a:ext cx="1714500" cy="485775"/>
                          </a:xfrm>
                          <a:prstGeom prst="rect">
                            <a:avLst/>
                          </a:prstGeom>
                          <a:noFill/>
                          <a:ln>
                            <a:noFill/>
                          </a:ln>
                        </pic:spPr>
                      </pic:pic>
                    </a:graphicData>
                  </a:graphic>
                </wp:inline>
              </w:drawing>
            </w:r>
          </w:p>
          <w:p w14:paraId="08B377D9">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w:t>
            </w:r>
          </w:p>
          <w:p w14:paraId="4DC6F2F5">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Lp</w:t>
            </w:r>
            <w:r>
              <w:rPr>
                <w:rFonts w:ascii="Times New Roman" w:hAnsi="Times New Roman"/>
                <w:color w:val="000000" w:themeColor="text1"/>
                <w:sz w:val="24"/>
                <w:highlight w:val="none"/>
                <w:vertAlign w:val="subscript"/>
                <w14:textFill>
                  <w14:solidFill>
                    <w14:schemeClr w14:val="tx1"/>
                  </w14:solidFill>
                </w14:textFill>
              </w:rPr>
              <w:t>1</w:t>
            </w:r>
            <w:r>
              <w:rPr>
                <w:rFonts w:ascii="Times New Roman" w:hAnsi="Times New Roman"/>
                <w:color w:val="000000" w:themeColor="text1"/>
                <w:sz w:val="24"/>
                <w:highlight w:val="none"/>
                <w14:textFill>
                  <w14:solidFill>
                    <w14:schemeClr w14:val="tx1"/>
                  </w14:solidFill>
                </w14:textFill>
              </w:rPr>
              <w:t>—靠近开口处(或窗户)室内某倍频带的声压级或A声级，dB；</w:t>
            </w:r>
          </w:p>
          <w:p w14:paraId="3E70BD16">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Lw—点声源声功率级(A计权或倍频带)，dB；</w:t>
            </w:r>
          </w:p>
          <w:p w14:paraId="5A147BAD">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Q—指向性因数；通常对无指向性声源，当声源放在房间中心时，Q=1；当放在一面墙的中心时，Q=2；当放在两面墙夹角处时，Q=4；当放在三面墙夹角处时，Q=8；</w:t>
            </w:r>
          </w:p>
          <w:p w14:paraId="619D81BE">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R—房间常数；R=Sa/(1-a)，s为房间内表面面积，m</w:t>
            </w:r>
            <w:r>
              <w:rPr>
                <w:rFonts w:ascii="Times New Roman" w:hAnsi="Times New Roman"/>
                <w:color w:val="000000" w:themeColor="text1"/>
                <w:sz w:val="24"/>
                <w:highlight w:val="none"/>
                <w:vertAlign w:val="superscript"/>
                <w14:textFill>
                  <w14:solidFill>
                    <w14:schemeClr w14:val="tx1"/>
                  </w14:solidFill>
                </w14:textFill>
              </w:rPr>
              <w:t>2</w:t>
            </w:r>
            <w:r>
              <w:rPr>
                <w:rFonts w:ascii="Times New Roman" w:hAnsi="Times New Roman"/>
                <w:color w:val="000000" w:themeColor="text1"/>
                <w:sz w:val="24"/>
                <w:highlight w:val="none"/>
                <w14:textFill>
                  <w14:solidFill>
                    <w14:schemeClr w14:val="tx1"/>
                  </w14:solidFill>
                </w14:textFill>
              </w:rPr>
              <w:t>；a为平均吸声系数；</w:t>
            </w:r>
          </w:p>
          <w:p w14:paraId="296B5B64">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r—声源到靠近围护结构某点处的距离，m。</w:t>
            </w:r>
          </w:p>
          <w:p w14:paraId="6DA0BF5F">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③按下式计算出所有室内声源在靠近围护结构处产生的i倍频带叠加声压级：</w:t>
            </w:r>
          </w:p>
          <w:p w14:paraId="6EDDA2A9">
            <w:pPr>
              <w:adjustRightInd w:val="0"/>
              <w:snapToGrid w:val="0"/>
              <w:spacing w:line="360" w:lineRule="auto"/>
              <w:ind w:firstLine="480"/>
              <w:jc w:val="center"/>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drawing>
                <wp:inline distT="0" distB="0" distL="114300" distR="114300">
                  <wp:extent cx="1687195" cy="485775"/>
                  <wp:effectExtent l="0" t="0" r="8255" b="889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22"/>
                          <a:stretch>
                            <a:fillRect/>
                          </a:stretch>
                        </pic:blipFill>
                        <pic:spPr>
                          <a:xfrm>
                            <a:off x="0" y="0"/>
                            <a:ext cx="1687195" cy="485775"/>
                          </a:xfrm>
                          <a:prstGeom prst="rect">
                            <a:avLst/>
                          </a:prstGeom>
                          <a:noFill/>
                          <a:ln>
                            <a:noFill/>
                          </a:ln>
                        </pic:spPr>
                      </pic:pic>
                    </a:graphicData>
                  </a:graphic>
                </wp:inline>
              </w:drawing>
            </w:r>
          </w:p>
          <w:p w14:paraId="28E8773A">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w:t>
            </w:r>
          </w:p>
          <w:p w14:paraId="47D5BF07">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t>
            </w:r>
            <w:r>
              <w:rPr>
                <w:rFonts w:ascii="Times New Roman" w:hAnsi="Times New Roman"/>
                <w:color w:val="000000" w:themeColor="text1"/>
                <w:sz w:val="24"/>
                <w:highlight w:val="none"/>
                <w:vertAlign w:val="subscript"/>
                <w14:textFill>
                  <w14:solidFill>
                    <w14:schemeClr w14:val="tx1"/>
                  </w14:solidFill>
                </w14:textFill>
              </w:rPr>
              <w:t>p1i</w:t>
            </w:r>
            <w:r>
              <w:rPr>
                <w:rFonts w:ascii="Times New Roman" w:hAnsi="Times New Roman"/>
                <w:color w:val="000000" w:themeColor="text1"/>
                <w:sz w:val="24"/>
                <w:highlight w:val="none"/>
                <w14:textFill>
                  <w14:solidFill>
                    <w14:schemeClr w14:val="tx1"/>
                  </w14:solidFill>
                </w14:textFill>
              </w:rPr>
              <w:t>(T)—靠近围护结构处室内N个声源i倍频带的叠加声压级，dB；</w:t>
            </w:r>
          </w:p>
          <w:p w14:paraId="602956DC">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t>
            </w:r>
            <w:r>
              <w:rPr>
                <w:rFonts w:ascii="Times New Roman" w:hAnsi="Times New Roman"/>
                <w:color w:val="000000" w:themeColor="text1"/>
                <w:sz w:val="24"/>
                <w:highlight w:val="none"/>
                <w:vertAlign w:val="subscript"/>
                <w14:textFill>
                  <w14:solidFill>
                    <w14:schemeClr w14:val="tx1"/>
                  </w14:solidFill>
                </w14:textFill>
              </w:rPr>
              <w:t>p1ij</w:t>
            </w:r>
            <w:r>
              <w:rPr>
                <w:rFonts w:ascii="Times New Roman" w:hAnsi="Times New Roman"/>
                <w:color w:val="000000" w:themeColor="text1"/>
                <w:sz w:val="24"/>
                <w:highlight w:val="none"/>
                <w14:textFill>
                  <w14:solidFill>
                    <w14:schemeClr w14:val="tx1"/>
                  </w14:solidFill>
                </w14:textFill>
              </w:rPr>
              <w:t>—室内j声源i倍频带的声压级，dB；</w:t>
            </w:r>
          </w:p>
          <w:p w14:paraId="07D84C1C">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N—室内声源总数。</w:t>
            </w:r>
          </w:p>
          <w:p w14:paraId="1273EC08">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④在室内近似为扩散声场时，按下式计算出室外靠近围护结构处的声压级：</w:t>
            </w:r>
          </w:p>
          <w:p w14:paraId="6F82C78A">
            <w:pPr>
              <w:adjustRightInd w:val="0"/>
              <w:snapToGrid w:val="0"/>
              <w:spacing w:line="360" w:lineRule="auto"/>
              <w:ind w:firstLine="480"/>
              <w:jc w:val="center"/>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drawing>
                <wp:inline distT="0" distB="0" distL="114300" distR="114300">
                  <wp:extent cx="1780540" cy="238760"/>
                  <wp:effectExtent l="0" t="0" r="10160" b="762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23"/>
                          <a:stretch>
                            <a:fillRect/>
                          </a:stretch>
                        </pic:blipFill>
                        <pic:spPr>
                          <a:xfrm>
                            <a:off x="0" y="0"/>
                            <a:ext cx="1780540" cy="238760"/>
                          </a:xfrm>
                          <a:prstGeom prst="rect">
                            <a:avLst/>
                          </a:prstGeom>
                          <a:noFill/>
                          <a:ln>
                            <a:noFill/>
                          </a:ln>
                        </pic:spPr>
                      </pic:pic>
                    </a:graphicData>
                  </a:graphic>
                </wp:inline>
              </w:drawing>
            </w:r>
          </w:p>
          <w:p w14:paraId="16014F06">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w:t>
            </w:r>
          </w:p>
          <w:p w14:paraId="4C38C1F2">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t>
            </w:r>
            <w:r>
              <w:rPr>
                <w:rFonts w:ascii="Times New Roman" w:hAnsi="Times New Roman"/>
                <w:color w:val="000000" w:themeColor="text1"/>
                <w:sz w:val="24"/>
                <w:highlight w:val="none"/>
                <w:vertAlign w:val="subscript"/>
                <w14:textFill>
                  <w14:solidFill>
                    <w14:schemeClr w14:val="tx1"/>
                  </w14:solidFill>
                </w14:textFill>
              </w:rPr>
              <w:t>p2i</w:t>
            </w:r>
            <w:r>
              <w:rPr>
                <w:rFonts w:ascii="Times New Roman" w:hAnsi="Times New Roman"/>
                <w:color w:val="000000" w:themeColor="text1"/>
                <w:sz w:val="24"/>
                <w:highlight w:val="none"/>
                <w14:textFill>
                  <w14:solidFill>
                    <w14:schemeClr w14:val="tx1"/>
                  </w14:solidFill>
                </w14:textFill>
              </w:rPr>
              <w:t>(T)—靠近围护结构处室外N个声源i倍频带的叠加声压级，dB；</w:t>
            </w:r>
          </w:p>
          <w:p w14:paraId="5873B34B">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t>
            </w:r>
            <w:r>
              <w:rPr>
                <w:rFonts w:ascii="Times New Roman" w:hAnsi="Times New Roman"/>
                <w:color w:val="000000" w:themeColor="text1"/>
                <w:sz w:val="24"/>
                <w:highlight w:val="none"/>
                <w:vertAlign w:val="subscript"/>
                <w14:textFill>
                  <w14:solidFill>
                    <w14:schemeClr w14:val="tx1"/>
                  </w14:solidFill>
                </w14:textFill>
              </w:rPr>
              <w:t>p1i</w:t>
            </w:r>
            <w:r>
              <w:rPr>
                <w:rFonts w:ascii="Times New Roman" w:hAnsi="Times New Roman"/>
                <w:color w:val="000000" w:themeColor="text1"/>
                <w:sz w:val="24"/>
                <w:highlight w:val="none"/>
                <w14:textFill>
                  <w14:solidFill>
                    <w14:schemeClr w14:val="tx1"/>
                  </w14:solidFill>
                </w14:textFill>
              </w:rPr>
              <w:t>(T)—靠近围护结构处室内N个声源i倍频带的叠加声压级，dB；</w:t>
            </w:r>
          </w:p>
          <w:p w14:paraId="61789581">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TL</w:t>
            </w:r>
            <w:r>
              <w:rPr>
                <w:rFonts w:ascii="Times New Roman" w:hAnsi="Times New Roman"/>
                <w:color w:val="000000" w:themeColor="text1"/>
                <w:sz w:val="24"/>
                <w:highlight w:val="none"/>
                <w:vertAlign w:val="subscript"/>
                <w14:textFill>
                  <w14:solidFill>
                    <w14:schemeClr w14:val="tx1"/>
                  </w14:solidFill>
                </w14:textFill>
              </w:rPr>
              <w:t>i</w:t>
            </w:r>
            <w:r>
              <w:rPr>
                <w:rFonts w:ascii="Times New Roman" w:hAnsi="Times New Roman"/>
                <w:color w:val="000000" w:themeColor="text1"/>
                <w:sz w:val="24"/>
                <w:highlight w:val="none"/>
                <w14:textFill>
                  <w14:solidFill>
                    <w14:schemeClr w14:val="tx1"/>
                  </w14:solidFill>
                </w14:textFill>
              </w:rPr>
              <w:t>—围护结构i倍频带的隔声量，dB。</w:t>
            </w:r>
          </w:p>
          <w:p w14:paraId="3E1C03D0">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⑤按下式将室外声源的声压级和透声面积换算成等效的室外声源，计算出中心位置位于透声面积(S)处的等效声源的倍频带的声功率级</w:t>
            </w:r>
            <w:r>
              <w:rPr>
                <w:rFonts w:ascii="Times New Roman" w:hAnsi="Times New Roman"/>
                <w:color w:val="000000" w:themeColor="text1"/>
                <w:sz w:val="24"/>
                <w:highlight w:val="none"/>
                <w14:textFill>
                  <w14:solidFill>
                    <w14:schemeClr w14:val="tx1"/>
                  </w14:solidFill>
                </w14:textFill>
              </w:rPr>
              <w:softHyphen/>
            </w:r>
            <w:r>
              <w:rPr>
                <w:rFonts w:ascii="Times New Roman" w:hAnsi="Times New Roman"/>
                <w:color w:val="000000" w:themeColor="text1"/>
                <w:sz w:val="24"/>
                <w:highlight w:val="none"/>
                <w14:textFill>
                  <w14:solidFill>
                    <w14:schemeClr w14:val="tx1"/>
                  </w14:solidFill>
                </w14:textFill>
              </w:rPr>
              <w:softHyphen/>
            </w:r>
            <w:r>
              <w:rPr>
                <w:rFonts w:ascii="Times New Roman" w:hAnsi="Times New Roman"/>
                <w:color w:val="000000" w:themeColor="text1"/>
                <w:sz w:val="24"/>
                <w:highlight w:val="none"/>
                <w14:textFill>
                  <w14:solidFill>
                    <w14:schemeClr w14:val="tx1"/>
                  </w14:solidFill>
                </w14:textFill>
              </w:rPr>
              <w:t>：</w:t>
            </w:r>
          </w:p>
          <w:p w14:paraId="6AD8AA2D">
            <w:pPr>
              <w:adjustRightInd w:val="0"/>
              <w:snapToGrid w:val="0"/>
              <w:spacing w:line="360" w:lineRule="auto"/>
              <w:ind w:firstLine="480"/>
              <w:jc w:val="center"/>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drawing>
                <wp:inline distT="0" distB="0" distL="114300" distR="114300">
                  <wp:extent cx="1333500" cy="238760"/>
                  <wp:effectExtent l="0" t="0" r="0" b="762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24"/>
                          <a:stretch>
                            <a:fillRect/>
                          </a:stretch>
                        </pic:blipFill>
                        <pic:spPr>
                          <a:xfrm>
                            <a:off x="0" y="0"/>
                            <a:ext cx="1333500" cy="238760"/>
                          </a:xfrm>
                          <a:prstGeom prst="rect">
                            <a:avLst/>
                          </a:prstGeom>
                          <a:noFill/>
                          <a:ln>
                            <a:noFill/>
                          </a:ln>
                        </pic:spPr>
                      </pic:pic>
                    </a:graphicData>
                  </a:graphic>
                </wp:inline>
              </w:drawing>
            </w:r>
          </w:p>
          <w:p w14:paraId="0D0D3A4A">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w:t>
            </w:r>
          </w:p>
          <w:p w14:paraId="354D426B">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Lw—中心位置位于透声面积(S)处的等效声源的倍频带声功率级，dB；</w:t>
            </w:r>
          </w:p>
          <w:p w14:paraId="4C623071">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Lp</w:t>
            </w:r>
            <w:r>
              <w:rPr>
                <w:rFonts w:ascii="Times New Roman" w:hAnsi="Times New Roman"/>
                <w:color w:val="000000" w:themeColor="text1"/>
                <w:sz w:val="24"/>
                <w:highlight w:val="none"/>
                <w:vertAlign w:val="subscript"/>
                <w14:textFill>
                  <w14:solidFill>
                    <w14:schemeClr w14:val="tx1"/>
                  </w14:solidFill>
                </w14:textFill>
              </w:rPr>
              <w:t>2</w:t>
            </w:r>
            <w:r>
              <w:rPr>
                <w:rFonts w:ascii="Times New Roman" w:hAnsi="Times New Roman"/>
                <w:color w:val="000000" w:themeColor="text1"/>
                <w:sz w:val="24"/>
                <w:highlight w:val="none"/>
                <w14:textFill>
                  <w14:solidFill>
                    <w14:schemeClr w14:val="tx1"/>
                  </w14:solidFill>
                </w14:textFill>
              </w:rPr>
              <w:t>(T)—靠近围护结构处室外声源的声压级，dB；</w:t>
            </w:r>
          </w:p>
          <w:p w14:paraId="1D515DBC">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S透声面积，m</w:t>
            </w:r>
            <w:r>
              <w:rPr>
                <w:rFonts w:ascii="Times New Roman" w:hAnsi="Times New Roman"/>
                <w:color w:val="000000" w:themeColor="text1"/>
                <w:sz w:val="24"/>
                <w:highlight w:val="none"/>
                <w:vertAlign w:val="superscript"/>
                <w14:textFill>
                  <w14:solidFill>
                    <w14:schemeClr w14:val="tx1"/>
                  </w14:solidFill>
                </w14:textFill>
              </w:rPr>
              <w:t>2</w:t>
            </w:r>
            <w:r>
              <w:rPr>
                <w:rFonts w:ascii="Times New Roman" w:hAnsi="Times New Roman"/>
                <w:color w:val="000000" w:themeColor="text1"/>
                <w:sz w:val="24"/>
                <w:highlight w:val="none"/>
                <w14:textFill>
                  <w14:solidFill>
                    <w14:schemeClr w14:val="tx1"/>
                  </w14:solidFill>
                </w14:textFill>
              </w:rPr>
              <w:t>。</w:t>
            </w:r>
          </w:p>
          <w:p w14:paraId="35F43AA5">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2）户外声传播的衰减</w:t>
            </w:r>
          </w:p>
          <w:p w14:paraId="2145FA52">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户外声传播衰减包括几何发散(Adiv)、大气吸收(Aatm)、地面效应(Agr)、障碍物屏蔽(Abar)、其他多方面效应(Amisc)引起的衰减。</w:t>
            </w:r>
          </w:p>
          <w:p w14:paraId="4D6C817F">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①基本公式</w:t>
            </w:r>
          </w:p>
          <w:p w14:paraId="6D4C5A48">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某个声源在预测点处声压级的计算公式如下：</w:t>
            </w:r>
          </w:p>
          <w:p w14:paraId="1192C583">
            <w:pPr>
              <w:adjustRightInd w:val="0"/>
              <w:snapToGrid w:val="0"/>
              <w:spacing w:line="360" w:lineRule="auto"/>
              <w:ind w:firstLine="480"/>
              <w:jc w:val="center"/>
              <w:rPr>
                <w:rFonts w:ascii="Times New Roman" w:hAnsi="Times New Roman"/>
                <w:color w:val="000000" w:themeColor="text1"/>
                <w:sz w:val="24"/>
                <w:highlight w:val="none"/>
                <w14:textFill>
                  <w14:solidFill>
                    <w14:schemeClr w14:val="tx1"/>
                  </w14:solidFill>
                </w14:textFill>
              </w:rPr>
            </w:pPr>
            <w:r>
              <w:rPr>
                <w:rFonts w:ascii="Times New Roman" w:hAnsi="Times New Roman" w:eastAsia="Times New Roman"/>
                <w:i/>
                <w:color w:val="000000" w:themeColor="text1"/>
                <w:sz w:val="24"/>
                <w:highlight w:val="none"/>
                <w14:textFill>
                  <w14:solidFill>
                    <w14:schemeClr w14:val="tx1"/>
                  </w14:solidFill>
                </w14:textFill>
              </w:rPr>
              <w:t>Lp</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r</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Lw</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D</w:t>
            </w:r>
            <w:r>
              <w:rPr>
                <w:rFonts w:ascii="Times New Roman" w:hAnsi="Times New Roman" w:eastAsia="Times New Roman"/>
                <w:color w:val="000000" w:themeColor="text1"/>
                <w:sz w:val="24"/>
                <w:highlight w:val="none"/>
                <w14:textFill>
                  <w14:solidFill>
                    <w14:schemeClr w14:val="tx1"/>
                  </w14:solidFill>
                </w14:textFill>
              </w:rPr>
              <w:t>C</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div</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atm</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gr</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bar</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misc)</w:t>
            </w:r>
          </w:p>
          <w:p w14:paraId="20A322DF">
            <w:pPr>
              <w:adjustRightInd w:val="0"/>
              <w:snapToGrid w:val="0"/>
              <w:spacing w:line="360" w:lineRule="auto"/>
              <w:ind w:firstLine="480"/>
              <w:jc w:val="center"/>
              <w:rPr>
                <w:rFonts w:ascii="Times New Roman" w:hAnsi="Times New Roman"/>
                <w:color w:val="000000" w:themeColor="text1"/>
                <w:sz w:val="24"/>
                <w:highlight w:val="none"/>
                <w14:textFill>
                  <w14:solidFill>
                    <w14:schemeClr w14:val="tx1"/>
                  </w14:solidFill>
                </w14:textFill>
              </w:rPr>
            </w:pPr>
            <w:r>
              <w:rPr>
                <w:rFonts w:ascii="Times New Roman" w:hAnsi="Times New Roman" w:eastAsia="Times New Roman"/>
                <w:i/>
                <w:color w:val="000000" w:themeColor="text1"/>
                <w:sz w:val="24"/>
                <w:highlight w:val="none"/>
                <w14:textFill>
                  <w14:solidFill>
                    <w14:schemeClr w14:val="tx1"/>
                  </w14:solidFill>
                </w14:textFill>
              </w:rPr>
              <w:t>Lp</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r</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Lp</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r</w:t>
            </w:r>
            <w:r>
              <w:rPr>
                <w:rFonts w:ascii="Times New Roman" w:hAnsi="Times New Roman" w:eastAsia="Times New Roman"/>
                <w:color w:val="000000" w:themeColor="text1"/>
                <w:sz w:val="24"/>
                <w:highlight w:val="none"/>
                <w14:textFill>
                  <w14:solidFill>
                    <w14:schemeClr w14:val="tx1"/>
                  </w14:solidFill>
                </w14:textFill>
              </w:rPr>
              <w:t>0)+</w:t>
            </w:r>
            <w:r>
              <w:rPr>
                <w:rFonts w:ascii="Times New Roman" w:hAnsi="Times New Roman" w:eastAsia="Times New Roman"/>
                <w:i/>
                <w:color w:val="000000" w:themeColor="text1"/>
                <w:sz w:val="24"/>
                <w:highlight w:val="none"/>
                <w14:textFill>
                  <w14:solidFill>
                    <w14:schemeClr w14:val="tx1"/>
                  </w14:solidFill>
                </w14:textFill>
              </w:rPr>
              <w:t>D</w:t>
            </w:r>
            <w:r>
              <w:rPr>
                <w:rFonts w:ascii="Times New Roman" w:hAnsi="Times New Roman" w:eastAsia="Times New Roman"/>
                <w:color w:val="000000" w:themeColor="text1"/>
                <w:sz w:val="24"/>
                <w:highlight w:val="none"/>
                <w14:textFill>
                  <w14:solidFill>
                    <w14:schemeClr w14:val="tx1"/>
                  </w14:solidFill>
                </w14:textFill>
              </w:rPr>
              <w:t>C</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div</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atm</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gr</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bar</w:t>
            </w:r>
            <w:r>
              <w:rPr>
                <w:rFonts w:ascii="Times New Roman" w:hAnsi="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misc)</w:t>
            </w:r>
          </w:p>
          <w:p w14:paraId="38549997">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w:t>
            </w:r>
          </w:p>
          <w:p w14:paraId="2EA4863A">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 xml:space="preserve">Lp(r)—预测点处声压级，dB； </w:t>
            </w:r>
          </w:p>
          <w:p w14:paraId="783377F3">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w:t>
            </w:r>
            <w:r>
              <w:rPr>
                <w:rFonts w:ascii="Times New Roman" w:hAnsi="Times New Roman"/>
                <w:color w:val="000000" w:themeColor="text1"/>
                <w:sz w:val="24"/>
                <w:highlight w:val="none"/>
                <w14:textFill>
                  <w14:solidFill>
                    <w14:schemeClr w14:val="tx1"/>
                  </w14:solidFill>
                </w14:textFill>
              </w:rPr>
              <w:softHyphen/>
            </w:r>
            <w:r>
              <w:rPr>
                <w:rFonts w:ascii="Times New Roman" w:hAnsi="Times New Roman"/>
                <w:color w:val="000000" w:themeColor="text1"/>
                <w:sz w:val="24"/>
                <w:highlight w:val="none"/>
                <w14:textFill>
                  <w14:solidFill>
                    <w14:schemeClr w14:val="tx1"/>
                  </w14:solidFill>
                </w14:textFill>
              </w:rPr>
              <w:softHyphen/>
            </w:r>
            <w:r>
              <w:rPr>
                <w:rFonts w:ascii="Times New Roman" w:hAnsi="Times New Roman"/>
                <w:color w:val="000000" w:themeColor="text1"/>
                <w:sz w:val="24"/>
                <w:highlight w:val="none"/>
                <w14:textFill>
                  <w14:solidFill>
                    <w14:schemeClr w14:val="tx1"/>
                  </w14:solidFill>
                </w14:textFill>
              </w:rPr>
              <w:t>w—由点声源产生的声功率级(A计权或倍频带)，dB；</w:t>
            </w:r>
          </w:p>
          <w:p w14:paraId="0C86C978">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Lp(r0)—参考位置r0处的声压级，dB；</w:t>
            </w:r>
          </w:p>
          <w:p w14:paraId="4F968143">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 xml:space="preserve">Dc—指向性校正，它描述点声源的等效连续声压级与产生声功率级Lw的全向点声源在规定方向的声级的偏差程度，dB； </w:t>
            </w:r>
          </w:p>
          <w:p w14:paraId="7D912467">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 xml:space="preserve">Adiv—几何发散引起的衰减，dB； </w:t>
            </w:r>
          </w:p>
          <w:p w14:paraId="3A4F3BB6">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 xml:space="preserve">Aatm—大气吸收引起的衰减，dB； </w:t>
            </w:r>
          </w:p>
          <w:p w14:paraId="4D58A822">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Agr—地面效应引起的衰减，dB；</w:t>
            </w:r>
          </w:p>
          <w:p w14:paraId="7CAC6424">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Abar—障碍物屏蔽引起的衰减，dB；</w:t>
            </w:r>
          </w:p>
          <w:p w14:paraId="5BDA9624">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Amisc—其他多方面效应引起的衰减，dB。</w:t>
            </w:r>
          </w:p>
          <w:p w14:paraId="2358445A">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②预测点的</w:t>
            </w:r>
            <w:r>
              <w:rPr>
                <w:rFonts w:ascii="Times New Roman" w:hAnsi="Times New Roman" w:eastAsia="Times New Roman"/>
                <w:color w:val="000000" w:themeColor="text1"/>
                <w:sz w:val="24"/>
                <w:highlight w:val="none"/>
                <w14:textFill>
                  <w14:solidFill>
                    <w14:schemeClr w14:val="tx1"/>
                  </w14:solidFill>
                </w14:textFill>
              </w:rPr>
              <w:t>A</w:t>
            </w:r>
            <w:r>
              <w:rPr>
                <w:rFonts w:ascii="Times New Roman" w:hAnsi="Times New Roman"/>
                <w:color w:val="000000" w:themeColor="text1"/>
                <w:sz w:val="24"/>
                <w:highlight w:val="none"/>
                <w14:textFill>
                  <w14:solidFill>
                    <w14:schemeClr w14:val="tx1"/>
                  </w14:solidFill>
                </w14:textFill>
              </w:rPr>
              <w:t>声级</w:t>
            </w:r>
            <w:r>
              <w:rPr>
                <w:rFonts w:ascii="Times New Roman" w:hAnsi="Times New Roman" w:eastAsia="Times New Roman"/>
                <w:i/>
                <w:color w:val="000000" w:themeColor="text1"/>
                <w:sz w:val="24"/>
                <w:highlight w:val="none"/>
                <w14:textFill>
                  <w14:solidFill>
                    <w14:schemeClr w14:val="tx1"/>
                  </w14:solidFill>
                </w14:textFill>
              </w:rPr>
              <w:t>L</w:t>
            </w:r>
            <w:r>
              <w:rPr>
                <w:rFonts w:ascii="Times New Roman" w:hAnsi="Times New Roman" w:eastAsia="Times New Roman"/>
                <w:color w:val="000000" w:themeColor="text1"/>
                <w:sz w:val="24"/>
                <w:highlight w:val="none"/>
                <w:vertAlign w:val="subscript"/>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r</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可按下式计算，即将</w:t>
            </w:r>
            <w:r>
              <w:rPr>
                <w:rFonts w:ascii="Times New Roman" w:hAnsi="Times New Roman" w:eastAsia="Times New Roman"/>
                <w:color w:val="000000" w:themeColor="text1"/>
                <w:sz w:val="24"/>
                <w:highlight w:val="none"/>
                <w14:textFill>
                  <w14:solidFill>
                    <w14:schemeClr w14:val="tx1"/>
                  </w14:solidFill>
                </w14:textFill>
              </w:rPr>
              <w:t>8</w:t>
            </w:r>
            <w:r>
              <w:rPr>
                <w:rFonts w:ascii="Times New Roman" w:hAnsi="Times New Roman"/>
                <w:color w:val="000000" w:themeColor="text1"/>
                <w:sz w:val="24"/>
                <w:highlight w:val="none"/>
                <w14:textFill>
                  <w14:solidFill>
                    <w14:schemeClr w14:val="tx1"/>
                  </w14:solidFill>
                </w14:textFill>
              </w:rPr>
              <w:t>个倍频带声压级合成，计算出预测点的</w:t>
            </w:r>
            <w:r>
              <w:rPr>
                <w:rFonts w:ascii="Times New Roman" w:hAnsi="Times New Roman" w:eastAsia="Times New Roman"/>
                <w:color w:val="000000" w:themeColor="text1"/>
                <w:sz w:val="24"/>
                <w:highlight w:val="none"/>
                <w14:textFill>
                  <w14:solidFill>
                    <w14:schemeClr w14:val="tx1"/>
                  </w14:solidFill>
                </w14:textFill>
              </w:rPr>
              <w:t>A</w:t>
            </w:r>
            <w:r>
              <w:rPr>
                <w:rFonts w:ascii="Times New Roman" w:hAnsi="Times New Roman"/>
                <w:color w:val="000000" w:themeColor="text1"/>
                <w:sz w:val="24"/>
                <w:highlight w:val="none"/>
                <w14:textFill>
                  <w14:solidFill>
                    <w14:schemeClr w14:val="tx1"/>
                  </w14:solidFill>
                </w14:textFill>
              </w:rPr>
              <w:t>声级</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L</w:t>
            </w:r>
            <w:r>
              <w:rPr>
                <w:rFonts w:ascii="Times New Roman" w:hAnsi="Times New Roman" w:eastAsia="Times New Roman"/>
                <w:color w:val="000000" w:themeColor="text1"/>
                <w:sz w:val="24"/>
                <w:highlight w:val="none"/>
                <w:vertAlign w:val="subscript"/>
                <w14:textFill>
                  <w14:solidFill>
                    <w14:schemeClr w14:val="tx1"/>
                  </w14:solidFill>
                </w14:textFill>
              </w:rPr>
              <w:t>A</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eastAsia="Times New Roman"/>
                <w:i/>
                <w:color w:val="000000" w:themeColor="text1"/>
                <w:sz w:val="24"/>
                <w:highlight w:val="none"/>
                <w14:textFill>
                  <w14:solidFill>
                    <w14:schemeClr w14:val="tx1"/>
                  </w14:solidFill>
                </w14:textFill>
              </w:rPr>
              <w:t>r</w:t>
            </w:r>
            <w:r>
              <w:rPr>
                <w:rFonts w:ascii="Times New Roman" w:hAnsi="Times New Roman" w:eastAsia="Times New Roman"/>
                <w:color w:val="000000" w:themeColor="text1"/>
                <w:sz w:val="24"/>
                <w:highlight w:val="none"/>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w:t>
            </w:r>
          </w:p>
          <w:p w14:paraId="7E2D9028">
            <w:pPr>
              <w:spacing w:line="360" w:lineRule="auto"/>
              <w:ind w:firstLine="1778" w:firstLineChars="738"/>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drawing>
                <wp:inline distT="0" distB="0" distL="114300" distR="114300">
                  <wp:extent cx="1934210" cy="419735"/>
                  <wp:effectExtent l="0" t="0" r="8890" b="1841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25"/>
                          <a:stretch>
                            <a:fillRect/>
                          </a:stretch>
                        </pic:blipFill>
                        <pic:spPr>
                          <a:xfrm>
                            <a:off x="0" y="0"/>
                            <a:ext cx="1934210" cy="419735"/>
                          </a:xfrm>
                          <a:prstGeom prst="rect">
                            <a:avLst/>
                          </a:prstGeom>
                          <a:noFill/>
                          <a:ln>
                            <a:noFill/>
                          </a:ln>
                        </pic:spPr>
                      </pic:pic>
                    </a:graphicData>
                  </a:graphic>
                </wp:inline>
              </w:drawing>
            </w:r>
            <w:r>
              <w:rPr>
                <w:rFonts w:ascii="Times New Roman" w:hAnsi="Times New Roman"/>
                <w:b/>
                <w:color w:val="000000" w:themeColor="text1"/>
                <w:sz w:val="24"/>
                <w:highlight w:val="none"/>
                <w14:textFill>
                  <w14:solidFill>
                    <w14:schemeClr w14:val="tx1"/>
                  </w14:solidFill>
                </w14:textFill>
              </w:rPr>
              <w:t xml:space="preserve">                       </w:t>
            </w:r>
          </w:p>
          <w:p w14:paraId="60CC4398">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w:t>
            </w:r>
          </w:p>
          <w:p w14:paraId="245F33C0">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LA(r)—距声源r处的A声级，dB(A)；</w:t>
            </w:r>
          </w:p>
          <w:p w14:paraId="0829AC4E">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Lpi(r)—预测点(r)处，第i倍频带声压级，dB；</w:t>
            </w:r>
          </w:p>
          <w:p w14:paraId="71D37B6F">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△Li—i倍频带A计算网络修正值，dB(根据导则附录B计算)。</w:t>
            </w:r>
          </w:p>
          <w:p w14:paraId="47B777F2">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衰减项计算按导则附录A中A.3相关模式计算。</w:t>
            </w:r>
          </w:p>
          <w:p w14:paraId="18DC8553">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3）噪声贡献值计算</w:t>
            </w:r>
          </w:p>
          <w:p w14:paraId="33E22B5E">
            <w:pPr>
              <w:adjustRightInd w:val="0"/>
              <w:snapToGrid w:val="0"/>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设第i个室外声源在预测点产生的A声级为L</w:t>
            </w:r>
            <w:r>
              <w:rPr>
                <w:rFonts w:ascii="Times New Roman" w:hAnsi="Times New Roman"/>
                <w:color w:val="000000" w:themeColor="text1"/>
                <w:sz w:val="24"/>
                <w:highlight w:val="none"/>
                <w:vertAlign w:val="subscript"/>
                <w14:textFill>
                  <w14:solidFill>
                    <w14:schemeClr w14:val="tx1"/>
                  </w14:solidFill>
                </w14:textFill>
              </w:rPr>
              <w:t>Ai</w:t>
            </w:r>
            <w:r>
              <w:rPr>
                <w:rFonts w:ascii="Times New Roman" w:hAnsi="Times New Roman"/>
                <w:color w:val="000000" w:themeColor="text1"/>
                <w:sz w:val="24"/>
                <w:highlight w:val="none"/>
                <w14:textFill>
                  <w14:solidFill>
                    <w14:schemeClr w14:val="tx1"/>
                  </w14:solidFill>
                </w14:textFill>
              </w:rPr>
              <w:t>，在T时间内该声源工作时间为t</w:t>
            </w:r>
            <w:r>
              <w:rPr>
                <w:rFonts w:ascii="Times New Roman" w:hAnsi="Times New Roman"/>
                <w:color w:val="000000" w:themeColor="text1"/>
                <w:sz w:val="24"/>
                <w:highlight w:val="none"/>
                <w:vertAlign w:val="subscript"/>
                <w14:textFill>
                  <w14:solidFill>
                    <w14:schemeClr w14:val="tx1"/>
                  </w14:solidFill>
                </w14:textFill>
              </w:rPr>
              <w:t>i</w:t>
            </w:r>
            <w:r>
              <w:rPr>
                <w:rFonts w:ascii="Times New Roman" w:hAnsi="Times New Roman"/>
                <w:color w:val="000000" w:themeColor="text1"/>
                <w:sz w:val="24"/>
                <w:highlight w:val="none"/>
                <w14:textFill>
                  <w14:solidFill>
                    <w14:schemeClr w14:val="tx1"/>
                  </w14:solidFill>
                </w14:textFill>
              </w:rPr>
              <w:t>；第j个等效室外声源在预测点产生的A声级为L</w:t>
            </w:r>
            <w:r>
              <w:rPr>
                <w:rFonts w:ascii="Times New Roman" w:hAnsi="Times New Roman"/>
                <w:color w:val="000000" w:themeColor="text1"/>
                <w:sz w:val="24"/>
                <w:highlight w:val="none"/>
                <w:vertAlign w:val="subscript"/>
                <w14:textFill>
                  <w14:solidFill>
                    <w14:schemeClr w14:val="tx1"/>
                  </w14:solidFill>
                </w14:textFill>
              </w:rPr>
              <w:t>Aj</w:t>
            </w:r>
            <w:r>
              <w:rPr>
                <w:rFonts w:ascii="Times New Roman" w:hAnsi="Times New Roman"/>
                <w:color w:val="000000" w:themeColor="text1"/>
                <w:sz w:val="24"/>
                <w:highlight w:val="none"/>
                <w14:textFill>
                  <w14:solidFill>
                    <w14:schemeClr w14:val="tx1"/>
                  </w14:solidFill>
                </w14:textFill>
              </w:rPr>
              <w:t>，在T时间内该声源工作时间为t</w:t>
            </w:r>
            <w:r>
              <w:rPr>
                <w:rFonts w:ascii="Times New Roman" w:hAnsi="Times New Roman"/>
                <w:color w:val="000000" w:themeColor="text1"/>
                <w:sz w:val="24"/>
                <w:highlight w:val="none"/>
                <w:vertAlign w:val="subscript"/>
                <w14:textFill>
                  <w14:solidFill>
                    <w14:schemeClr w14:val="tx1"/>
                  </w14:solidFill>
                </w14:textFill>
              </w:rPr>
              <w:t xml:space="preserve"> j</w:t>
            </w:r>
            <w:r>
              <w:rPr>
                <w:rFonts w:ascii="Times New Roman" w:hAnsi="Times New Roman"/>
                <w:color w:val="000000" w:themeColor="text1"/>
                <w:sz w:val="24"/>
                <w:highlight w:val="none"/>
                <w14:textFill>
                  <w14:solidFill>
                    <w14:schemeClr w14:val="tx1"/>
                  </w14:solidFill>
                </w14:textFill>
              </w:rPr>
              <w:t>，则拟建工程声源对预测点产生的贡献值(Leqg)为：</w:t>
            </w:r>
          </w:p>
          <w:p w14:paraId="7485E4F8">
            <w:pPr>
              <w:spacing w:line="360" w:lineRule="auto"/>
              <w:ind w:firstLine="555"/>
              <w:jc w:val="center"/>
              <w:rPr>
                <w:rFonts w:ascii="Times New Roman" w:hAnsi="Times New Roman"/>
                <w:color w:val="000000" w:themeColor="text1"/>
                <w:szCs w:val="28"/>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inline distT="0" distB="0" distL="114300" distR="114300">
                  <wp:extent cx="2372995" cy="485775"/>
                  <wp:effectExtent l="0" t="0" r="8255" b="9525"/>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26"/>
                          <a:stretch>
                            <a:fillRect/>
                          </a:stretch>
                        </pic:blipFill>
                        <pic:spPr>
                          <a:xfrm>
                            <a:off x="0" y="0"/>
                            <a:ext cx="2372995" cy="485775"/>
                          </a:xfrm>
                          <a:prstGeom prst="rect">
                            <a:avLst/>
                          </a:prstGeom>
                          <a:noFill/>
                          <a:ln>
                            <a:noFill/>
                          </a:ln>
                        </pic:spPr>
                      </pic:pic>
                    </a:graphicData>
                  </a:graphic>
                </wp:inline>
              </w:drawing>
            </w:r>
            <w:r>
              <w:rPr>
                <w:rFonts w:ascii="Times New Roman" w:hAnsi="Times New Roman"/>
                <w:color w:val="000000" w:themeColor="text1"/>
                <w:szCs w:val="28"/>
                <w:highlight w:val="none"/>
                <w14:textFill>
                  <w14:solidFill>
                    <w14:schemeClr w14:val="tx1"/>
                  </w14:solidFill>
                </w14:textFill>
              </w:rPr>
              <w:t xml:space="preserve">  </w:t>
            </w:r>
          </w:p>
          <w:p w14:paraId="028B37A7">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 xml:space="preserve">式中：Leqg——建设项目声源在预测点产生的噪声贡献值，dB(A)； </w:t>
            </w:r>
          </w:p>
          <w:p w14:paraId="7B714E50">
            <w:pPr>
              <w:spacing w:line="360" w:lineRule="auto"/>
              <w:ind w:firstLine="1200" w:firstLineChars="5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 xml:space="preserve">T——用于计算等效声级的时间，s； </w:t>
            </w:r>
          </w:p>
          <w:p w14:paraId="37B6D506">
            <w:pPr>
              <w:spacing w:line="360" w:lineRule="auto"/>
              <w:ind w:firstLine="1200" w:firstLineChars="5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 xml:space="preserve">N——室外声源个数； </w:t>
            </w:r>
          </w:p>
          <w:p w14:paraId="63D4293E">
            <w:pPr>
              <w:spacing w:line="360" w:lineRule="auto"/>
              <w:ind w:firstLine="1200" w:firstLineChars="5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t</w:t>
            </w:r>
            <w:r>
              <w:rPr>
                <w:rFonts w:ascii="Times New Roman" w:hAnsi="Times New Roman"/>
                <w:color w:val="000000" w:themeColor="text1"/>
                <w:sz w:val="24"/>
                <w:highlight w:val="none"/>
                <w:vertAlign w:val="subscript"/>
                <w14:textFill>
                  <w14:solidFill>
                    <w14:schemeClr w14:val="tx1"/>
                  </w14:solidFill>
                </w14:textFill>
              </w:rPr>
              <w:t>i</w:t>
            </w:r>
            <w:r>
              <w:rPr>
                <w:rFonts w:ascii="Times New Roman" w:hAnsi="Times New Roman"/>
                <w:color w:val="000000" w:themeColor="text1"/>
                <w:sz w:val="24"/>
                <w:highlight w:val="none"/>
                <w14:textFill>
                  <w14:solidFill>
                    <w14:schemeClr w14:val="tx1"/>
                  </w14:solidFill>
                </w14:textFill>
              </w:rPr>
              <w:t xml:space="preserve">——在T时间内i声源工作时间，s； </w:t>
            </w:r>
          </w:p>
          <w:p w14:paraId="13D32241">
            <w:pPr>
              <w:spacing w:line="360" w:lineRule="auto"/>
              <w:ind w:firstLine="1200" w:firstLineChars="5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 xml:space="preserve">M——等效室外声源个数； </w:t>
            </w:r>
          </w:p>
          <w:p w14:paraId="1D6835F9">
            <w:pPr>
              <w:spacing w:line="360" w:lineRule="auto"/>
              <w:ind w:firstLine="1200" w:firstLineChars="5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t</w:t>
            </w:r>
            <w:r>
              <w:rPr>
                <w:rFonts w:ascii="Times New Roman" w:hAnsi="Times New Roman"/>
                <w:color w:val="000000" w:themeColor="text1"/>
                <w:sz w:val="24"/>
                <w:highlight w:val="none"/>
                <w:vertAlign w:val="subscript"/>
                <w14:textFill>
                  <w14:solidFill>
                    <w14:schemeClr w14:val="tx1"/>
                  </w14:solidFill>
                </w14:textFill>
              </w:rPr>
              <w:t xml:space="preserve">j </w:t>
            </w:r>
            <w:r>
              <w:rPr>
                <w:rFonts w:ascii="Times New Roman" w:hAnsi="Times New Roman"/>
                <w:color w:val="000000" w:themeColor="text1"/>
                <w:sz w:val="24"/>
                <w:highlight w:val="none"/>
                <w14:textFill>
                  <w14:solidFill>
                    <w14:schemeClr w14:val="tx1"/>
                  </w14:solidFill>
                </w14:textFill>
              </w:rPr>
              <w:t>——在T时间内j声源工作时间，s。</w:t>
            </w:r>
          </w:p>
          <w:p w14:paraId="62EED683">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4）噪声预测值计算</w:t>
            </w:r>
          </w:p>
          <w:p w14:paraId="191D5AFF">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预测点的贡献值和背景值按能量叠加方法计算得到的声级，计算公式：</w:t>
            </w:r>
          </w:p>
          <w:p w14:paraId="583406DD">
            <w:pPr>
              <w:spacing w:line="360" w:lineRule="auto"/>
              <w:ind w:firstLine="1680" w:firstLineChars="7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drawing>
                <wp:inline distT="0" distB="0" distL="114300" distR="114300">
                  <wp:extent cx="1903730" cy="304800"/>
                  <wp:effectExtent l="0" t="0" r="1270" b="0"/>
                  <wp:docPr id="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pic:cNvPicPr>
                            <a:picLocks noChangeAspect="1"/>
                          </pic:cNvPicPr>
                        </pic:nvPicPr>
                        <pic:blipFill>
                          <a:blip r:embed="rId27"/>
                          <a:stretch>
                            <a:fillRect/>
                          </a:stretch>
                        </pic:blipFill>
                        <pic:spPr>
                          <a:xfrm>
                            <a:off x="0" y="0"/>
                            <a:ext cx="1903730" cy="304800"/>
                          </a:xfrm>
                          <a:prstGeom prst="rect">
                            <a:avLst/>
                          </a:prstGeom>
                          <a:noFill/>
                          <a:ln>
                            <a:noFill/>
                          </a:ln>
                        </pic:spPr>
                      </pic:pic>
                    </a:graphicData>
                  </a:graphic>
                </wp:inline>
              </w:drawing>
            </w:r>
            <w:r>
              <w:rPr>
                <w:rFonts w:ascii="Times New Roman" w:hAnsi="Times New Roman"/>
                <w:color w:val="000000" w:themeColor="text1"/>
                <w:sz w:val="24"/>
                <w:highlight w:val="none"/>
                <w14:textFill>
                  <w14:solidFill>
                    <w14:schemeClr w14:val="tx1"/>
                  </w14:solidFill>
                </w14:textFill>
              </w:rPr>
              <w:t xml:space="preserve">            (2)</w:t>
            </w:r>
          </w:p>
          <w:p w14:paraId="59BF08CD">
            <w:pPr>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w:t>
            </w:r>
          </w:p>
          <w:p w14:paraId="75F49862">
            <w:pPr>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Leq—预测点的噪声预测值，dB；</w:t>
            </w:r>
          </w:p>
          <w:p w14:paraId="7EA06170">
            <w:pPr>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Leqg—建设项目声源在预测点产生的噪声贡献值，dB；</w:t>
            </w:r>
          </w:p>
          <w:p w14:paraId="363FC3F5">
            <w:pPr>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Leqb—预测点的背景噪声值，dB。</w:t>
            </w:r>
          </w:p>
          <w:p w14:paraId="01015F24">
            <w:pPr>
              <w:snapToGrid w:val="0"/>
              <w:spacing w:line="360" w:lineRule="auto"/>
              <w:ind w:right="11"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5）隔声量的确定</w:t>
            </w:r>
          </w:p>
          <w:p w14:paraId="3BF64326">
            <w:pPr>
              <w:pStyle w:val="66"/>
              <w:ind w:firstLine="420"/>
              <w:rPr>
                <w:rFonts w:ascii="宋体" w:hAnsi="宋体"/>
                <w:color w:val="000000" w:themeColor="text1"/>
                <w:sz w:val="24"/>
                <w:szCs w:val="32"/>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项目主要噪声设备设置于车间内，设备噪声经墙体隔声，设备基础减振后，可削减15dB(A)以上。</w:t>
            </w:r>
          </w:p>
          <w:p w14:paraId="4B51DE9B">
            <w:pPr>
              <w:pStyle w:val="66"/>
              <w:ind w:firstLine="420"/>
              <w:rPr>
                <w:color w:val="000000" w:themeColor="text1"/>
                <w:sz w:val="24"/>
                <w:szCs w:val="32"/>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w:t>
            </w:r>
            <w:r>
              <w:rPr>
                <w:color w:val="000000" w:themeColor="text1"/>
                <w:sz w:val="24"/>
                <w:szCs w:val="32"/>
                <w:highlight w:val="none"/>
                <w14:textFill>
                  <w14:solidFill>
                    <w14:schemeClr w14:val="tx1"/>
                  </w14:solidFill>
                </w14:textFill>
              </w:rPr>
              <w:t>3</w:t>
            </w:r>
            <w:r>
              <w:rPr>
                <w:rFonts w:ascii="宋体" w:hAnsi="宋体"/>
                <w:color w:val="000000" w:themeColor="text1"/>
                <w:sz w:val="24"/>
                <w:szCs w:val="32"/>
                <w:highlight w:val="none"/>
                <w14:textFill>
                  <w14:solidFill>
                    <w14:schemeClr w14:val="tx1"/>
                  </w14:solidFill>
                </w14:textFill>
              </w:rPr>
              <w:t>）预测结果</w:t>
            </w:r>
          </w:p>
          <w:p w14:paraId="7A094D65">
            <w:pPr>
              <w:pStyle w:val="66"/>
              <w:ind w:firstLine="420"/>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工程运行后，厂界噪声预测结果见下表。工程营运期厂界昼间噪声贡献值不超过</w:t>
            </w:r>
            <w:r>
              <w:rPr>
                <w:color w:val="000000" w:themeColor="text1"/>
                <w:sz w:val="24"/>
                <w:szCs w:val="32"/>
                <w:highlight w:val="none"/>
                <w14:textFill>
                  <w14:solidFill>
                    <w14:schemeClr w14:val="tx1"/>
                  </w14:solidFill>
                </w14:textFill>
              </w:rPr>
              <w:t>65dB</w:t>
            </w:r>
            <w:r>
              <w:rPr>
                <w:rFonts w:ascii="宋体" w:hAnsi="宋体"/>
                <w:color w:val="000000" w:themeColor="text1"/>
                <w:sz w:val="24"/>
                <w:szCs w:val="32"/>
                <w:highlight w:val="none"/>
                <w14:textFill>
                  <w14:solidFill>
                    <w14:schemeClr w14:val="tx1"/>
                  </w14:solidFill>
                </w14:textFill>
              </w:rPr>
              <w:t>，夜间厂界的贡献值不超过</w:t>
            </w:r>
            <w:r>
              <w:rPr>
                <w:color w:val="000000" w:themeColor="text1"/>
                <w:sz w:val="24"/>
                <w:szCs w:val="32"/>
                <w:highlight w:val="none"/>
                <w14:textFill>
                  <w14:solidFill>
                    <w14:schemeClr w14:val="tx1"/>
                  </w14:solidFill>
                </w14:textFill>
              </w:rPr>
              <w:t>55dB</w:t>
            </w:r>
            <w:r>
              <w:rPr>
                <w:rFonts w:ascii="宋体" w:hAnsi="宋体"/>
                <w:color w:val="000000" w:themeColor="text1"/>
                <w:sz w:val="24"/>
                <w:szCs w:val="32"/>
                <w:highlight w:val="none"/>
                <w14:textFill>
                  <w14:solidFill>
                    <w14:schemeClr w14:val="tx1"/>
                  </w14:solidFill>
                </w14:textFill>
              </w:rPr>
              <w:t>，符合《工业企业厂界环境噪声排放标准》</w:t>
            </w:r>
            <w:r>
              <w:rPr>
                <w:rFonts w:hint="eastAsia" w:ascii="宋体" w:hAnsi="宋体"/>
                <w:color w:val="000000" w:themeColor="text1"/>
                <w:sz w:val="24"/>
                <w:szCs w:val="32"/>
                <w:highlight w:val="none"/>
                <w14:textFill>
                  <w14:solidFill>
                    <w14:schemeClr w14:val="tx1"/>
                  </w14:solidFill>
                </w14:textFill>
              </w:rPr>
              <w:t>（</w:t>
            </w:r>
            <w:r>
              <w:rPr>
                <w:color w:val="000000" w:themeColor="text1"/>
                <w:sz w:val="24"/>
                <w:szCs w:val="32"/>
                <w:highlight w:val="none"/>
                <w14:textFill>
                  <w14:solidFill>
                    <w14:schemeClr w14:val="tx1"/>
                  </w14:solidFill>
                </w14:textFill>
              </w:rPr>
              <w:t>GB12348-2008</w:t>
            </w:r>
            <w:r>
              <w:rPr>
                <w:rFonts w:hint="eastAsia" w:ascii="宋体" w:hAnsi="宋体"/>
                <w:color w:val="000000" w:themeColor="text1"/>
                <w:sz w:val="24"/>
                <w:szCs w:val="32"/>
                <w:highlight w:val="none"/>
                <w14:textFill>
                  <w14:solidFill>
                    <w14:schemeClr w14:val="tx1"/>
                  </w14:solidFill>
                </w14:textFill>
              </w:rPr>
              <w:t>）</w:t>
            </w:r>
            <w:r>
              <w:rPr>
                <w:rFonts w:ascii="宋体" w:hAnsi="宋体"/>
                <w:color w:val="000000" w:themeColor="text1"/>
                <w:sz w:val="24"/>
                <w:szCs w:val="32"/>
                <w:highlight w:val="none"/>
                <w14:textFill>
                  <w14:solidFill>
                    <w14:schemeClr w14:val="tx1"/>
                  </w14:solidFill>
                </w14:textFill>
              </w:rPr>
              <w:t>规定的</w:t>
            </w:r>
            <w:r>
              <w:rPr>
                <w:color w:val="000000" w:themeColor="text1"/>
                <w:sz w:val="24"/>
                <w:szCs w:val="32"/>
                <w:highlight w:val="none"/>
                <w14:textFill>
                  <w14:solidFill>
                    <w14:schemeClr w14:val="tx1"/>
                  </w14:solidFill>
                </w14:textFill>
              </w:rPr>
              <w:t>3</w:t>
            </w:r>
            <w:r>
              <w:rPr>
                <w:rFonts w:ascii="宋体" w:hAnsi="宋体"/>
                <w:color w:val="000000" w:themeColor="text1"/>
                <w:sz w:val="24"/>
                <w:szCs w:val="32"/>
                <w:highlight w:val="none"/>
                <w14:textFill>
                  <w14:solidFill>
                    <w14:schemeClr w14:val="tx1"/>
                  </w14:solidFill>
                </w14:textFill>
              </w:rPr>
              <w:t>类要求。</w:t>
            </w:r>
          </w:p>
          <w:p w14:paraId="1EE7698A">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 4</w:t>
            </w:r>
            <w:r>
              <w:rPr>
                <w:rFonts w:hint="eastAsia" w:eastAsia="宋体" w:cs="宋体"/>
                <w:b/>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w:t>
            </w:r>
            <w:r>
              <w:rPr>
                <w:rFonts w:hint="eastAsia" w:eastAsia="宋体" w:cs="宋体"/>
                <w:b/>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环境噪声预测结果  单位：dB</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856"/>
              <w:gridCol w:w="856"/>
              <w:gridCol w:w="1003"/>
              <w:gridCol w:w="1004"/>
              <w:gridCol w:w="946"/>
              <w:gridCol w:w="954"/>
            </w:tblGrid>
            <w:tr w14:paraId="3A63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0" w:type="pct"/>
                  <w:vMerge w:val="restart"/>
                  <w:tcBorders>
                    <w:top w:val="single" w:color="auto" w:sz="4" w:space="0"/>
                    <w:left w:val="single" w:color="auto" w:sz="4" w:space="0"/>
                    <w:bottom w:val="single" w:color="auto" w:sz="4" w:space="0"/>
                    <w:right w:val="single" w:color="auto" w:sz="4" w:space="0"/>
                  </w:tcBorders>
                  <w:vAlign w:val="center"/>
                </w:tcPr>
                <w:p w14:paraId="5A73F073">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厂界声环境预测</w:t>
                  </w:r>
                  <w:r>
                    <w:rPr>
                      <w:rFonts w:hint="eastAsia" w:ascii="宋体" w:hAnsi="宋体"/>
                      <w:color w:val="000000" w:themeColor="text1"/>
                      <w:sz w:val="21"/>
                      <w:szCs w:val="21"/>
                      <w:highlight w:val="none"/>
                      <w14:textFill>
                        <w14:solidFill>
                          <w14:schemeClr w14:val="tx1"/>
                        </w14:solidFill>
                      </w14:textFill>
                    </w:rPr>
                    <w:t>区域</w:t>
                  </w:r>
                </w:p>
              </w:tc>
              <w:tc>
                <w:tcPr>
                  <w:tcW w:w="1054" w:type="pct"/>
                  <w:gridSpan w:val="2"/>
                  <w:tcBorders>
                    <w:top w:val="single" w:color="auto" w:sz="4" w:space="0"/>
                    <w:left w:val="single" w:color="auto" w:sz="4" w:space="0"/>
                    <w:bottom w:val="single" w:color="auto" w:sz="4" w:space="0"/>
                    <w:right w:val="single" w:color="auto" w:sz="4" w:space="0"/>
                  </w:tcBorders>
                  <w:vAlign w:val="center"/>
                </w:tcPr>
                <w:p w14:paraId="4D92C185">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执行标准</w:t>
                  </w:r>
                </w:p>
              </w:tc>
              <w:tc>
                <w:tcPr>
                  <w:tcW w:w="1235" w:type="pct"/>
                  <w:gridSpan w:val="2"/>
                  <w:tcBorders>
                    <w:top w:val="single" w:color="auto" w:sz="4" w:space="0"/>
                    <w:left w:val="single" w:color="auto" w:sz="4" w:space="0"/>
                    <w:bottom w:val="single" w:color="auto" w:sz="4" w:space="0"/>
                    <w:right w:val="single" w:color="auto" w:sz="4" w:space="0"/>
                  </w:tcBorders>
                  <w:vAlign w:val="center"/>
                </w:tcPr>
                <w:p w14:paraId="256BDA5B">
                  <w:pPr>
                    <w:pStyle w:val="70"/>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拟建工程贡献</w:t>
                  </w:r>
                  <w:r>
                    <w:rPr>
                      <w:rFonts w:ascii="宋体" w:hAnsi="宋体"/>
                      <w:color w:val="000000" w:themeColor="text1"/>
                      <w:sz w:val="21"/>
                      <w:szCs w:val="21"/>
                      <w:highlight w:val="none"/>
                      <w14:textFill>
                        <w14:solidFill>
                          <w14:schemeClr w14:val="tx1"/>
                        </w14:solidFill>
                      </w14:textFill>
                    </w:rPr>
                    <w:t>预测值</w:t>
                  </w:r>
                </w:p>
              </w:tc>
              <w:tc>
                <w:tcPr>
                  <w:tcW w:w="1169" w:type="pct"/>
                  <w:gridSpan w:val="2"/>
                  <w:tcBorders>
                    <w:top w:val="single" w:color="auto" w:sz="4" w:space="0"/>
                    <w:left w:val="single" w:color="auto" w:sz="4" w:space="0"/>
                    <w:bottom w:val="single" w:color="auto" w:sz="4" w:space="0"/>
                    <w:right w:val="single" w:color="auto" w:sz="4" w:space="0"/>
                  </w:tcBorders>
                  <w:vAlign w:val="center"/>
                </w:tcPr>
                <w:p w14:paraId="6DEB1F05">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达标情况</w:t>
                  </w:r>
                </w:p>
              </w:tc>
            </w:tr>
            <w:tr w14:paraId="5D33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0" w:type="pct"/>
                  <w:vMerge w:val="continue"/>
                  <w:tcBorders>
                    <w:top w:val="single" w:color="auto" w:sz="4" w:space="0"/>
                    <w:left w:val="single" w:color="auto" w:sz="4" w:space="0"/>
                    <w:bottom w:val="single" w:color="auto" w:sz="4" w:space="0"/>
                    <w:right w:val="single" w:color="auto" w:sz="4" w:space="0"/>
                  </w:tcBorders>
                  <w:vAlign w:val="center"/>
                </w:tcPr>
                <w:p w14:paraId="428BF2F4">
                  <w:pPr>
                    <w:widowControl/>
                    <w:jc w:val="left"/>
                    <w:rPr>
                      <w:color w:val="000000" w:themeColor="text1"/>
                      <w:sz w:val="21"/>
                      <w:szCs w:val="21"/>
                      <w:highlight w:val="none"/>
                      <w14:textFill>
                        <w14:solidFill>
                          <w14:schemeClr w14:val="tx1"/>
                        </w14:solidFill>
                      </w14:textFill>
                    </w:rPr>
                  </w:pPr>
                </w:p>
              </w:tc>
              <w:tc>
                <w:tcPr>
                  <w:tcW w:w="527" w:type="pct"/>
                  <w:tcBorders>
                    <w:top w:val="single" w:color="auto" w:sz="4" w:space="0"/>
                    <w:left w:val="single" w:color="auto" w:sz="4" w:space="0"/>
                    <w:bottom w:val="single" w:color="auto" w:sz="4" w:space="0"/>
                    <w:right w:val="single" w:color="auto" w:sz="4" w:space="0"/>
                  </w:tcBorders>
                  <w:vAlign w:val="center"/>
                </w:tcPr>
                <w:p w14:paraId="0FF12D8E">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昼间</w:t>
                  </w:r>
                </w:p>
              </w:tc>
              <w:tc>
                <w:tcPr>
                  <w:tcW w:w="527" w:type="pct"/>
                  <w:tcBorders>
                    <w:top w:val="single" w:color="auto" w:sz="4" w:space="0"/>
                    <w:left w:val="single" w:color="auto" w:sz="4" w:space="0"/>
                    <w:bottom w:val="single" w:color="auto" w:sz="4" w:space="0"/>
                    <w:right w:val="single" w:color="auto" w:sz="4" w:space="0"/>
                  </w:tcBorders>
                  <w:vAlign w:val="center"/>
                </w:tcPr>
                <w:p w14:paraId="3E7F90DB">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夜间</w:t>
                  </w:r>
                </w:p>
              </w:tc>
              <w:tc>
                <w:tcPr>
                  <w:tcW w:w="617" w:type="pct"/>
                  <w:tcBorders>
                    <w:top w:val="single" w:color="auto" w:sz="4" w:space="0"/>
                    <w:left w:val="single" w:color="auto" w:sz="4" w:space="0"/>
                    <w:bottom w:val="single" w:color="auto" w:sz="4" w:space="0"/>
                    <w:right w:val="single" w:color="auto" w:sz="4" w:space="0"/>
                  </w:tcBorders>
                  <w:vAlign w:val="center"/>
                </w:tcPr>
                <w:p w14:paraId="51A44B63">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昼间</w:t>
                  </w:r>
                </w:p>
              </w:tc>
              <w:tc>
                <w:tcPr>
                  <w:tcW w:w="618" w:type="pct"/>
                  <w:tcBorders>
                    <w:top w:val="single" w:color="auto" w:sz="4" w:space="0"/>
                    <w:left w:val="single" w:color="auto" w:sz="4" w:space="0"/>
                    <w:bottom w:val="single" w:color="auto" w:sz="4" w:space="0"/>
                    <w:right w:val="single" w:color="auto" w:sz="4" w:space="0"/>
                  </w:tcBorders>
                  <w:vAlign w:val="center"/>
                </w:tcPr>
                <w:p w14:paraId="2FD0684B">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夜间</w:t>
                  </w:r>
                </w:p>
              </w:tc>
              <w:tc>
                <w:tcPr>
                  <w:tcW w:w="582" w:type="pct"/>
                  <w:tcBorders>
                    <w:top w:val="single" w:color="auto" w:sz="4" w:space="0"/>
                    <w:left w:val="single" w:color="auto" w:sz="4" w:space="0"/>
                    <w:bottom w:val="single" w:color="auto" w:sz="4" w:space="0"/>
                    <w:right w:val="single" w:color="auto" w:sz="4" w:space="0"/>
                  </w:tcBorders>
                  <w:vAlign w:val="center"/>
                </w:tcPr>
                <w:p w14:paraId="00D0947C">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昼间</w:t>
                  </w:r>
                </w:p>
              </w:tc>
              <w:tc>
                <w:tcPr>
                  <w:tcW w:w="587" w:type="pct"/>
                  <w:tcBorders>
                    <w:top w:val="single" w:color="auto" w:sz="4" w:space="0"/>
                    <w:left w:val="single" w:color="auto" w:sz="4" w:space="0"/>
                    <w:bottom w:val="single" w:color="auto" w:sz="4" w:space="0"/>
                    <w:right w:val="single" w:color="auto" w:sz="4" w:space="0"/>
                  </w:tcBorders>
                  <w:vAlign w:val="center"/>
                </w:tcPr>
                <w:p w14:paraId="21D4F302">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夜间</w:t>
                  </w:r>
                </w:p>
              </w:tc>
            </w:tr>
            <w:tr w14:paraId="4597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0" w:type="pct"/>
                  <w:tcBorders>
                    <w:top w:val="single" w:color="auto" w:sz="4" w:space="0"/>
                    <w:left w:val="single" w:color="auto" w:sz="4" w:space="0"/>
                    <w:bottom w:val="single" w:color="auto" w:sz="4" w:space="0"/>
                    <w:right w:val="single" w:color="auto" w:sz="4" w:space="0"/>
                  </w:tcBorders>
                  <w:vAlign w:val="center"/>
                </w:tcPr>
                <w:p w14:paraId="6E437738">
                  <w:pPr>
                    <w:pStyle w:val="70"/>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北侧厂界</w:t>
                  </w:r>
                </w:p>
              </w:tc>
              <w:tc>
                <w:tcPr>
                  <w:tcW w:w="527" w:type="pct"/>
                  <w:vMerge w:val="restart"/>
                  <w:tcBorders>
                    <w:top w:val="nil"/>
                    <w:left w:val="single" w:color="auto" w:sz="4" w:space="0"/>
                    <w:bottom w:val="single" w:color="auto" w:sz="4" w:space="0"/>
                    <w:right w:val="single" w:color="auto" w:sz="4" w:space="0"/>
                  </w:tcBorders>
                  <w:vAlign w:val="center"/>
                </w:tcPr>
                <w:p w14:paraId="09691A3D">
                  <w:pPr>
                    <w:pStyle w:val="7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65</w:t>
                  </w:r>
                </w:p>
              </w:tc>
              <w:tc>
                <w:tcPr>
                  <w:tcW w:w="527" w:type="pct"/>
                  <w:vMerge w:val="restart"/>
                  <w:tcBorders>
                    <w:top w:val="nil"/>
                    <w:left w:val="single" w:color="auto" w:sz="4" w:space="0"/>
                    <w:bottom w:val="single" w:color="auto" w:sz="4" w:space="0"/>
                    <w:right w:val="single" w:color="auto" w:sz="4" w:space="0"/>
                  </w:tcBorders>
                  <w:vAlign w:val="center"/>
                </w:tcPr>
                <w:p w14:paraId="79BBAD68">
                  <w:pPr>
                    <w:pStyle w:val="7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w:t>
                  </w:r>
                </w:p>
              </w:tc>
              <w:tc>
                <w:tcPr>
                  <w:tcW w:w="617" w:type="pct"/>
                  <w:tcBorders>
                    <w:top w:val="single" w:color="auto" w:sz="4" w:space="0"/>
                    <w:left w:val="single" w:color="auto" w:sz="4" w:space="0"/>
                    <w:bottom w:val="single" w:color="auto" w:sz="4" w:space="0"/>
                    <w:right w:val="single" w:color="auto" w:sz="4" w:space="0"/>
                  </w:tcBorders>
                  <w:vAlign w:val="bottom"/>
                </w:tcPr>
                <w:p w14:paraId="52977E8F">
                  <w:pPr>
                    <w:pStyle w:val="7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35.2</w:t>
                  </w:r>
                </w:p>
              </w:tc>
              <w:tc>
                <w:tcPr>
                  <w:tcW w:w="618" w:type="pct"/>
                  <w:tcBorders>
                    <w:top w:val="single" w:color="auto" w:sz="4" w:space="0"/>
                    <w:left w:val="single" w:color="auto" w:sz="4" w:space="0"/>
                    <w:bottom w:val="single" w:color="auto" w:sz="4" w:space="0"/>
                    <w:right w:val="single" w:color="auto" w:sz="4" w:space="0"/>
                  </w:tcBorders>
                  <w:vAlign w:val="bottom"/>
                </w:tcPr>
                <w:p w14:paraId="5377A940">
                  <w:pPr>
                    <w:pStyle w:val="7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35.2</w:t>
                  </w:r>
                  <w:r>
                    <w:rPr>
                      <w:color w:val="000000" w:themeColor="text1"/>
                      <w:sz w:val="21"/>
                      <w:szCs w:val="21"/>
                      <w:highlight w:val="none"/>
                      <w14:textFill>
                        <w14:solidFill>
                          <w14:schemeClr w14:val="tx1"/>
                        </w14:solidFill>
                      </w14:textFill>
                    </w:rPr>
                    <w:t xml:space="preserve"> </w:t>
                  </w:r>
                </w:p>
              </w:tc>
              <w:tc>
                <w:tcPr>
                  <w:tcW w:w="582" w:type="pct"/>
                  <w:tcBorders>
                    <w:top w:val="single" w:color="auto" w:sz="4" w:space="0"/>
                    <w:left w:val="single" w:color="auto" w:sz="4" w:space="0"/>
                    <w:bottom w:val="single" w:color="auto" w:sz="4" w:space="0"/>
                    <w:right w:val="single" w:color="auto" w:sz="4" w:space="0"/>
                  </w:tcBorders>
                  <w:vAlign w:val="center"/>
                </w:tcPr>
                <w:p w14:paraId="3AB773E8">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w:t>
                  </w:r>
                </w:p>
              </w:tc>
              <w:tc>
                <w:tcPr>
                  <w:tcW w:w="587" w:type="pct"/>
                  <w:tcBorders>
                    <w:top w:val="single" w:color="auto" w:sz="4" w:space="0"/>
                    <w:left w:val="single" w:color="auto" w:sz="4" w:space="0"/>
                    <w:bottom w:val="single" w:color="auto" w:sz="4" w:space="0"/>
                    <w:right w:val="single" w:color="auto" w:sz="4" w:space="0"/>
                  </w:tcBorders>
                  <w:vAlign w:val="center"/>
                </w:tcPr>
                <w:p w14:paraId="2DAA4FAC">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w:t>
                  </w:r>
                </w:p>
              </w:tc>
            </w:tr>
            <w:tr w14:paraId="6D5A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0" w:type="pct"/>
                  <w:tcBorders>
                    <w:top w:val="single" w:color="auto" w:sz="4" w:space="0"/>
                    <w:left w:val="single" w:color="auto" w:sz="4" w:space="0"/>
                    <w:bottom w:val="single" w:color="auto" w:sz="4" w:space="0"/>
                    <w:right w:val="single" w:color="auto" w:sz="4" w:space="0"/>
                  </w:tcBorders>
                  <w:vAlign w:val="center"/>
                </w:tcPr>
                <w:p w14:paraId="43C2F8E2">
                  <w:pPr>
                    <w:pStyle w:val="70"/>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西侧厂界</w:t>
                  </w:r>
                </w:p>
              </w:tc>
              <w:tc>
                <w:tcPr>
                  <w:tcW w:w="527" w:type="pct"/>
                  <w:vMerge w:val="continue"/>
                  <w:tcBorders>
                    <w:top w:val="nil"/>
                    <w:left w:val="single" w:color="auto" w:sz="4" w:space="0"/>
                    <w:bottom w:val="single" w:color="auto" w:sz="4" w:space="0"/>
                    <w:right w:val="single" w:color="auto" w:sz="4" w:space="0"/>
                  </w:tcBorders>
                  <w:vAlign w:val="center"/>
                </w:tcPr>
                <w:p w14:paraId="20675241">
                  <w:pPr>
                    <w:widowControl/>
                    <w:jc w:val="left"/>
                    <w:rPr>
                      <w:color w:val="000000" w:themeColor="text1"/>
                      <w:sz w:val="21"/>
                      <w:szCs w:val="21"/>
                      <w:highlight w:val="none"/>
                      <w14:textFill>
                        <w14:solidFill>
                          <w14:schemeClr w14:val="tx1"/>
                        </w14:solidFill>
                      </w14:textFill>
                    </w:rPr>
                  </w:pPr>
                </w:p>
              </w:tc>
              <w:tc>
                <w:tcPr>
                  <w:tcW w:w="527" w:type="pct"/>
                  <w:vMerge w:val="continue"/>
                  <w:tcBorders>
                    <w:top w:val="nil"/>
                    <w:left w:val="single" w:color="auto" w:sz="4" w:space="0"/>
                    <w:bottom w:val="single" w:color="auto" w:sz="4" w:space="0"/>
                    <w:right w:val="single" w:color="auto" w:sz="4" w:space="0"/>
                  </w:tcBorders>
                  <w:vAlign w:val="center"/>
                </w:tcPr>
                <w:p w14:paraId="4427FA77">
                  <w:pPr>
                    <w:widowControl/>
                    <w:jc w:val="left"/>
                    <w:rPr>
                      <w:color w:val="000000" w:themeColor="text1"/>
                      <w:sz w:val="21"/>
                      <w:szCs w:val="21"/>
                      <w:highlight w:val="none"/>
                      <w14:textFill>
                        <w14:solidFill>
                          <w14:schemeClr w14:val="tx1"/>
                        </w14:solidFill>
                      </w14:textFill>
                    </w:rPr>
                  </w:pPr>
                </w:p>
              </w:tc>
              <w:tc>
                <w:tcPr>
                  <w:tcW w:w="617" w:type="pct"/>
                  <w:tcBorders>
                    <w:top w:val="single" w:color="auto" w:sz="4" w:space="0"/>
                    <w:left w:val="single" w:color="auto" w:sz="4" w:space="0"/>
                    <w:bottom w:val="single" w:color="auto" w:sz="4" w:space="0"/>
                    <w:right w:val="single" w:color="auto" w:sz="4" w:space="0"/>
                  </w:tcBorders>
                  <w:vAlign w:val="bottom"/>
                </w:tcPr>
                <w:p w14:paraId="66B15A9F">
                  <w:pPr>
                    <w:pStyle w:val="70"/>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39.9</w:t>
                  </w:r>
                </w:p>
              </w:tc>
              <w:tc>
                <w:tcPr>
                  <w:tcW w:w="618" w:type="pct"/>
                  <w:tcBorders>
                    <w:top w:val="single" w:color="auto" w:sz="4" w:space="0"/>
                    <w:left w:val="single" w:color="auto" w:sz="4" w:space="0"/>
                    <w:bottom w:val="single" w:color="auto" w:sz="4" w:space="0"/>
                    <w:right w:val="single" w:color="auto" w:sz="4" w:space="0"/>
                  </w:tcBorders>
                  <w:shd w:val="clear" w:color="auto" w:fill="auto"/>
                  <w:vAlign w:val="bottom"/>
                </w:tcPr>
                <w:p w14:paraId="05A12C42">
                  <w:pPr>
                    <w:pStyle w:val="7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39.9</w:t>
                  </w:r>
                </w:p>
              </w:tc>
              <w:tc>
                <w:tcPr>
                  <w:tcW w:w="582" w:type="pct"/>
                  <w:tcBorders>
                    <w:top w:val="single" w:color="auto" w:sz="4" w:space="0"/>
                    <w:left w:val="single" w:color="auto" w:sz="4" w:space="0"/>
                    <w:bottom w:val="single" w:color="auto" w:sz="4" w:space="0"/>
                    <w:right w:val="single" w:color="auto" w:sz="4" w:space="0"/>
                  </w:tcBorders>
                  <w:vAlign w:val="center"/>
                </w:tcPr>
                <w:p w14:paraId="3EC62F37">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w:t>
                  </w:r>
                </w:p>
              </w:tc>
              <w:tc>
                <w:tcPr>
                  <w:tcW w:w="587" w:type="pct"/>
                  <w:tcBorders>
                    <w:top w:val="single" w:color="auto" w:sz="4" w:space="0"/>
                    <w:left w:val="single" w:color="auto" w:sz="4" w:space="0"/>
                    <w:bottom w:val="single" w:color="auto" w:sz="4" w:space="0"/>
                    <w:right w:val="single" w:color="auto" w:sz="4" w:space="0"/>
                  </w:tcBorders>
                  <w:vAlign w:val="center"/>
                </w:tcPr>
                <w:p w14:paraId="1A9CA80F">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w:t>
                  </w:r>
                </w:p>
              </w:tc>
            </w:tr>
            <w:tr w14:paraId="7369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0" w:type="pct"/>
                  <w:tcBorders>
                    <w:top w:val="single" w:color="auto" w:sz="4" w:space="0"/>
                    <w:left w:val="single" w:color="auto" w:sz="4" w:space="0"/>
                    <w:bottom w:val="single" w:color="auto" w:sz="4" w:space="0"/>
                    <w:right w:val="single" w:color="auto" w:sz="4" w:space="0"/>
                  </w:tcBorders>
                  <w:vAlign w:val="center"/>
                </w:tcPr>
                <w:p w14:paraId="5481DA11">
                  <w:pPr>
                    <w:pStyle w:val="70"/>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val="en-US" w:eastAsia="zh-CN"/>
                      <w14:textFill>
                        <w14:solidFill>
                          <w14:schemeClr w14:val="tx1"/>
                        </w14:solidFill>
                      </w14:textFill>
                    </w:rPr>
                    <w:t>南</w:t>
                  </w:r>
                  <w:r>
                    <w:rPr>
                      <w:rFonts w:hint="eastAsia" w:ascii="宋体" w:hAnsi="宋体"/>
                      <w:color w:val="000000" w:themeColor="text1"/>
                      <w:sz w:val="21"/>
                      <w:szCs w:val="21"/>
                      <w:highlight w:val="none"/>
                      <w14:textFill>
                        <w14:solidFill>
                          <w14:schemeClr w14:val="tx1"/>
                        </w14:solidFill>
                      </w14:textFill>
                    </w:rPr>
                    <w:t>侧厂界</w:t>
                  </w:r>
                </w:p>
              </w:tc>
              <w:tc>
                <w:tcPr>
                  <w:tcW w:w="527" w:type="pct"/>
                  <w:vMerge w:val="continue"/>
                  <w:tcBorders>
                    <w:top w:val="nil"/>
                    <w:left w:val="single" w:color="auto" w:sz="4" w:space="0"/>
                    <w:bottom w:val="single" w:color="auto" w:sz="4" w:space="0"/>
                    <w:right w:val="single" w:color="auto" w:sz="4" w:space="0"/>
                  </w:tcBorders>
                  <w:vAlign w:val="center"/>
                </w:tcPr>
                <w:p w14:paraId="5D040A21">
                  <w:pPr>
                    <w:widowControl/>
                    <w:jc w:val="left"/>
                    <w:rPr>
                      <w:color w:val="000000" w:themeColor="text1"/>
                      <w:sz w:val="21"/>
                      <w:szCs w:val="21"/>
                      <w:highlight w:val="none"/>
                      <w14:textFill>
                        <w14:solidFill>
                          <w14:schemeClr w14:val="tx1"/>
                        </w14:solidFill>
                      </w14:textFill>
                    </w:rPr>
                  </w:pPr>
                </w:p>
              </w:tc>
              <w:tc>
                <w:tcPr>
                  <w:tcW w:w="527" w:type="pct"/>
                  <w:vMerge w:val="continue"/>
                  <w:tcBorders>
                    <w:top w:val="nil"/>
                    <w:left w:val="single" w:color="auto" w:sz="4" w:space="0"/>
                    <w:bottom w:val="single" w:color="auto" w:sz="4" w:space="0"/>
                    <w:right w:val="single" w:color="auto" w:sz="4" w:space="0"/>
                  </w:tcBorders>
                  <w:vAlign w:val="center"/>
                </w:tcPr>
                <w:p w14:paraId="422C4F9F">
                  <w:pPr>
                    <w:widowControl/>
                    <w:jc w:val="left"/>
                    <w:rPr>
                      <w:color w:val="000000" w:themeColor="text1"/>
                      <w:sz w:val="21"/>
                      <w:szCs w:val="21"/>
                      <w:highlight w:val="none"/>
                      <w14:textFill>
                        <w14:solidFill>
                          <w14:schemeClr w14:val="tx1"/>
                        </w14:solidFill>
                      </w14:textFill>
                    </w:rPr>
                  </w:pPr>
                </w:p>
              </w:tc>
              <w:tc>
                <w:tcPr>
                  <w:tcW w:w="1003" w:type="dxa"/>
                  <w:tcBorders>
                    <w:top w:val="single" w:color="auto" w:sz="4" w:space="0"/>
                    <w:left w:val="single" w:color="auto" w:sz="4" w:space="0"/>
                    <w:bottom w:val="single" w:color="auto" w:sz="4" w:space="0"/>
                    <w:right w:val="single" w:color="auto" w:sz="4" w:space="0"/>
                  </w:tcBorders>
                  <w:vAlign w:val="bottom"/>
                </w:tcPr>
                <w:p w14:paraId="5D07399A">
                  <w:pPr>
                    <w:pStyle w:val="70"/>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41.0</w:t>
                  </w:r>
                </w:p>
              </w:tc>
              <w:tc>
                <w:tcPr>
                  <w:tcW w:w="1004" w:type="dxa"/>
                  <w:tcBorders>
                    <w:top w:val="single" w:color="auto" w:sz="4" w:space="0"/>
                    <w:left w:val="single" w:color="auto" w:sz="4" w:space="0"/>
                    <w:bottom w:val="single" w:color="auto" w:sz="4" w:space="0"/>
                    <w:right w:val="single" w:color="auto" w:sz="4" w:space="0"/>
                  </w:tcBorders>
                  <w:vAlign w:val="bottom"/>
                </w:tcPr>
                <w:p w14:paraId="770B1727">
                  <w:pPr>
                    <w:pStyle w:val="7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41.0</w:t>
                  </w:r>
                </w:p>
              </w:tc>
              <w:tc>
                <w:tcPr>
                  <w:tcW w:w="582" w:type="pct"/>
                  <w:tcBorders>
                    <w:top w:val="single" w:color="auto" w:sz="4" w:space="0"/>
                    <w:left w:val="single" w:color="auto" w:sz="4" w:space="0"/>
                    <w:bottom w:val="single" w:color="auto" w:sz="4" w:space="0"/>
                    <w:right w:val="single" w:color="auto" w:sz="4" w:space="0"/>
                  </w:tcBorders>
                  <w:vAlign w:val="center"/>
                </w:tcPr>
                <w:p w14:paraId="49EBB6B6">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w:t>
                  </w:r>
                </w:p>
              </w:tc>
              <w:tc>
                <w:tcPr>
                  <w:tcW w:w="587" w:type="pct"/>
                  <w:tcBorders>
                    <w:top w:val="single" w:color="auto" w:sz="4" w:space="0"/>
                    <w:left w:val="single" w:color="auto" w:sz="4" w:space="0"/>
                    <w:bottom w:val="single" w:color="auto" w:sz="4" w:space="0"/>
                    <w:right w:val="single" w:color="auto" w:sz="4" w:space="0"/>
                  </w:tcBorders>
                  <w:vAlign w:val="center"/>
                </w:tcPr>
                <w:p w14:paraId="2069ACF8">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w:t>
                  </w:r>
                </w:p>
              </w:tc>
            </w:tr>
            <w:tr w14:paraId="5D96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40" w:type="pct"/>
                  <w:tcBorders>
                    <w:top w:val="single" w:color="auto" w:sz="4" w:space="0"/>
                    <w:left w:val="single" w:color="auto" w:sz="4" w:space="0"/>
                    <w:bottom w:val="single" w:color="auto" w:sz="4" w:space="0"/>
                    <w:right w:val="single" w:color="auto" w:sz="4" w:space="0"/>
                  </w:tcBorders>
                  <w:vAlign w:val="center"/>
                </w:tcPr>
                <w:p w14:paraId="3F644DC7">
                  <w:pPr>
                    <w:pStyle w:val="70"/>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东侧厂界</w:t>
                  </w:r>
                </w:p>
              </w:tc>
              <w:tc>
                <w:tcPr>
                  <w:tcW w:w="527" w:type="pct"/>
                  <w:vMerge w:val="continue"/>
                  <w:tcBorders>
                    <w:top w:val="nil"/>
                    <w:left w:val="single" w:color="auto" w:sz="4" w:space="0"/>
                    <w:bottom w:val="single" w:color="auto" w:sz="4" w:space="0"/>
                    <w:right w:val="single" w:color="auto" w:sz="4" w:space="0"/>
                  </w:tcBorders>
                  <w:vAlign w:val="center"/>
                </w:tcPr>
                <w:p w14:paraId="0F910115">
                  <w:pPr>
                    <w:widowControl/>
                    <w:jc w:val="left"/>
                    <w:rPr>
                      <w:color w:val="000000" w:themeColor="text1"/>
                      <w:sz w:val="21"/>
                      <w:szCs w:val="21"/>
                      <w:highlight w:val="none"/>
                      <w14:textFill>
                        <w14:solidFill>
                          <w14:schemeClr w14:val="tx1"/>
                        </w14:solidFill>
                      </w14:textFill>
                    </w:rPr>
                  </w:pPr>
                </w:p>
              </w:tc>
              <w:tc>
                <w:tcPr>
                  <w:tcW w:w="527" w:type="pct"/>
                  <w:vMerge w:val="continue"/>
                  <w:tcBorders>
                    <w:top w:val="nil"/>
                    <w:left w:val="single" w:color="auto" w:sz="4" w:space="0"/>
                    <w:bottom w:val="single" w:color="auto" w:sz="4" w:space="0"/>
                    <w:right w:val="single" w:color="auto" w:sz="4" w:space="0"/>
                  </w:tcBorders>
                  <w:vAlign w:val="center"/>
                </w:tcPr>
                <w:p w14:paraId="0F7DA0E0">
                  <w:pPr>
                    <w:widowControl/>
                    <w:jc w:val="left"/>
                    <w:rPr>
                      <w:color w:val="000000" w:themeColor="text1"/>
                      <w:sz w:val="21"/>
                      <w:szCs w:val="21"/>
                      <w:highlight w:val="none"/>
                      <w14:textFill>
                        <w14:solidFill>
                          <w14:schemeClr w14:val="tx1"/>
                        </w14:solidFill>
                      </w14:textFill>
                    </w:rPr>
                  </w:pPr>
                </w:p>
              </w:tc>
              <w:tc>
                <w:tcPr>
                  <w:tcW w:w="617" w:type="pct"/>
                  <w:tcBorders>
                    <w:top w:val="single" w:color="auto" w:sz="4" w:space="0"/>
                    <w:left w:val="single" w:color="auto" w:sz="4" w:space="0"/>
                    <w:bottom w:val="single" w:color="auto" w:sz="4" w:space="0"/>
                    <w:right w:val="single" w:color="auto" w:sz="4" w:space="0"/>
                  </w:tcBorders>
                  <w:vAlign w:val="bottom"/>
                </w:tcPr>
                <w:p w14:paraId="3A28386E">
                  <w:pPr>
                    <w:pStyle w:val="7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34.5</w:t>
                  </w:r>
                  <w:r>
                    <w:rPr>
                      <w:color w:val="000000" w:themeColor="text1"/>
                      <w:sz w:val="21"/>
                      <w:szCs w:val="21"/>
                      <w:highlight w:val="none"/>
                      <w14:textFill>
                        <w14:solidFill>
                          <w14:schemeClr w14:val="tx1"/>
                        </w14:solidFill>
                      </w14:textFill>
                    </w:rPr>
                    <w:t xml:space="preserve"> </w:t>
                  </w:r>
                </w:p>
              </w:tc>
              <w:tc>
                <w:tcPr>
                  <w:tcW w:w="618" w:type="pct"/>
                  <w:tcBorders>
                    <w:top w:val="single" w:color="auto" w:sz="4" w:space="0"/>
                    <w:left w:val="single" w:color="auto" w:sz="4" w:space="0"/>
                    <w:bottom w:val="single" w:color="auto" w:sz="4" w:space="0"/>
                    <w:right w:val="single" w:color="auto" w:sz="4" w:space="0"/>
                  </w:tcBorders>
                  <w:vAlign w:val="bottom"/>
                </w:tcPr>
                <w:p w14:paraId="1464E042">
                  <w:pPr>
                    <w:pStyle w:val="7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34.5</w:t>
                  </w:r>
                  <w:r>
                    <w:rPr>
                      <w:color w:val="000000" w:themeColor="text1"/>
                      <w:sz w:val="21"/>
                      <w:szCs w:val="21"/>
                      <w:highlight w:val="none"/>
                      <w14:textFill>
                        <w14:solidFill>
                          <w14:schemeClr w14:val="tx1"/>
                        </w14:solidFill>
                      </w14:textFill>
                    </w:rPr>
                    <w:t xml:space="preserve"> </w:t>
                  </w:r>
                </w:p>
              </w:tc>
              <w:tc>
                <w:tcPr>
                  <w:tcW w:w="582" w:type="pct"/>
                  <w:tcBorders>
                    <w:top w:val="single" w:color="auto" w:sz="4" w:space="0"/>
                    <w:left w:val="single" w:color="auto" w:sz="4" w:space="0"/>
                    <w:bottom w:val="single" w:color="auto" w:sz="4" w:space="0"/>
                    <w:right w:val="single" w:color="auto" w:sz="4" w:space="0"/>
                  </w:tcBorders>
                  <w:vAlign w:val="center"/>
                </w:tcPr>
                <w:p w14:paraId="653C911F">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w:t>
                  </w:r>
                </w:p>
              </w:tc>
              <w:tc>
                <w:tcPr>
                  <w:tcW w:w="587" w:type="pct"/>
                  <w:tcBorders>
                    <w:top w:val="single" w:color="auto" w:sz="4" w:space="0"/>
                    <w:left w:val="single" w:color="auto" w:sz="4" w:space="0"/>
                    <w:bottom w:val="single" w:color="auto" w:sz="4" w:space="0"/>
                    <w:right w:val="single" w:color="auto" w:sz="4" w:space="0"/>
                  </w:tcBorders>
                  <w:vAlign w:val="center"/>
                </w:tcPr>
                <w:p w14:paraId="53CC65CA">
                  <w:pPr>
                    <w:pStyle w:val="70"/>
                    <w:rPr>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达标</w:t>
                  </w:r>
                </w:p>
              </w:tc>
            </w:tr>
          </w:tbl>
          <w:p w14:paraId="1781789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3、噪声防治措施</w:t>
            </w:r>
          </w:p>
          <w:p w14:paraId="1BD8CBC4">
            <w:pPr>
              <w:pStyle w:val="66"/>
              <w:ind w:firstLine="42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（1）设备选型：生产设施在设计中，应要求设计单位按照《工业企业噪声控制设计规范》规范要求，尽量选用技术先进、性能质量良好、同类成品中声级较低的设备，从源头上控制噪声源。</w:t>
            </w:r>
          </w:p>
          <w:p w14:paraId="25394F0A">
            <w:pPr>
              <w:pStyle w:val="66"/>
              <w:ind w:firstLine="42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（2）合理布局：在平面布局时，应尽量将高噪声级设备布置远离厂界。</w:t>
            </w:r>
          </w:p>
          <w:p w14:paraId="3CE6AC3F">
            <w:pPr>
              <w:pStyle w:val="66"/>
              <w:ind w:firstLine="42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（3）利用厂房隔声：</w:t>
            </w:r>
            <w:r>
              <w:rPr>
                <w:rFonts w:hint="eastAsia"/>
                <w:color w:val="000000" w:themeColor="text1"/>
                <w:sz w:val="24"/>
                <w:szCs w:val="32"/>
                <w:highlight w:val="none"/>
                <w:lang w:val="en-US" w:eastAsia="zh-CN"/>
                <w14:textFill>
                  <w14:solidFill>
                    <w14:schemeClr w14:val="tx1"/>
                  </w14:solidFill>
                </w14:textFill>
              </w:rPr>
              <w:t>本项目</w:t>
            </w:r>
            <w:r>
              <w:rPr>
                <w:color w:val="000000" w:themeColor="text1"/>
                <w:sz w:val="24"/>
                <w:szCs w:val="32"/>
                <w:highlight w:val="none"/>
                <w14:textFill>
                  <w14:solidFill>
                    <w14:schemeClr w14:val="tx1"/>
                  </w14:solidFill>
                </w14:textFill>
              </w:rPr>
              <w:t>生产设施</w:t>
            </w:r>
            <w:r>
              <w:rPr>
                <w:rFonts w:hint="eastAsia"/>
                <w:color w:val="000000" w:themeColor="text1"/>
                <w:sz w:val="24"/>
                <w:szCs w:val="32"/>
                <w:highlight w:val="none"/>
                <w:lang w:val="en-US" w:eastAsia="zh-CN"/>
                <w14:textFill>
                  <w14:solidFill>
                    <w14:schemeClr w14:val="tx1"/>
                  </w14:solidFill>
                </w14:textFill>
              </w:rPr>
              <w:t>均</w:t>
            </w:r>
            <w:r>
              <w:rPr>
                <w:color w:val="000000" w:themeColor="text1"/>
                <w:sz w:val="24"/>
                <w:szCs w:val="32"/>
                <w:highlight w:val="none"/>
                <w14:textFill>
                  <w14:solidFill>
                    <w14:schemeClr w14:val="tx1"/>
                  </w14:solidFill>
                </w14:textFill>
              </w:rPr>
              <w:t>布设在厂房内，利用厂房进行隔声，避免露天布置高噪声设备，以降低噪声对厂界的影响。</w:t>
            </w:r>
          </w:p>
          <w:p w14:paraId="6C2A5D6E">
            <w:pPr>
              <w:pStyle w:val="66"/>
              <w:ind w:firstLine="42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（4）防振减振措施：所有电动设备的基座应安装防振减振垫片，与动力设备连接的管道应安装软性接头，并对管道进行固定加固处理，防止因设备、管道振动引起的噪声。</w:t>
            </w:r>
          </w:p>
          <w:p w14:paraId="6C93FCFC">
            <w:pPr>
              <w:pStyle w:val="66"/>
              <w:ind w:firstLine="42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（5）采取吸声消声措施：充分考虑墙体吸声效果，内侧墙面尽量采用吸声较好的材料。</w:t>
            </w:r>
          </w:p>
          <w:p w14:paraId="2F9944C5">
            <w:pPr>
              <w:pStyle w:val="66"/>
              <w:ind w:firstLine="42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（6）加强动力机械设备的定期检修与维护，以减少动力机械设备故障等原因造成的振动。</w:t>
            </w:r>
          </w:p>
          <w:p w14:paraId="79A96F10">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4、</w:t>
            </w:r>
            <w:r>
              <w:rPr>
                <w:rFonts w:cs="宋体"/>
                <w:color w:val="000000" w:themeColor="text1"/>
                <w:sz w:val="24"/>
                <w:szCs w:val="32"/>
                <w:highlight w:val="none"/>
                <w14:textFill>
                  <w14:solidFill>
                    <w14:schemeClr w14:val="tx1"/>
                  </w14:solidFill>
                </w14:textFill>
              </w:rPr>
              <w:t>厂界噪声自行监测要求</w:t>
            </w:r>
          </w:p>
          <w:p w14:paraId="771F1DA4">
            <w:pPr>
              <w:spacing w:line="360" w:lineRule="auto"/>
              <w:ind w:firstLine="480" w:firstLineChars="20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北侧、西侧、东侧</w:t>
            </w:r>
            <w:r>
              <w:rPr>
                <w:rFonts w:hint="eastAsia"/>
                <w:color w:val="000000" w:themeColor="text1"/>
                <w:sz w:val="24"/>
                <w:szCs w:val="32"/>
                <w:highlight w:val="none"/>
                <w:lang w:eastAsia="zh-CN"/>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南侧</w:t>
            </w:r>
            <w:r>
              <w:rPr>
                <w:color w:val="000000" w:themeColor="text1"/>
                <w:sz w:val="24"/>
                <w:szCs w:val="32"/>
                <w:highlight w:val="none"/>
                <w14:textFill>
                  <w14:solidFill>
                    <w14:schemeClr w14:val="tx1"/>
                  </w14:solidFill>
                </w14:textFill>
              </w:rPr>
              <w:t>厂界噪声应</w:t>
            </w:r>
            <w:r>
              <w:rPr>
                <w:rFonts w:hint="eastAsia"/>
                <w:color w:val="000000" w:themeColor="text1"/>
                <w:sz w:val="24"/>
                <w:szCs w:val="32"/>
                <w:highlight w:val="none"/>
                <w14:textFill>
                  <w14:solidFill>
                    <w14:schemeClr w14:val="tx1"/>
                  </w14:solidFill>
                </w14:textFill>
              </w:rPr>
              <w:t>每</w:t>
            </w:r>
            <w:r>
              <w:rPr>
                <w:color w:val="000000" w:themeColor="text1"/>
                <w:sz w:val="24"/>
                <w:szCs w:val="32"/>
                <w:highlight w:val="none"/>
                <w14:textFill>
                  <w14:solidFill>
                    <w14:schemeClr w14:val="tx1"/>
                  </w14:solidFill>
                </w14:textFill>
              </w:rPr>
              <w:t>季度</w:t>
            </w:r>
            <w:r>
              <w:rPr>
                <w:rFonts w:hint="eastAsia"/>
                <w:color w:val="000000" w:themeColor="text1"/>
                <w:sz w:val="24"/>
                <w:szCs w:val="32"/>
                <w:highlight w:val="none"/>
                <w:lang w:eastAsia="zh-CN"/>
                <w14:textFill>
                  <w14:solidFill>
                    <w14:schemeClr w14:val="tx1"/>
                  </w14:solidFill>
                </w14:textFill>
              </w:rPr>
              <w:t>至少</w:t>
            </w:r>
            <w:r>
              <w:rPr>
                <w:color w:val="000000" w:themeColor="text1"/>
                <w:sz w:val="24"/>
                <w:szCs w:val="32"/>
                <w:highlight w:val="none"/>
                <w14:textFill>
                  <w14:solidFill>
                    <w14:schemeClr w14:val="tx1"/>
                  </w14:solidFill>
                </w14:textFill>
              </w:rPr>
              <w:t>开展一次昼夜监测，</w:t>
            </w:r>
            <w:r>
              <w:rPr>
                <w:rFonts w:hint="eastAsia"/>
                <w:color w:val="000000" w:themeColor="text1"/>
                <w:sz w:val="24"/>
                <w:szCs w:val="32"/>
                <w:highlight w:val="none"/>
                <w:lang w:val="en-US" w:eastAsia="zh-CN"/>
                <w14:textFill>
                  <w14:solidFill>
                    <w14:schemeClr w14:val="tx1"/>
                  </w14:solidFill>
                </w14:textFill>
              </w:rPr>
              <w:t>每次监测1天，</w:t>
            </w:r>
            <w:r>
              <w:rPr>
                <w:color w:val="000000" w:themeColor="text1"/>
                <w:sz w:val="24"/>
                <w:szCs w:val="32"/>
                <w:highlight w:val="none"/>
                <w14:textFill>
                  <w14:solidFill>
                    <w14:schemeClr w14:val="tx1"/>
                  </w14:solidFill>
                </w14:textFill>
              </w:rPr>
              <w:t>监测指标为等效A声级</w:t>
            </w:r>
            <w:r>
              <w:rPr>
                <w:rFonts w:hint="eastAsia"/>
                <w:color w:val="000000" w:themeColor="text1"/>
                <w:sz w:val="24"/>
                <w:szCs w:val="32"/>
                <w:highlight w:val="none"/>
                <w:lang w:eastAsia="zh-CN"/>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执行《工业企业厂界环境噪声排放标准》（GB12348-2008）3类标准</w:t>
            </w:r>
            <w:r>
              <w:rPr>
                <w:color w:val="000000" w:themeColor="text1"/>
                <w:sz w:val="24"/>
                <w:szCs w:val="32"/>
                <w:highlight w:val="none"/>
                <w14:textFill>
                  <w14:solidFill>
                    <w14:schemeClr w14:val="tx1"/>
                  </w14:solidFill>
                </w14:textFill>
              </w:rPr>
              <w:t>。</w:t>
            </w:r>
          </w:p>
          <w:p w14:paraId="5ED2E206">
            <w:pPr>
              <w:pStyle w:val="37"/>
              <w:rPr>
                <w:rFonts w:hint="default" w:eastAsia="黑体"/>
                <w:color w:val="000000" w:themeColor="text1"/>
                <w:sz w:val="24"/>
                <w:szCs w:val="21"/>
                <w:highlight w:val="none"/>
                <w:lang w:val="en-US" w:eastAsia="zh-CN"/>
                <w14:textFill>
                  <w14:solidFill>
                    <w14:schemeClr w14:val="tx1"/>
                  </w14:solidFill>
                </w14:textFill>
              </w:rPr>
            </w:pPr>
            <w:r>
              <w:rPr>
                <w:color w:val="000000" w:themeColor="text1"/>
                <w:sz w:val="24"/>
                <w:szCs w:val="21"/>
                <w:highlight w:val="none"/>
                <w14:textFill>
                  <w14:solidFill>
                    <w14:schemeClr w14:val="tx1"/>
                  </w14:solidFill>
                </w14:textFill>
              </w:rPr>
              <w:t>4.</w:t>
            </w:r>
            <w:r>
              <w:rPr>
                <w:rFonts w:hint="eastAsia"/>
                <w:color w:val="000000" w:themeColor="text1"/>
                <w:sz w:val="24"/>
                <w:szCs w:val="21"/>
                <w:highlight w:val="none"/>
                <w:lang w:val="en-US" w:eastAsia="zh-CN"/>
                <w14:textFill>
                  <w14:solidFill>
                    <w14:schemeClr w14:val="tx1"/>
                  </w14:solidFill>
                </w14:textFill>
              </w:rPr>
              <w:t>4</w:t>
            </w:r>
            <w:r>
              <w:rPr>
                <w:color w:val="000000" w:themeColor="text1"/>
                <w:sz w:val="24"/>
                <w:szCs w:val="21"/>
                <w:highlight w:val="non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运营期固废影响分析和</w:t>
            </w:r>
            <w:r>
              <w:rPr>
                <w:rFonts w:hint="eastAsia"/>
                <w:color w:val="000000" w:themeColor="text1"/>
                <w:sz w:val="24"/>
                <w:szCs w:val="21"/>
                <w:highlight w:val="none"/>
                <w:lang w:val="en-US" w:eastAsia="zh-CN"/>
                <w14:textFill>
                  <w14:solidFill>
                    <w14:schemeClr w14:val="tx1"/>
                  </w14:solidFill>
                </w14:textFill>
              </w:rPr>
              <w:t>环境管理要求</w:t>
            </w:r>
          </w:p>
          <w:p w14:paraId="284D7D11">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4.4.1固废产生及处置情况</w:t>
            </w:r>
          </w:p>
          <w:p w14:paraId="42C373E5">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项目产生的固体废物有工业固废和生活垃圾，其中工业固废包括危险废物和一般工业固废。</w:t>
            </w:r>
          </w:p>
          <w:p w14:paraId="6A31D1A8">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（1）一般工业固废</w:t>
            </w:r>
          </w:p>
          <w:p w14:paraId="3E1DDBCA">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生产过程中产生的一般工业固废主要有不合格产品、废包装材料、废金刚砂</w:t>
            </w:r>
            <w:r>
              <w:rPr>
                <w:rFonts w:hint="eastAsia" w:cs="宋体"/>
                <w:color w:val="000000" w:themeColor="text1"/>
                <w:sz w:val="24"/>
                <w:szCs w:val="32"/>
                <w:highlight w:val="none"/>
                <w:lang w:val="en-US" w:eastAsia="zh-CN"/>
                <w14:textFill>
                  <w14:solidFill>
                    <w14:schemeClr w14:val="tx1"/>
                  </w14:solidFill>
                </w14:textFill>
              </w:rPr>
              <w:t>等</w:t>
            </w:r>
            <w:r>
              <w:rPr>
                <w:rFonts w:hint="eastAsia" w:cs="宋体"/>
                <w:color w:val="000000" w:themeColor="text1"/>
                <w:sz w:val="24"/>
                <w:szCs w:val="32"/>
                <w:highlight w:val="none"/>
                <w:lang w:eastAsia="zh-CN"/>
                <w14:textFill>
                  <w14:solidFill>
                    <w14:schemeClr w14:val="tx1"/>
                  </w14:solidFill>
                </w14:textFill>
              </w:rPr>
              <w:t>。</w:t>
            </w:r>
          </w:p>
          <w:p w14:paraId="7CEEE80D">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①不合格品</w:t>
            </w:r>
          </w:p>
          <w:p w14:paraId="6F722E8B">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项目不合格产品产生量约为</w:t>
            </w:r>
            <w:r>
              <w:rPr>
                <w:rFonts w:hint="eastAsia" w:cs="宋体"/>
                <w:color w:val="000000" w:themeColor="text1"/>
                <w:sz w:val="24"/>
                <w:szCs w:val="32"/>
                <w:highlight w:val="none"/>
                <w:lang w:val="en-US" w:eastAsia="zh-CN"/>
                <w14:textFill>
                  <w14:solidFill>
                    <w14:schemeClr w14:val="tx1"/>
                  </w14:solidFill>
                </w14:textFill>
              </w:rPr>
              <w:t>0.6</w:t>
            </w:r>
            <w:r>
              <w:rPr>
                <w:rFonts w:hint="eastAsia" w:cs="宋体"/>
                <w:color w:val="000000" w:themeColor="text1"/>
                <w:sz w:val="24"/>
                <w:szCs w:val="32"/>
                <w:highlight w:val="none"/>
                <w:lang w:eastAsia="zh-CN"/>
                <w14:textFill>
                  <w14:solidFill>
                    <w14:schemeClr w14:val="tx1"/>
                  </w14:solidFill>
                </w14:textFill>
              </w:rPr>
              <w:t>t/a，根据《固体废物分类与代码目录》（公告2024年第4号），本项目不合格产品的废物代码为：SW17可再生类废物（900-004-S17），收集后由物资回收单位回收利用。</w:t>
            </w:r>
          </w:p>
          <w:p w14:paraId="5411C695">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②废包装材料</w:t>
            </w:r>
          </w:p>
          <w:p w14:paraId="26D2CB79">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本项目包装废弃物产生量为</w:t>
            </w:r>
            <w:r>
              <w:rPr>
                <w:rFonts w:hint="eastAsia" w:cs="宋体"/>
                <w:color w:val="000000" w:themeColor="text1"/>
                <w:sz w:val="24"/>
                <w:szCs w:val="32"/>
                <w:highlight w:val="none"/>
                <w:lang w:val="en-US" w:eastAsia="zh-CN"/>
                <w14:textFill>
                  <w14:solidFill>
                    <w14:schemeClr w14:val="tx1"/>
                  </w14:solidFill>
                </w14:textFill>
              </w:rPr>
              <w:t>0.1</w:t>
            </w:r>
            <w:r>
              <w:rPr>
                <w:rFonts w:hint="eastAsia" w:cs="宋体"/>
                <w:color w:val="000000" w:themeColor="text1"/>
                <w:sz w:val="24"/>
                <w:szCs w:val="32"/>
                <w:highlight w:val="none"/>
                <w:lang w:eastAsia="zh-CN"/>
                <w14:textFill>
                  <w14:solidFill>
                    <w14:schemeClr w14:val="tx1"/>
                  </w14:solidFill>
                </w14:textFill>
              </w:rPr>
              <w:t>t/a，根据《固体废物分类与代码目录》（公告2024年第4号），废物代码为：SW17可再生类废物（900-099-S17），收集后由物资回收单位回收利用。</w:t>
            </w:r>
          </w:p>
          <w:p w14:paraId="08245433">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③废金刚砂</w:t>
            </w:r>
          </w:p>
          <w:p w14:paraId="764535C1">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根据建设单位提供资料可知，废金刚砂产生量为</w:t>
            </w:r>
            <w:r>
              <w:rPr>
                <w:rFonts w:hint="eastAsia" w:cs="宋体"/>
                <w:color w:val="000000" w:themeColor="text1"/>
                <w:sz w:val="24"/>
                <w:szCs w:val="32"/>
                <w:highlight w:val="none"/>
                <w:lang w:val="en-US" w:eastAsia="zh-CN"/>
                <w14:textFill>
                  <w14:solidFill>
                    <w14:schemeClr w14:val="tx1"/>
                  </w14:solidFill>
                </w14:textFill>
              </w:rPr>
              <w:t>4.3</w:t>
            </w:r>
            <w:r>
              <w:rPr>
                <w:rFonts w:hint="eastAsia" w:cs="宋体"/>
                <w:color w:val="000000" w:themeColor="text1"/>
                <w:sz w:val="24"/>
                <w:szCs w:val="32"/>
                <w:highlight w:val="none"/>
                <w:lang w:eastAsia="zh-CN"/>
                <w14:textFill>
                  <w14:solidFill>
                    <w14:schemeClr w14:val="tx1"/>
                  </w14:solidFill>
                </w14:textFill>
              </w:rPr>
              <w:t>t/a，根据《固体废物分类与代码目录》（公告2024年第4号），废物代码为：SW17可再生类废物（900-099-S17），收集后由厂家回收处理。</w:t>
            </w:r>
          </w:p>
          <w:p w14:paraId="0B877F9B">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④废边角料</w:t>
            </w:r>
          </w:p>
          <w:p w14:paraId="5D33F156">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根据建设单位提供资料，废边角料产生量为</w:t>
            </w:r>
            <w:r>
              <w:rPr>
                <w:rFonts w:hint="eastAsia" w:cs="宋体"/>
                <w:color w:val="000000" w:themeColor="text1"/>
                <w:sz w:val="24"/>
                <w:szCs w:val="32"/>
                <w:highlight w:val="none"/>
                <w:lang w:val="en-US" w:eastAsia="zh-CN"/>
                <w14:textFill>
                  <w14:solidFill>
                    <w14:schemeClr w14:val="tx1"/>
                  </w14:solidFill>
                </w14:textFill>
              </w:rPr>
              <w:t>0.2</w:t>
            </w:r>
            <w:r>
              <w:rPr>
                <w:rFonts w:hint="eastAsia" w:cs="宋体"/>
                <w:color w:val="000000" w:themeColor="text1"/>
                <w:sz w:val="24"/>
                <w:szCs w:val="32"/>
                <w:highlight w:val="none"/>
                <w:lang w:eastAsia="zh-CN"/>
                <w14:textFill>
                  <w14:solidFill>
                    <w14:schemeClr w14:val="tx1"/>
                  </w14:solidFill>
                </w14:textFill>
              </w:rPr>
              <w:t>t/a，根据《固体废物分类与代码目录》（公告2024年第4号），废物代码为：SW17可再生类废物（900-099-S17），收集后由物资回收单位回收利用。</w:t>
            </w:r>
          </w:p>
          <w:p w14:paraId="2FF31374">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⑤废树脂</w:t>
            </w:r>
          </w:p>
          <w:p w14:paraId="1E2A91B1">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根据超纯水机厂家说明，超纯水机每次产生超纯水1～2t（按1t计），需要更换离子交换树脂，其重量约为5kg。根据上文计算，每年制备超纯水水量约</w:t>
            </w:r>
            <w:r>
              <w:rPr>
                <w:rFonts w:hint="eastAsia" w:cs="宋体"/>
                <w:color w:val="000000" w:themeColor="text1"/>
                <w:sz w:val="24"/>
                <w:szCs w:val="32"/>
                <w:highlight w:val="none"/>
                <w:lang w:val="en-US" w:eastAsia="zh-CN"/>
                <w14:textFill>
                  <w14:solidFill>
                    <w14:schemeClr w14:val="tx1"/>
                  </w14:solidFill>
                </w14:textFill>
              </w:rPr>
              <w:t>8400</w:t>
            </w:r>
            <w:r>
              <w:rPr>
                <w:rFonts w:hint="eastAsia" w:cs="宋体"/>
                <w:color w:val="000000" w:themeColor="text1"/>
                <w:sz w:val="24"/>
                <w:szCs w:val="32"/>
                <w:highlight w:val="none"/>
                <w:lang w:eastAsia="zh-CN"/>
                <w14:textFill>
                  <w14:solidFill>
                    <w14:schemeClr w14:val="tx1"/>
                  </w14:solidFill>
                </w14:textFill>
              </w:rPr>
              <w:t>t/a。则废离子交换树脂产生量约</w:t>
            </w:r>
            <w:r>
              <w:rPr>
                <w:rFonts w:hint="eastAsia" w:cs="宋体"/>
                <w:color w:val="000000" w:themeColor="text1"/>
                <w:sz w:val="24"/>
                <w:szCs w:val="32"/>
                <w:highlight w:val="none"/>
                <w:lang w:val="en-US" w:eastAsia="zh-CN"/>
                <w14:textFill>
                  <w14:solidFill>
                    <w14:schemeClr w14:val="tx1"/>
                  </w14:solidFill>
                </w14:textFill>
              </w:rPr>
              <w:t>42</w:t>
            </w:r>
            <w:r>
              <w:rPr>
                <w:rFonts w:hint="eastAsia" w:cs="宋体"/>
                <w:color w:val="000000" w:themeColor="text1"/>
                <w:sz w:val="24"/>
                <w:szCs w:val="32"/>
                <w:highlight w:val="none"/>
                <w:lang w:eastAsia="zh-CN"/>
                <w14:textFill>
                  <w14:solidFill>
                    <w14:schemeClr w14:val="tx1"/>
                  </w14:solidFill>
                </w14:textFill>
              </w:rPr>
              <w:t>t/a，由原厂家定期回收替换。根据《固体废物分类与代码目录》（公告2024年第4号），本项目废树脂的废物代码为：SW59其他工业固体废物（900-008-S59）。</w:t>
            </w:r>
          </w:p>
          <w:p w14:paraId="1042A72F">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eastAsia="zh-CN"/>
                <w14:textFill>
                  <w14:solidFill>
                    <w14:schemeClr w14:val="tx1"/>
                  </w14:solidFill>
                </w14:textFill>
              </w:rPr>
              <w:t>⑥</w:t>
            </w:r>
            <w:r>
              <w:rPr>
                <w:rFonts w:hint="eastAsia" w:cs="宋体"/>
                <w:color w:val="000000" w:themeColor="text1"/>
                <w:sz w:val="24"/>
                <w:szCs w:val="32"/>
                <w:highlight w:val="none"/>
                <w:lang w:val="en-US" w:eastAsia="zh-CN"/>
                <w14:textFill>
                  <w14:solidFill>
                    <w14:schemeClr w14:val="tx1"/>
                  </w14:solidFill>
                </w14:textFill>
              </w:rPr>
              <w:t>沉淀废渣</w:t>
            </w:r>
          </w:p>
          <w:p w14:paraId="1EF6A0C0">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根据建设单位提供资料可知，项目沉淀废渣产生量约为1.0t/a，根据《固体废物分类与代码目录》(公告2024年第4号)，废物代码为：SW07污泥(900-099-S07)，收集后由物资回收单位回收利用。</w:t>
            </w:r>
          </w:p>
          <w:p w14:paraId="25307F83">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本评价要求项目一般工业固废妥善分类收集后暂存于一般工业固废间内，定期出售给回收企业综合利用，一般工业固废暂存场所应符合《一般工业固体废物贮存和填埋污染控制标准》（GB18599-2020）中固废临时贮存场所的要求。</w:t>
            </w:r>
          </w:p>
          <w:p w14:paraId="62F79FAD">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（2）危险废物</w:t>
            </w:r>
          </w:p>
          <w:p w14:paraId="0B9403AC">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本项目危险废物主要为废切削液</w:t>
            </w:r>
            <w:r>
              <w:rPr>
                <w:rFonts w:hint="eastAsia" w:cs="宋体"/>
                <w:color w:val="000000" w:themeColor="text1"/>
                <w:sz w:val="24"/>
                <w:szCs w:val="32"/>
                <w:highlight w:val="none"/>
                <w:lang w:val="en-US" w:eastAsia="zh-CN"/>
                <w14:textFill>
                  <w14:solidFill>
                    <w14:schemeClr w14:val="tx1"/>
                  </w14:solidFill>
                </w14:textFill>
              </w:rPr>
              <w:t>、</w:t>
            </w:r>
            <w:r>
              <w:rPr>
                <w:rFonts w:hint="eastAsia" w:cs="宋体"/>
                <w:color w:val="000000" w:themeColor="text1"/>
                <w:sz w:val="24"/>
                <w:szCs w:val="32"/>
                <w:highlight w:val="none"/>
                <w:lang w:eastAsia="zh-CN"/>
                <w14:textFill>
                  <w14:solidFill>
                    <w14:schemeClr w14:val="tx1"/>
                  </w14:solidFill>
                </w14:textFill>
              </w:rPr>
              <w:t>废磨削液</w:t>
            </w:r>
            <w:r>
              <w:rPr>
                <w:rFonts w:hint="eastAsia" w:cs="宋体"/>
                <w:color w:val="000000" w:themeColor="text1"/>
                <w:sz w:val="24"/>
                <w:szCs w:val="32"/>
                <w:highlight w:val="none"/>
                <w:lang w:val="en-US" w:eastAsia="zh-CN"/>
                <w14:textFill>
                  <w14:solidFill>
                    <w14:schemeClr w14:val="tx1"/>
                  </w14:solidFill>
                </w14:textFill>
              </w:rPr>
              <w:t>、</w:t>
            </w:r>
            <w:r>
              <w:rPr>
                <w:rFonts w:hint="eastAsia" w:cs="宋体"/>
                <w:color w:val="000000" w:themeColor="text1"/>
                <w:sz w:val="24"/>
                <w:szCs w:val="32"/>
                <w:highlight w:val="none"/>
                <w:lang w:eastAsia="zh-CN"/>
                <w14:textFill>
                  <w14:solidFill>
                    <w14:schemeClr w14:val="tx1"/>
                  </w14:solidFill>
                </w14:textFill>
              </w:rPr>
              <w:t>废冷却液、废胶桶、废有机溶剂空瓶、废晶体、熔料炉渣、清洗废液、废活性炭、晶体废液等。</w:t>
            </w:r>
          </w:p>
          <w:p w14:paraId="287C4A4F">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①废活性炭</w:t>
            </w:r>
          </w:p>
          <w:p w14:paraId="3000BB49">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val="en-US" w:eastAsia="zh-CN"/>
                <w14:textFill>
                  <w14:solidFill>
                    <w14:schemeClr w14:val="tx1"/>
                  </w14:solidFill>
                </w14:textFill>
              </w:rPr>
              <w:t>参照《江苏省生态环境厅关于将排污单位活性炭使用更换纳入排污许可管理的通知》（苏环办〔2021〕218号），活性炭动态吸附量取值10%，即每1kg活性炭吸附0.1kg的挥发性有机物。本项目吸附的挥发性有机物的量为5.0421t/a，则需要的活性炭的量为50.421t/a（0.2017t/d）。本项目活性炭吸附装置填充量为4t，则在项目达产的情况下，约20天进行一次更换。废活性炭产生量为55.4631t/a。</w:t>
            </w:r>
          </w:p>
          <w:p w14:paraId="7F9AC473">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根据《国家危险废物名录》（2024年版），废活性炭吸附饱和物属于危险废物，废物类别为HW49其他废物，废物代码900-039-49，妥善收集后暂存于危废贮存库，委托有资质的单位进行处理。</w:t>
            </w:r>
          </w:p>
          <w:p w14:paraId="03D0354E">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②废切削液</w:t>
            </w:r>
            <w:r>
              <w:rPr>
                <w:rFonts w:hint="eastAsia" w:cs="宋体"/>
                <w:color w:val="000000" w:themeColor="text1"/>
                <w:sz w:val="24"/>
                <w:szCs w:val="32"/>
                <w:highlight w:val="none"/>
                <w:lang w:val="en-US" w:eastAsia="zh-CN"/>
                <w14:textFill>
                  <w14:solidFill>
                    <w14:schemeClr w14:val="tx1"/>
                  </w14:solidFill>
                </w14:textFill>
              </w:rPr>
              <w:t>、</w:t>
            </w:r>
            <w:r>
              <w:rPr>
                <w:rFonts w:hint="eastAsia" w:cs="宋体"/>
                <w:color w:val="000000" w:themeColor="text1"/>
                <w:sz w:val="24"/>
                <w:szCs w:val="32"/>
                <w:highlight w:val="none"/>
                <w:lang w:eastAsia="zh-CN"/>
                <w14:textFill>
                  <w14:solidFill>
                    <w14:schemeClr w14:val="tx1"/>
                  </w14:solidFill>
                </w14:textFill>
              </w:rPr>
              <w:t>磨削液</w:t>
            </w:r>
            <w:r>
              <w:rPr>
                <w:rFonts w:hint="eastAsia" w:cs="宋体"/>
                <w:color w:val="000000" w:themeColor="text1"/>
                <w:sz w:val="24"/>
                <w:szCs w:val="32"/>
                <w:highlight w:val="none"/>
                <w:lang w:val="en-US" w:eastAsia="zh-CN"/>
                <w14:textFill>
                  <w14:solidFill>
                    <w14:schemeClr w14:val="tx1"/>
                  </w14:solidFill>
                </w14:textFill>
              </w:rPr>
              <w:t>、</w:t>
            </w:r>
            <w:r>
              <w:rPr>
                <w:rFonts w:hint="eastAsia" w:cs="宋体"/>
                <w:color w:val="000000" w:themeColor="text1"/>
                <w:sz w:val="24"/>
                <w:szCs w:val="32"/>
                <w:highlight w:val="none"/>
                <w:lang w:eastAsia="zh-CN"/>
                <w14:textFill>
                  <w14:solidFill>
                    <w14:schemeClr w14:val="tx1"/>
                  </w14:solidFill>
                </w14:textFill>
              </w:rPr>
              <w:t>冷却液</w:t>
            </w:r>
          </w:p>
          <w:p w14:paraId="7E5C41C5">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根据建设单位提供资料，废切削液</w:t>
            </w:r>
            <w:r>
              <w:rPr>
                <w:rFonts w:hint="eastAsia" w:cs="宋体"/>
                <w:color w:val="000000" w:themeColor="text1"/>
                <w:sz w:val="24"/>
                <w:szCs w:val="32"/>
                <w:highlight w:val="none"/>
                <w:lang w:val="en-US" w:eastAsia="zh-CN"/>
                <w14:textFill>
                  <w14:solidFill>
                    <w14:schemeClr w14:val="tx1"/>
                  </w14:solidFill>
                </w14:textFill>
              </w:rPr>
              <w:t>、</w:t>
            </w:r>
            <w:r>
              <w:rPr>
                <w:rFonts w:hint="eastAsia" w:cs="宋体"/>
                <w:color w:val="000000" w:themeColor="text1"/>
                <w:sz w:val="24"/>
                <w:szCs w:val="32"/>
                <w:highlight w:val="none"/>
                <w:lang w:eastAsia="zh-CN"/>
                <w14:textFill>
                  <w14:solidFill>
                    <w14:schemeClr w14:val="tx1"/>
                  </w14:solidFill>
                </w14:textFill>
              </w:rPr>
              <w:t>磨削液</w:t>
            </w:r>
            <w:r>
              <w:rPr>
                <w:rFonts w:hint="eastAsia" w:cs="宋体"/>
                <w:color w:val="000000" w:themeColor="text1"/>
                <w:sz w:val="24"/>
                <w:szCs w:val="32"/>
                <w:highlight w:val="none"/>
                <w:lang w:val="en-US" w:eastAsia="zh-CN"/>
                <w14:textFill>
                  <w14:solidFill>
                    <w14:schemeClr w14:val="tx1"/>
                  </w14:solidFill>
                </w14:textFill>
              </w:rPr>
              <w:t>、</w:t>
            </w:r>
            <w:r>
              <w:rPr>
                <w:rFonts w:hint="eastAsia" w:cs="宋体"/>
                <w:color w:val="000000" w:themeColor="text1"/>
                <w:sz w:val="24"/>
                <w:szCs w:val="32"/>
                <w:highlight w:val="none"/>
                <w:lang w:eastAsia="zh-CN"/>
                <w14:textFill>
                  <w14:solidFill>
                    <w14:schemeClr w14:val="tx1"/>
                  </w14:solidFill>
                </w14:textFill>
              </w:rPr>
              <w:t>冷却液产生量为</w:t>
            </w:r>
            <w:r>
              <w:rPr>
                <w:rFonts w:hint="eastAsia" w:cs="宋体"/>
                <w:color w:val="000000" w:themeColor="text1"/>
                <w:sz w:val="24"/>
                <w:szCs w:val="32"/>
                <w:highlight w:val="none"/>
                <w:lang w:val="en-US" w:eastAsia="zh-CN"/>
                <w14:textFill>
                  <w14:solidFill>
                    <w14:schemeClr w14:val="tx1"/>
                  </w14:solidFill>
                </w14:textFill>
              </w:rPr>
              <w:t>5.8</w:t>
            </w:r>
            <w:r>
              <w:rPr>
                <w:rFonts w:hint="eastAsia" w:cs="宋体"/>
                <w:color w:val="000000" w:themeColor="text1"/>
                <w:sz w:val="24"/>
                <w:szCs w:val="32"/>
                <w:highlight w:val="none"/>
                <w:lang w:eastAsia="zh-CN"/>
                <w14:textFill>
                  <w14:solidFill>
                    <w14:schemeClr w14:val="tx1"/>
                  </w14:solidFill>
                </w14:textFill>
              </w:rPr>
              <w:t>t/a，危废类别HW09，代码900-006-09，妥善收集后暂存于危废贮存库，委托有资质的单位进行处理。</w:t>
            </w:r>
          </w:p>
          <w:p w14:paraId="3D620365">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③废胶桶</w:t>
            </w:r>
          </w:p>
          <w:p w14:paraId="7D9D656F">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项目废胶桶产生量为0.5t/a。危废类别HW49，代码900-047-49，妥善收集后暂存于危废贮存库，委托有资质的单位进行处理。</w:t>
            </w:r>
          </w:p>
          <w:p w14:paraId="1EC5EEBD">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④废有机溶剂空瓶</w:t>
            </w:r>
          </w:p>
          <w:p w14:paraId="04C54A2B">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根据建设单位提供资料，项目废有机溶剂空瓶产生量为</w:t>
            </w:r>
            <w:r>
              <w:rPr>
                <w:rFonts w:hint="eastAsia" w:cs="宋体"/>
                <w:color w:val="000000" w:themeColor="text1"/>
                <w:sz w:val="24"/>
                <w:szCs w:val="32"/>
                <w:highlight w:val="none"/>
                <w:lang w:val="en-US" w:eastAsia="zh-CN"/>
                <w14:textFill>
                  <w14:solidFill>
                    <w14:schemeClr w14:val="tx1"/>
                  </w14:solidFill>
                </w14:textFill>
              </w:rPr>
              <w:t>0.1</w:t>
            </w:r>
            <w:r>
              <w:rPr>
                <w:rFonts w:hint="eastAsia" w:cs="宋体"/>
                <w:color w:val="000000" w:themeColor="text1"/>
                <w:sz w:val="24"/>
                <w:szCs w:val="32"/>
                <w:highlight w:val="none"/>
                <w:lang w:eastAsia="zh-CN"/>
                <w14:textFill>
                  <w14:solidFill>
                    <w14:schemeClr w14:val="tx1"/>
                  </w14:solidFill>
                </w14:textFill>
              </w:rPr>
              <w:t>t/a。危废类别HW49，代码900-041-49，妥善收集后暂存于危废贮存库，委托有资质的单位进行处理。</w:t>
            </w:r>
          </w:p>
          <w:p w14:paraId="19F0F4AE">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⑤清洗废液</w:t>
            </w:r>
          </w:p>
          <w:p w14:paraId="5557681C">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项目生产过程中使用清洗剂进行清洗产生的清洗废液属于危废，产生量为</w:t>
            </w:r>
            <w:r>
              <w:rPr>
                <w:rFonts w:hint="eastAsia" w:cs="宋体"/>
                <w:color w:val="000000" w:themeColor="text1"/>
                <w:sz w:val="24"/>
                <w:szCs w:val="32"/>
                <w:highlight w:val="none"/>
                <w:lang w:val="en-US" w:eastAsia="zh-CN"/>
                <w14:textFill>
                  <w14:solidFill>
                    <w14:schemeClr w14:val="tx1"/>
                  </w14:solidFill>
                </w14:textFill>
              </w:rPr>
              <w:t>10.82</w:t>
            </w:r>
            <w:r>
              <w:rPr>
                <w:rFonts w:hint="eastAsia" w:cs="宋体"/>
                <w:color w:val="000000" w:themeColor="text1"/>
                <w:sz w:val="24"/>
                <w:szCs w:val="32"/>
                <w:highlight w:val="none"/>
                <w:lang w:eastAsia="zh-CN"/>
                <w14:textFill>
                  <w14:solidFill>
                    <w14:schemeClr w14:val="tx1"/>
                  </w14:solidFill>
                </w14:textFill>
              </w:rPr>
              <w:t>t/a，危废类别HW06，代码900-404-06，妥善收集后暂存于危废贮存库， 委托有资质的单位进行处理。</w:t>
            </w:r>
          </w:p>
          <w:p w14:paraId="2D6268A8">
            <w:pPr>
              <w:spacing w:line="360" w:lineRule="auto"/>
              <w:ind w:firstLine="480" w:firstLineChars="200"/>
              <w:rPr>
                <w:rFonts w:hint="default"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eastAsia="zh-CN"/>
                <w14:textFill>
                  <w14:solidFill>
                    <w14:schemeClr w14:val="tx1"/>
                  </w14:solidFill>
                </w14:textFill>
              </w:rPr>
              <w:t>⑥</w:t>
            </w:r>
            <w:r>
              <w:rPr>
                <w:rFonts w:hint="eastAsia"/>
                <w:color w:val="000000" w:themeColor="text1"/>
                <w:sz w:val="24"/>
                <w:szCs w:val="32"/>
                <w:highlight w:val="none"/>
                <w:lang w:val="en-US" w:eastAsia="zh-CN"/>
                <w14:textFill>
                  <w14:solidFill>
                    <w14:schemeClr w14:val="tx1"/>
                  </w14:solidFill>
                </w14:textFill>
              </w:rPr>
              <w:t>刻蚀废液</w:t>
            </w:r>
          </w:p>
          <w:p w14:paraId="0331A5F3">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金属刻蚀环节产生硝酸铈铵废液1800t/a，危废类别HW34，代码900-300-34，妥善收集后暂存于危废贮存库，委托有资质的单位进行处理。</w:t>
            </w:r>
          </w:p>
          <w:p w14:paraId="602C8661">
            <w:pPr>
              <w:spacing w:line="360" w:lineRule="auto"/>
              <w:ind w:firstLine="480" w:firstLineChars="200"/>
              <w:rPr>
                <w:rFonts w:hint="default"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eastAsia="zh-CN"/>
                <w14:textFill>
                  <w14:solidFill>
                    <w14:schemeClr w14:val="tx1"/>
                  </w14:solidFill>
                </w14:textFill>
              </w:rPr>
              <w:t>⑦</w:t>
            </w:r>
            <w:r>
              <w:rPr>
                <w:rFonts w:hint="eastAsia" w:ascii="宋体" w:hAnsi="宋体" w:cs="宋体"/>
                <w:color w:val="000000" w:themeColor="text1"/>
                <w:sz w:val="24"/>
                <w:szCs w:val="32"/>
                <w:highlight w:val="none"/>
                <w:lang w:val="en-US" w:eastAsia="zh-CN"/>
                <w14:textFill>
                  <w14:solidFill>
                    <w14:schemeClr w14:val="tx1"/>
                  </w14:solidFill>
                </w14:textFill>
              </w:rPr>
              <w:t>污水处理站污泥</w:t>
            </w:r>
          </w:p>
          <w:p w14:paraId="4DF49B2A">
            <w:pPr>
              <w:spacing w:line="360" w:lineRule="auto"/>
              <w:ind w:firstLine="480" w:firstLineChars="200"/>
              <w:rPr>
                <w:rFonts w:hint="default"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cs="宋体"/>
                <w:color w:val="000000" w:themeColor="text1"/>
                <w:sz w:val="24"/>
                <w:szCs w:val="32"/>
                <w:highlight w:val="none"/>
                <w:lang w:val="en-US" w:eastAsia="zh-CN"/>
                <w14:textFill>
                  <w14:solidFill>
                    <w14:schemeClr w14:val="tx1"/>
                  </w14:solidFill>
                </w14:textFill>
              </w:rPr>
              <w:t>因本项目使用氢氟酸进行刻蚀，因此本项目污水处理站污泥属于危险废物，</w:t>
            </w:r>
            <w:r>
              <w:rPr>
                <w:rFonts w:hint="eastAsia" w:cs="宋体"/>
                <w:color w:val="000000" w:themeColor="text1"/>
                <w:sz w:val="24"/>
                <w:szCs w:val="32"/>
                <w:highlight w:val="none"/>
                <w:lang w:eastAsia="zh-CN"/>
                <w14:textFill>
                  <w14:solidFill>
                    <w14:schemeClr w14:val="tx1"/>
                  </w14:solidFill>
                </w14:textFill>
              </w:rPr>
              <w:t>产生量</w:t>
            </w:r>
            <w:r>
              <w:rPr>
                <w:rFonts w:hint="eastAsia" w:cs="宋体"/>
                <w:color w:val="000000" w:themeColor="text1"/>
                <w:sz w:val="24"/>
                <w:szCs w:val="32"/>
                <w:highlight w:val="none"/>
                <w:lang w:val="en-US" w:eastAsia="zh-CN"/>
                <w14:textFill>
                  <w14:solidFill>
                    <w14:schemeClr w14:val="tx1"/>
                  </w14:solidFill>
                </w14:textFill>
              </w:rPr>
              <w:t>约</w:t>
            </w:r>
            <w:r>
              <w:rPr>
                <w:rFonts w:hint="eastAsia" w:cs="宋体"/>
                <w:color w:val="000000" w:themeColor="text1"/>
                <w:sz w:val="24"/>
                <w:szCs w:val="32"/>
                <w:highlight w:val="none"/>
                <w:lang w:eastAsia="zh-CN"/>
                <w14:textFill>
                  <w14:solidFill>
                    <w14:schemeClr w14:val="tx1"/>
                  </w14:solidFill>
                </w14:textFill>
              </w:rPr>
              <w:t>为</w:t>
            </w:r>
            <w:r>
              <w:rPr>
                <w:rFonts w:hint="eastAsia" w:cs="宋体"/>
                <w:color w:val="000000" w:themeColor="text1"/>
                <w:sz w:val="24"/>
                <w:szCs w:val="32"/>
                <w:highlight w:val="none"/>
                <w:lang w:val="en-US" w:eastAsia="zh-CN"/>
                <w14:textFill>
                  <w14:solidFill>
                    <w14:schemeClr w14:val="tx1"/>
                  </w14:solidFill>
                </w14:textFill>
              </w:rPr>
              <w:t>40</w:t>
            </w:r>
            <w:r>
              <w:rPr>
                <w:rFonts w:hint="eastAsia" w:cs="宋体"/>
                <w:color w:val="000000" w:themeColor="text1"/>
                <w:sz w:val="24"/>
                <w:szCs w:val="32"/>
                <w:highlight w:val="none"/>
                <w:lang w:eastAsia="zh-CN"/>
                <w14:textFill>
                  <w14:solidFill>
                    <w14:schemeClr w14:val="tx1"/>
                  </w14:solidFill>
                </w14:textFill>
              </w:rPr>
              <w:t>t/a，</w:t>
            </w:r>
            <w:r>
              <w:rPr>
                <w:rFonts w:hint="eastAsia"/>
                <w:color w:val="000000" w:themeColor="text1"/>
                <w:sz w:val="24"/>
                <w:szCs w:val="32"/>
                <w:highlight w:val="none"/>
                <w:lang w:val="en-US" w:eastAsia="zh-CN"/>
                <w14:textFill>
                  <w14:solidFill>
                    <w14:schemeClr w14:val="tx1"/>
                  </w14:solidFill>
                </w14:textFill>
              </w:rPr>
              <w:t>危废类别HW17，代码336-064-17，妥善收集后暂存于危废贮存库，委托有资质的单位进行处理。</w:t>
            </w:r>
          </w:p>
          <w:p w14:paraId="3D07033D">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ascii="宋体" w:hAnsi="宋体" w:eastAsia="宋体" w:cs="宋体"/>
                <w:color w:val="000000" w:themeColor="text1"/>
                <w:sz w:val="24"/>
                <w:szCs w:val="32"/>
                <w:highlight w:val="none"/>
                <w:lang w:eastAsia="zh-CN"/>
                <w14:textFill>
                  <w14:solidFill>
                    <w14:schemeClr w14:val="tx1"/>
                  </w14:solidFill>
                </w14:textFill>
              </w:rPr>
              <w:t>⑧含油</w:t>
            </w:r>
            <w:r>
              <w:rPr>
                <w:rFonts w:hint="eastAsia" w:cs="宋体"/>
                <w:color w:val="000000" w:themeColor="text1"/>
                <w:sz w:val="24"/>
                <w:szCs w:val="32"/>
                <w:highlight w:val="none"/>
                <w:lang w:eastAsia="zh-CN"/>
                <w14:textFill>
                  <w14:solidFill>
                    <w14:schemeClr w14:val="tx1"/>
                  </w14:solidFill>
                </w14:textFill>
              </w:rPr>
              <w:t>抹布</w:t>
            </w:r>
          </w:p>
          <w:p w14:paraId="4970C4CC">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设备维修及保养过程中会产生含油抹布，产生量约</w:t>
            </w:r>
            <w:r>
              <w:rPr>
                <w:rFonts w:hint="eastAsia" w:cs="宋体"/>
                <w:color w:val="000000" w:themeColor="text1"/>
                <w:sz w:val="24"/>
                <w:szCs w:val="32"/>
                <w:highlight w:val="none"/>
                <w:lang w:val="en-US" w:eastAsia="zh-CN"/>
                <w14:textFill>
                  <w14:solidFill>
                    <w14:schemeClr w14:val="tx1"/>
                  </w14:solidFill>
                </w14:textFill>
              </w:rPr>
              <w:t>0.01</w:t>
            </w:r>
            <w:r>
              <w:rPr>
                <w:rFonts w:hint="eastAsia" w:cs="宋体"/>
                <w:color w:val="000000" w:themeColor="text1"/>
                <w:sz w:val="24"/>
                <w:szCs w:val="32"/>
                <w:highlight w:val="none"/>
                <w:lang w:eastAsia="zh-CN"/>
                <w14:textFill>
                  <w14:solidFill>
                    <w14:schemeClr w14:val="tx1"/>
                  </w14:solidFill>
                </w14:textFill>
              </w:rPr>
              <w:t>t/a。对照《国家危险废物名录（2025年版）》，类别为HW49，代码900-041-49，妥善收集后暂存于危废贮存库，委托有资质的单位进行处理。</w:t>
            </w:r>
          </w:p>
          <w:p w14:paraId="45272397">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综上，本评价要求将项目产生的危险废物收集后暂存于危险废物贮存库内， 定期委托有资质单位统一处置，危险废物贮存库按照《危险废物贮存污染控制标准》（GB18597-2023）要求进行建设，具备防风、防雨、防晒、防渗漏等要求。</w:t>
            </w:r>
          </w:p>
          <w:p w14:paraId="707CAE74">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（3）生活垃圾</w:t>
            </w:r>
          </w:p>
          <w:p w14:paraId="4273CFED">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生活垃圾主要来源于项目职工日常生活中产生的垃圾，项目新增职工人数共</w:t>
            </w:r>
            <w:r>
              <w:rPr>
                <w:rFonts w:hint="eastAsia" w:cs="宋体"/>
                <w:color w:val="000000" w:themeColor="text1"/>
                <w:sz w:val="24"/>
                <w:szCs w:val="32"/>
                <w:highlight w:val="none"/>
                <w:lang w:val="en-US" w:eastAsia="zh-CN"/>
                <w14:textFill>
                  <w14:solidFill>
                    <w14:schemeClr w14:val="tx1"/>
                  </w14:solidFill>
                </w14:textFill>
              </w:rPr>
              <w:t>150</w:t>
            </w:r>
            <w:r>
              <w:rPr>
                <w:rFonts w:hint="eastAsia" w:cs="宋体"/>
                <w:color w:val="000000" w:themeColor="text1"/>
                <w:sz w:val="24"/>
                <w:szCs w:val="32"/>
                <w:highlight w:val="none"/>
                <w:lang w:eastAsia="zh-CN"/>
                <w14:textFill>
                  <w14:solidFill>
                    <w14:schemeClr w14:val="tx1"/>
                  </w14:solidFill>
                </w14:textFill>
              </w:rPr>
              <w:t>人，均不在厂区内食宿，职工生活垃圾排放量按0.5kg/人·天计，则生活垃圾产生量为</w:t>
            </w:r>
            <w:r>
              <w:rPr>
                <w:rFonts w:hint="eastAsia" w:cs="宋体"/>
                <w:color w:val="000000" w:themeColor="text1"/>
                <w:sz w:val="24"/>
                <w:szCs w:val="32"/>
                <w:highlight w:val="none"/>
                <w:lang w:val="en-US" w:eastAsia="zh-CN"/>
                <w14:textFill>
                  <w14:solidFill>
                    <w14:schemeClr w14:val="tx1"/>
                  </w14:solidFill>
                </w14:textFill>
              </w:rPr>
              <w:t>75</w:t>
            </w:r>
            <w:r>
              <w:rPr>
                <w:rFonts w:hint="eastAsia" w:cs="宋体"/>
                <w:color w:val="000000" w:themeColor="text1"/>
                <w:sz w:val="24"/>
                <w:szCs w:val="32"/>
                <w:highlight w:val="none"/>
                <w:lang w:eastAsia="zh-CN"/>
                <w14:textFill>
                  <w14:solidFill>
                    <w14:schemeClr w14:val="tx1"/>
                  </w14:solidFill>
                </w14:textFill>
              </w:rPr>
              <w:t>kg/d，年产生量约为</w:t>
            </w:r>
            <w:r>
              <w:rPr>
                <w:rFonts w:hint="eastAsia" w:cs="宋体"/>
                <w:color w:val="000000" w:themeColor="text1"/>
                <w:sz w:val="24"/>
                <w:szCs w:val="32"/>
                <w:highlight w:val="none"/>
                <w:lang w:val="en-US" w:eastAsia="zh-CN"/>
                <w14:textFill>
                  <w14:solidFill>
                    <w14:schemeClr w14:val="tx1"/>
                  </w14:solidFill>
                </w14:textFill>
              </w:rPr>
              <w:t>18.75</w:t>
            </w:r>
            <w:r>
              <w:rPr>
                <w:rFonts w:hint="eastAsia" w:cs="宋体"/>
                <w:color w:val="000000" w:themeColor="text1"/>
                <w:sz w:val="24"/>
                <w:szCs w:val="32"/>
                <w:highlight w:val="none"/>
                <w:lang w:eastAsia="zh-CN"/>
                <w14:textFill>
                  <w14:solidFill>
                    <w14:schemeClr w14:val="tx1"/>
                  </w14:solidFill>
                </w14:textFill>
              </w:rPr>
              <w:t>t（按年工作250天计），统一收集后，全部委托环卫部门定期外运统一处置。</w:t>
            </w:r>
          </w:p>
          <w:p w14:paraId="69EDDD28">
            <w:pPr>
              <w:spacing w:line="360" w:lineRule="auto"/>
              <w:ind w:firstLine="480" w:firstLineChars="200"/>
              <w:rPr>
                <w:rFonts w:hint="eastAsia" w:cs="宋体"/>
                <w:color w:val="000000" w:themeColor="text1"/>
                <w:sz w:val="24"/>
                <w:szCs w:val="32"/>
                <w:highlight w:val="none"/>
                <w:lang w:eastAsia="zh-CN"/>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综上所述，项目一般工业固废及生活垃圾固体废物</w:t>
            </w:r>
            <w:r>
              <w:rPr>
                <w:rFonts w:hint="eastAsia" w:cs="宋体"/>
                <w:color w:val="000000" w:themeColor="text1"/>
                <w:sz w:val="24"/>
                <w:szCs w:val="32"/>
                <w:highlight w:val="none"/>
                <w:lang w:val="en-US" w:eastAsia="zh-CN"/>
                <w14:textFill>
                  <w14:solidFill>
                    <w14:schemeClr w14:val="tx1"/>
                  </w14:solidFill>
                </w14:textFill>
              </w:rPr>
              <w:t>产生量</w:t>
            </w:r>
            <w:r>
              <w:rPr>
                <w:rFonts w:hint="eastAsia" w:cs="宋体"/>
                <w:color w:val="000000" w:themeColor="text1"/>
                <w:sz w:val="24"/>
                <w:szCs w:val="32"/>
                <w:highlight w:val="none"/>
                <w:lang w:eastAsia="zh-CN"/>
                <w14:textFill>
                  <w14:solidFill>
                    <w14:schemeClr w14:val="tx1"/>
                  </w14:solidFill>
                </w14:textFill>
              </w:rPr>
              <w:t>及相关参数一览表详见表4.4-1；项目危险废物</w:t>
            </w:r>
            <w:r>
              <w:rPr>
                <w:rFonts w:hint="eastAsia" w:cs="宋体"/>
                <w:color w:val="000000" w:themeColor="text1"/>
                <w:sz w:val="24"/>
                <w:szCs w:val="32"/>
                <w:highlight w:val="none"/>
                <w:lang w:val="en-US" w:eastAsia="zh-CN"/>
                <w14:textFill>
                  <w14:solidFill>
                    <w14:schemeClr w14:val="tx1"/>
                  </w14:solidFill>
                </w14:textFill>
              </w:rPr>
              <w:t>产生量</w:t>
            </w:r>
            <w:r>
              <w:rPr>
                <w:rFonts w:hint="eastAsia" w:cs="宋体"/>
                <w:color w:val="000000" w:themeColor="text1"/>
                <w:sz w:val="24"/>
                <w:szCs w:val="32"/>
                <w:highlight w:val="none"/>
                <w:lang w:eastAsia="zh-CN"/>
                <w14:textFill>
                  <w14:solidFill>
                    <w14:schemeClr w14:val="tx1"/>
                  </w14:solidFill>
                </w14:textFill>
              </w:rPr>
              <w:t>及相关参数一览表详见表4.4-2。</w:t>
            </w:r>
          </w:p>
          <w:p w14:paraId="60A3E155">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表4.4-1固体废物污染源源强核算结果及相关参数一览表</w:t>
            </w:r>
          </w:p>
          <w:tbl>
            <w:tblPr>
              <w:tblStyle w:val="30"/>
              <w:tblW w:w="81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57" w:type="dxa"/>
                <w:bottom w:w="0" w:type="dxa"/>
                <w:right w:w="57" w:type="dxa"/>
              </w:tblCellMar>
            </w:tblPr>
            <w:tblGrid>
              <w:gridCol w:w="967"/>
              <w:gridCol w:w="615"/>
              <w:gridCol w:w="1623"/>
              <w:gridCol w:w="822"/>
              <w:gridCol w:w="1005"/>
              <w:gridCol w:w="975"/>
              <w:gridCol w:w="1138"/>
              <w:gridCol w:w="985"/>
            </w:tblGrid>
            <w:tr w14:paraId="75A8C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CF7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固废名称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3A4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废物性质</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F79A">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类别编号</w:t>
                  </w:r>
                </w:p>
              </w:tc>
              <w:tc>
                <w:tcPr>
                  <w:tcW w:w="822" w:type="dxa"/>
                  <w:tcBorders>
                    <w:top w:val="single" w:color="000000" w:sz="4" w:space="0"/>
                    <w:left w:val="single" w:color="000000" w:sz="4" w:space="0"/>
                    <w:bottom w:val="nil"/>
                    <w:right w:val="single" w:color="000000" w:sz="4" w:space="0"/>
                  </w:tcBorders>
                  <w:shd w:val="clear" w:color="auto" w:fill="auto"/>
                  <w:vAlign w:val="center"/>
                </w:tcPr>
                <w:p w14:paraId="3389D1AE">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（t/a）</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6B7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产生工序及装置</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893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主要成分</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2DC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有害成分</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63DE">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污染防治措施</w:t>
                  </w:r>
                </w:p>
              </w:tc>
            </w:tr>
            <w:tr w14:paraId="1D359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B2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不合格产品</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2A5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一般固废</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C2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SW17可再生类废物(900-004-S17)</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75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43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检验</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F8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2A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5" w:type="dxa"/>
                  <w:vMerge w:val="restart"/>
                  <w:tcBorders>
                    <w:top w:val="single" w:color="000000" w:sz="4" w:space="0"/>
                    <w:left w:val="single" w:color="000000" w:sz="4" w:space="0"/>
                    <w:right w:val="single" w:color="000000" w:sz="4" w:space="0"/>
                  </w:tcBorders>
                  <w:shd w:val="clear" w:color="auto" w:fill="auto"/>
                  <w:vAlign w:val="center"/>
                </w:tcPr>
                <w:p w14:paraId="5AFD98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收集后由物资回收单位回收利用</w:t>
                  </w:r>
                </w:p>
              </w:tc>
            </w:tr>
            <w:tr w14:paraId="2C8C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B9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废包装材料</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A22E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nil"/>
                    <w:right w:val="single" w:color="000000" w:sz="4" w:space="0"/>
                  </w:tcBorders>
                  <w:shd w:val="clear" w:color="auto" w:fill="auto"/>
                  <w:vAlign w:val="center"/>
                </w:tcPr>
                <w:p w14:paraId="1B573E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SW17可再生类废物(900-099-S17)</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C0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47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原料拆包</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7F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包装材料</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C8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5" w:type="dxa"/>
                  <w:vMerge w:val="continue"/>
                  <w:tcBorders>
                    <w:left w:val="single" w:color="000000" w:sz="4" w:space="0"/>
                    <w:bottom w:val="single" w:color="000000" w:sz="4" w:space="0"/>
                    <w:right w:val="single" w:color="000000" w:sz="4" w:space="0"/>
                  </w:tcBorders>
                  <w:shd w:val="clear" w:color="auto" w:fill="auto"/>
                  <w:vAlign w:val="center"/>
                </w:tcPr>
                <w:p w14:paraId="73556CAA">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r>
            <w:tr w14:paraId="39602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79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废金刚砂</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2118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nil"/>
                    <w:right w:val="single" w:color="000000" w:sz="4" w:space="0"/>
                  </w:tcBorders>
                  <w:shd w:val="clear" w:color="auto" w:fill="auto"/>
                  <w:vAlign w:val="center"/>
                </w:tcPr>
                <w:p w14:paraId="6AD450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SW17可再生类废物(900-099-S17)</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FE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F7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细磨</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E0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金刚砂</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11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A0A9">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收集后由厂家收利用</w:t>
                  </w:r>
                </w:p>
              </w:tc>
            </w:tr>
            <w:tr w14:paraId="6EA9A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3B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废边角料</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8319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nil"/>
                    <w:right w:val="single" w:color="000000" w:sz="4" w:space="0"/>
                  </w:tcBorders>
                  <w:shd w:val="clear" w:color="auto" w:fill="auto"/>
                  <w:vAlign w:val="center"/>
                </w:tcPr>
                <w:p w14:paraId="1C88BC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SW17可再生类废物(900-004-S17)</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AC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73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切割</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D6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废边角料</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67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97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收集后由物资回收单位回收利用</w:t>
                  </w:r>
                </w:p>
              </w:tc>
            </w:tr>
            <w:tr w14:paraId="5AA4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EC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废树脂</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4C81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nil"/>
                    <w:right w:val="single" w:color="000000" w:sz="4" w:space="0"/>
                  </w:tcBorders>
                  <w:shd w:val="clear" w:color="auto" w:fill="auto"/>
                  <w:vAlign w:val="center"/>
                </w:tcPr>
                <w:p w14:paraId="61F22A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SW59其他工业固体废物（900-008-S59）</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2F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98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纯水制备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F3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废树脂</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D1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F5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收集后由厂家收利用</w:t>
                  </w:r>
                </w:p>
              </w:tc>
            </w:tr>
            <w:tr w14:paraId="5099D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67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沉淀废渣</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7E7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nil"/>
                    <w:right w:val="single" w:color="000000" w:sz="4" w:space="0"/>
                  </w:tcBorders>
                  <w:shd w:val="clear" w:color="auto" w:fill="auto"/>
                  <w:vAlign w:val="center"/>
                </w:tcPr>
                <w:p w14:paraId="17E135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SW07污泥(900-099-S07)</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76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17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细磨抛光</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5A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沉淀废渣</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55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3D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收集后由物资回收单位回收利用</w:t>
                  </w:r>
                </w:p>
              </w:tc>
            </w:tr>
            <w:tr w14:paraId="740DC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47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873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危险废物</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21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 (900-039-49)</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D7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55.4631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4C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废气治理</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DB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有机废气</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2C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有机废气</w:t>
                  </w:r>
                </w:p>
              </w:tc>
              <w:tc>
                <w:tcPr>
                  <w:tcW w:w="985" w:type="dxa"/>
                  <w:vMerge w:val="restart"/>
                  <w:tcBorders>
                    <w:top w:val="single" w:color="000000" w:sz="4" w:space="0"/>
                    <w:left w:val="single" w:color="000000" w:sz="4" w:space="0"/>
                    <w:right w:val="single" w:color="000000" w:sz="4" w:space="0"/>
                  </w:tcBorders>
                  <w:shd w:val="clear" w:color="auto" w:fill="auto"/>
                  <w:vAlign w:val="center"/>
                </w:tcPr>
                <w:p w14:paraId="436543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暂存危废间，定期委托有资质的单位处置</w:t>
                  </w:r>
                </w:p>
              </w:tc>
            </w:tr>
            <w:tr w14:paraId="0EB3C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6A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废切削液、磨削液、冷却液</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0495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B8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HW09 (900-006-09)</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22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CA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清洗检验等</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6E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废切削液、磨削液、冷却液</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0A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废切削液、磨削液、冷却液</w:t>
                  </w:r>
                </w:p>
              </w:tc>
              <w:tc>
                <w:tcPr>
                  <w:tcW w:w="985" w:type="dxa"/>
                  <w:vMerge w:val="continue"/>
                  <w:tcBorders>
                    <w:left w:val="single" w:color="000000" w:sz="4" w:space="0"/>
                    <w:right w:val="single" w:color="000000" w:sz="4" w:space="0"/>
                  </w:tcBorders>
                  <w:shd w:val="clear" w:color="auto" w:fill="auto"/>
                  <w:vAlign w:val="center"/>
                </w:tcPr>
                <w:p w14:paraId="500C5C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143D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23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废胶桶</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B115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71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 (900-041-49)</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C7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03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原料拆包</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42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胶水</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18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胶水</w:t>
                  </w:r>
                </w:p>
              </w:tc>
              <w:tc>
                <w:tcPr>
                  <w:tcW w:w="985" w:type="dxa"/>
                  <w:vMerge w:val="continue"/>
                  <w:tcBorders>
                    <w:left w:val="single" w:color="000000" w:sz="4" w:space="0"/>
                    <w:right w:val="single" w:color="000000" w:sz="4" w:space="0"/>
                  </w:tcBorders>
                  <w:shd w:val="clear" w:color="auto" w:fill="auto"/>
                  <w:vAlign w:val="center"/>
                </w:tcPr>
                <w:p w14:paraId="343766D2">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r>
            <w:tr w14:paraId="02E45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18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废有机溶剂空瓶</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C6B5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72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 (900-041-49)</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0B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2C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9C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有机溶剂</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A6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有机溶剂</w:t>
                  </w:r>
                </w:p>
              </w:tc>
              <w:tc>
                <w:tcPr>
                  <w:tcW w:w="985" w:type="dxa"/>
                  <w:vMerge w:val="continue"/>
                  <w:tcBorders>
                    <w:left w:val="single" w:color="000000" w:sz="4" w:space="0"/>
                    <w:right w:val="single" w:color="000000" w:sz="4" w:space="0"/>
                  </w:tcBorders>
                  <w:shd w:val="clear" w:color="auto" w:fill="auto"/>
                  <w:vAlign w:val="center"/>
                </w:tcPr>
                <w:p w14:paraId="1104DF7D">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r>
            <w:tr w14:paraId="6E7EE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4D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清洗废液</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E437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25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HW06 (900-404-06)</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99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10.82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EB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20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有机溶剂</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9B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有机溶剂</w:t>
                  </w:r>
                </w:p>
              </w:tc>
              <w:tc>
                <w:tcPr>
                  <w:tcW w:w="985" w:type="dxa"/>
                  <w:vMerge w:val="continue"/>
                  <w:tcBorders>
                    <w:left w:val="single" w:color="000000" w:sz="4" w:space="0"/>
                    <w:right w:val="single" w:color="000000" w:sz="4" w:space="0"/>
                  </w:tcBorders>
                  <w:shd w:val="clear" w:color="auto" w:fill="auto"/>
                  <w:vAlign w:val="center"/>
                </w:tcPr>
                <w:p w14:paraId="31D26061">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r>
            <w:tr w14:paraId="40433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DA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金属刻蚀废液</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62D6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34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HW34 (900-300-34)</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C1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98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金属刻蚀</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B3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金属刻蚀废液</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17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金属刻蚀废液</w:t>
                  </w:r>
                </w:p>
              </w:tc>
              <w:tc>
                <w:tcPr>
                  <w:tcW w:w="985" w:type="dxa"/>
                  <w:vMerge w:val="continue"/>
                  <w:tcBorders>
                    <w:left w:val="single" w:color="000000" w:sz="4" w:space="0"/>
                    <w:right w:val="single" w:color="000000" w:sz="4" w:space="0"/>
                  </w:tcBorders>
                  <w:shd w:val="clear" w:color="auto" w:fill="auto"/>
                  <w:vAlign w:val="center"/>
                </w:tcPr>
                <w:p w14:paraId="16E72631">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r>
            <w:tr w14:paraId="5B1EC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10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污水处理站污泥</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9F49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20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HW17(336-064-17)</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29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CA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污水处理</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C1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污水处理站污泥</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68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污水处理站污泥</w:t>
                  </w:r>
                </w:p>
              </w:tc>
              <w:tc>
                <w:tcPr>
                  <w:tcW w:w="985" w:type="dxa"/>
                  <w:vMerge w:val="continue"/>
                  <w:tcBorders>
                    <w:left w:val="single" w:color="000000" w:sz="4" w:space="0"/>
                    <w:right w:val="single" w:color="000000" w:sz="4" w:space="0"/>
                  </w:tcBorders>
                  <w:shd w:val="clear" w:color="auto" w:fill="auto"/>
                  <w:vAlign w:val="center"/>
                </w:tcPr>
                <w:p w14:paraId="0AB9A731">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r>
            <w:tr w14:paraId="7A830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88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含油抹布</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69BB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C7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 (900-041-49)</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02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77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机修</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48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油类物质</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6F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石油烃</w:t>
                  </w:r>
                </w:p>
              </w:tc>
              <w:tc>
                <w:tcPr>
                  <w:tcW w:w="985" w:type="dxa"/>
                  <w:vMerge w:val="continue"/>
                  <w:tcBorders>
                    <w:left w:val="single" w:color="000000" w:sz="4" w:space="0"/>
                    <w:bottom w:val="single" w:color="000000" w:sz="4" w:space="0"/>
                    <w:right w:val="single" w:color="000000" w:sz="4" w:space="0"/>
                  </w:tcBorders>
                  <w:shd w:val="clear" w:color="auto" w:fill="auto"/>
                  <w:vAlign w:val="center"/>
                </w:tcPr>
                <w:p w14:paraId="01955EF1">
                  <w:pPr>
                    <w:jc w:val="center"/>
                    <w:rPr>
                      <w:rFonts w:hint="default" w:ascii="Times New Roman" w:hAnsi="Times New Roman" w:eastAsia="宋体" w:cs="Times New Roman"/>
                      <w:i w:val="0"/>
                      <w:iCs w:val="0"/>
                      <w:color w:val="000000" w:themeColor="text1"/>
                      <w:sz w:val="2"/>
                      <w:szCs w:val="2"/>
                      <w:highlight w:val="none"/>
                      <w:u w:val="none"/>
                      <w14:textFill>
                        <w14:solidFill>
                          <w14:schemeClr w14:val="tx1"/>
                        </w14:solidFill>
                      </w14:textFill>
                    </w:rPr>
                  </w:pPr>
                </w:p>
              </w:tc>
            </w:tr>
            <w:tr w14:paraId="45084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49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生活垃圾</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49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生活垃圾</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68C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 (900-099-S17)</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F9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18.75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97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11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BA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1D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收集后交由环卫部门处理</w:t>
                  </w:r>
                </w:p>
              </w:tc>
            </w:tr>
          </w:tbl>
          <w:p w14:paraId="40CF9F58">
            <w:pPr>
              <w:pStyle w:val="69"/>
              <w:spacing w:line="360" w:lineRule="auto"/>
              <w:rPr>
                <w:rFonts w:hint="eastAsia" w:eastAsia="宋体" w:cs="宋体"/>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 4</w:t>
            </w:r>
            <w:r>
              <w:rPr>
                <w:rFonts w:hint="eastAsia" w:eastAsia="宋体" w:cs="宋体"/>
                <w:b/>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w:t>
            </w:r>
            <w:r>
              <w:rPr>
                <w:rFonts w:hint="eastAsia" w:eastAsia="宋体" w:cs="宋体"/>
                <w:b/>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本项目</w:t>
            </w:r>
            <w:r>
              <w:rPr>
                <w:rFonts w:hint="eastAsia" w:eastAsia="宋体" w:cs="宋体"/>
                <w:b/>
                <w:color w:val="000000" w:themeColor="text1"/>
                <w:kern w:val="2"/>
                <w:sz w:val="24"/>
                <w:szCs w:val="24"/>
                <w:highlight w:val="none"/>
                <w:lang w:val="en-US" w:eastAsia="zh-CN" w:bidi="ar-SA"/>
                <w14:textFill>
                  <w14:solidFill>
                    <w14:schemeClr w14:val="tx1"/>
                  </w14:solidFill>
                </w14:textFill>
              </w:rPr>
              <w:t>危险废物汇总情况一览表</w:t>
            </w:r>
          </w:p>
          <w:tbl>
            <w:tblPr>
              <w:tblStyle w:val="30"/>
              <w:tblW w:w="81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57" w:type="dxa"/>
                <w:bottom w:w="0" w:type="dxa"/>
                <w:right w:w="57" w:type="dxa"/>
              </w:tblCellMar>
            </w:tblPr>
            <w:tblGrid>
              <w:gridCol w:w="601"/>
              <w:gridCol w:w="1320"/>
              <w:gridCol w:w="934"/>
              <w:gridCol w:w="879"/>
              <w:gridCol w:w="737"/>
              <w:gridCol w:w="750"/>
              <w:gridCol w:w="1150"/>
              <w:gridCol w:w="770"/>
              <w:gridCol w:w="989"/>
            </w:tblGrid>
            <w:tr w14:paraId="1AD40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F4F6">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序号</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45B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危废种类</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910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3A8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产生工序</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装置</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9C3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形态</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535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产废周期</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5E6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危险废物类别及代码</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E29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危险特性</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E3C1">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污染防治措施及去向</w:t>
                  </w:r>
                </w:p>
              </w:tc>
            </w:tr>
            <w:tr w14:paraId="5FD5E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2A3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B423">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废切削液、磨削液、冷却液</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E49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0F6F">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清洗检验等</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2C82">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液态</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643B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半年</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F1A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HW09(900-006-09)</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9CC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T,I</w:t>
                  </w:r>
                </w:p>
              </w:tc>
              <w:tc>
                <w:tcPr>
                  <w:tcW w:w="9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0F31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收集后暂存于危险废物贮存库内，定期委托有资质单位统一处置</w:t>
                  </w:r>
                </w:p>
              </w:tc>
            </w:tr>
            <w:tr w14:paraId="476EE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665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72F9">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废胶桶</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624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091C">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原料拆包</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3E7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固态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4C583">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12E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HW49(900-041-49)</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F22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T,I</w:t>
                  </w: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37E0A">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3DD67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458C">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912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废有机溶剂及空瓶</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B7C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15B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清洗</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C11D">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固态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EA8F7">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DEE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HW06(900-404-06)</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3E4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T,I</w:t>
                  </w: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86F87">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2C990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6B7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E6E5">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清洗废液</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6B90">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10.82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A54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清洗</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9FB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液态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B04B3">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02E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HW06(900-404-06)</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4DB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T,I</w:t>
                  </w: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52BB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10C94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128B">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77A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金属刻蚀废液</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D261">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1800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54A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金属刻蚀</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454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液态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A6703">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548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HW34(900-300-34)</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284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C,T</w:t>
                  </w: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BDA9D">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4EF98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8FF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941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污水处理站污泥</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0A6F">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40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2D46">
                  <w:pPr>
                    <w:keepNext w:val="0"/>
                    <w:keepLines w:val="0"/>
                    <w:widowControl/>
                    <w:suppressLineNumbers w:val="0"/>
                    <w:jc w:val="center"/>
                    <w:textAlignment w:val="top"/>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污水处理</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FA5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固态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A881D">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EA3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HW17(336-064-17)</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C77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T/C</w:t>
                  </w: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A41A6">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5A95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5CF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7B3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955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55.4631</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8E0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废气治理</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E00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固态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C3738">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66C6">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HW49(900-039-49)</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AF8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w:t>
                  </w: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63EE3">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39F79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852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105B">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含油抹布</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8F5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1EF4">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机修</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44F8">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固态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8FF7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923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HW49(900-041-49)</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15B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T,I</w:t>
                  </w: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E23AE">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bl>
          <w:p w14:paraId="7BB8BAA0">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4.4.2固废贮存场所要求</w:t>
            </w:r>
          </w:p>
          <w:p w14:paraId="067771B7">
            <w:pPr>
              <w:pStyle w:val="66"/>
              <w:ind w:firstLine="420"/>
              <w:rPr>
                <w:rFonts w:hint="eastAsia" w:ascii="宋体" w:hAnsi="宋体"/>
                <w:color w:val="000000" w:themeColor="text1"/>
                <w:sz w:val="24"/>
                <w:szCs w:val="32"/>
                <w:highlight w:val="none"/>
                <w:lang w:val="en-US" w:eastAsia="zh-CN"/>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本项目的危险废物</w:t>
            </w:r>
            <w:r>
              <w:rPr>
                <w:rFonts w:hint="eastAsia" w:ascii="宋体" w:hAnsi="宋体"/>
                <w:color w:val="000000" w:themeColor="text1"/>
                <w:sz w:val="24"/>
                <w:szCs w:val="32"/>
                <w:highlight w:val="none"/>
                <w14:textFill>
                  <w14:solidFill>
                    <w14:schemeClr w14:val="tx1"/>
                  </w14:solidFill>
                </w14:textFill>
              </w:rPr>
              <w:t>贮存设施应</w:t>
            </w:r>
            <w:r>
              <w:rPr>
                <w:rFonts w:ascii="宋体" w:hAnsi="宋体"/>
                <w:color w:val="000000" w:themeColor="text1"/>
                <w:sz w:val="24"/>
                <w:szCs w:val="32"/>
                <w:highlight w:val="none"/>
                <w14:textFill>
                  <w14:solidFill>
                    <w14:schemeClr w14:val="tx1"/>
                  </w14:solidFill>
                </w14:textFill>
              </w:rPr>
              <w:t>按照《危险废物贮存污染控制标准》（</w:t>
            </w:r>
            <w:r>
              <w:rPr>
                <w:color w:val="000000" w:themeColor="text1"/>
                <w:sz w:val="24"/>
                <w:szCs w:val="32"/>
                <w:highlight w:val="none"/>
                <w14:textFill>
                  <w14:solidFill>
                    <w14:schemeClr w14:val="tx1"/>
                  </w14:solidFill>
                </w14:textFill>
              </w:rPr>
              <w:t>GB18597-20</w:t>
            </w:r>
            <w:r>
              <w:rPr>
                <w:rFonts w:hint="eastAsia"/>
                <w:color w:val="000000" w:themeColor="text1"/>
                <w:sz w:val="24"/>
                <w:szCs w:val="32"/>
                <w:highlight w:val="none"/>
                <w14:textFill>
                  <w14:solidFill>
                    <w14:schemeClr w14:val="tx1"/>
                  </w14:solidFill>
                </w14:textFill>
              </w:rPr>
              <w:t>23</w:t>
            </w:r>
            <w:r>
              <w:rPr>
                <w:rFonts w:ascii="宋体" w:hAnsi="宋体"/>
                <w:color w:val="000000" w:themeColor="text1"/>
                <w:sz w:val="24"/>
                <w:szCs w:val="32"/>
                <w:highlight w:val="none"/>
                <w14:textFill>
                  <w14:solidFill>
                    <w14:schemeClr w14:val="tx1"/>
                  </w14:solidFill>
                </w14:textFill>
              </w:rPr>
              <w:t>）</w:t>
            </w:r>
            <w:r>
              <w:rPr>
                <w:rFonts w:hint="eastAsia" w:ascii="宋体" w:hAnsi="宋体"/>
                <w:color w:val="000000" w:themeColor="text1"/>
                <w:sz w:val="24"/>
                <w:szCs w:val="32"/>
                <w:highlight w:val="none"/>
                <w:lang w:eastAsia="zh-CN"/>
                <w14:textFill>
                  <w14:solidFill>
                    <w14:schemeClr w14:val="tx1"/>
                  </w14:solidFill>
                </w14:textFill>
              </w:rPr>
              <w:t>、《建设项目危险废物环境影响评价指南》</w:t>
            </w:r>
            <w:r>
              <w:rPr>
                <w:rFonts w:ascii="宋体" w:hAnsi="宋体"/>
                <w:color w:val="000000" w:themeColor="text1"/>
                <w:sz w:val="24"/>
                <w:szCs w:val="32"/>
                <w:highlight w:val="none"/>
                <w14:textFill>
                  <w14:solidFill>
                    <w14:schemeClr w14:val="tx1"/>
                  </w14:solidFill>
                </w14:textFill>
              </w:rPr>
              <w:t>的要求进行建设，一般工业固废暂存场按照《一般工业固体废物贮存、处置场污染控制标准》</w:t>
            </w:r>
            <w:r>
              <w:rPr>
                <w:rFonts w:hint="eastAsia" w:ascii="宋体" w:hAnsi="宋体"/>
                <w:color w:val="000000" w:themeColor="text1"/>
                <w:sz w:val="24"/>
                <w:szCs w:val="32"/>
                <w:highlight w:val="none"/>
                <w14:textFill>
                  <w14:solidFill>
                    <w14:schemeClr w14:val="tx1"/>
                  </w14:solidFill>
                </w14:textFill>
              </w:rPr>
              <w:t>（</w:t>
            </w:r>
            <w:r>
              <w:rPr>
                <w:color w:val="000000" w:themeColor="text1"/>
                <w:sz w:val="24"/>
                <w:szCs w:val="32"/>
                <w:highlight w:val="none"/>
                <w14:textFill>
                  <w14:solidFill>
                    <w14:schemeClr w14:val="tx1"/>
                  </w14:solidFill>
                </w14:textFill>
              </w:rPr>
              <w:t>GB18599-2020</w:t>
            </w:r>
            <w:r>
              <w:rPr>
                <w:rFonts w:hint="eastAsia" w:ascii="宋体" w:hAnsi="宋体"/>
                <w:color w:val="000000" w:themeColor="text1"/>
                <w:sz w:val="24"/>
                <w:szCs w:val="32"/>
                <w:highlight w:val="none"/>
                <w14:textFill>
                  <w14:solidFill>
                    <w14:schemeClr w14:val="tx1"/>
                  </w14:solidFill>
                </w14:textFill>
              </w:rPr>
              <w:t>）</w:t>
            </w:r>
            <w:r>
              <w:rPr>
                <w:rFonts w:ascii="宋体" w:hAnsi="宋体"/>
                <w:color w:val="000000" w:themeColor="text1"/>
                <w:sz w:val="24"/>
                <w:szCs w:val="32"/>
                <w:highlight w:val="none"/>
                <w14:textFill>
                  <w14:solidFill>
                    <w14:schemeClr w14:val="tx1"/>
                  </w14:solidFill>
                </w14:textFill>
              </w:rPr>
              <w:t>的要求进行建设。危废暂存场配套了防流失设施</w:t>
            </w:r>
            <w:r>
              <w:rPr>
                <w:rFonts w:hint="eastAsia" w:ascii="宋体" w:hAnsi="宋体"/>
                <w:color w:val="000000" w:themeColor="text1"/>
                <w:sz w:val="24"/>
                <w:szCs w:val="32"/>
                <w:highlight w:val="none"/>
                <w14:textFill>
                  <w14:solidFill>
                    <w14:schemeClr w14:val="tx1"/>
                  </w14:solidFill>
                </w14:textFill>
              </w:rPr>
              <w:t>后</w:t>
            </w:r>
            <w:r>
              <w:rPr>
                <w:rFonts w:ascii="宋体" w:hAnsi="宋体"/>
                <w:color w:val="000000" w:themeColor="text1"/>
                <w:sz w:val="24"/>
                <w:szCs w:val="32"/>
                <w:highlight w:val="none"/>
                <w14:textFill>
                  <w14:solidFill>
                    <w14:schemeClr w14:val="tx1"/>
                  </w14:solidFill>
                </w14:textFill>
              </w:rPr>
              <w:t>，很难对水环境产生不利影响。同时危险废物贮存</w:t>
            </w:r>
            <w:r>
              <w:rPr>
                <w:rFonts w:hint="eastAsia" w:ascii="宋体" w:hAnsi="宋体"/>
                <w:color w:val="000000" w:themeColor="text1"/>
                <w:sz w:val="24"/>
                <w:szCs w:val="32"/>
                <w:highlight w:val="none"/>
                <w14:textFill>
                  <w14:solidFill>
                    <w14:schemeClr w14:val="tx1"/>
                  </w14:solidFill>
                </w14:textFill>
              </w:rPr>
              <w:t>库应</w:t>
            </w:r>
            <w:r>
              <w:rPr>
                <w:rFonts w:ascii="宋体" w:hAnsi="宋体"/>
                <w:color w:val="000000" w:themeColor="text1"/>
                <w:sz w:val="24"/>
                <w:szCs w:val="32"/>
                <w:highlight w:val="none"/>
                <w14:textFill>
                  <w14:solidFill>
                    <w14:schemeClr w14:val="tx1"/>
                  </w14:solidFill>
                </w14:textFill>
              </w:rPr>
              <w:t>按照《危险废物贮存污染控制标准》的要求进行防渗建设，</w:t>
            </w:r>
            <w:r>
              <w:rPr>
                <w:rFonts w:hint="eastAsia" w:ascii="宋体" w:hAnsi="宋体"/>
                <w:color w:val="000000" w:themeColor="text1"/>
                <w:sz w:val="24"/>
                <w:szCs w:val="32"/>
                <w:highlight w:val="none"/>
                <w14:textFill>
                  <w14:solidFill>
                    <w14:schemeClr w14:val="tx1"/>
                  </w14:solidFill>
                </w14:textFill>
              </w:rPr>
              <w:t>落实防腐防渗措施后，</w:t>
            </w:r>
            <w:r>
              <w:rPr>
                <w:rFonts w:hint="eastAsia" w:ascii="宋体" w:hAnsi="宋体"/>
                <w:color w:val="000000" w:themeColor="text1"/>
                <w:sz w:val="24"/>
                <w:szCs w:val="32"/>
                <w:highlight w:val="none"/>
                <w:lang w:val="en-US" w:eastAsia="zh-CN"/>
                <w14:textFill>
                  <w14:solidFill>
                    <w14:schemeClr w14:val="tx1"/>
                  </w14:solidFill>
                </w14:textFill>
              </w:rPr>
              <w:t>不会对</w:t>
            </w:r>
            <w:r>
              <w:rPr>
                <w:rFonts w:ascii="宋体" w:hAnsi="宋体"/>
                <w:color w:val="000000" w:themeColor="text1"/>
                <w:sz w:val="24"/>
                <w:szCs w:val="32"/>
                <w:highlight w:val="none"/>
                <w14:textFill>
                  <w14:solidFill>
                    <w14:schemeClr w14:val="tx1"/>
                  </w14:solidFill>
                </w14:textFill>
              </w:rPr>
              <w:t>地下水产生不利环境影响</w:t>
            </w:r>
            <w:r>
              <w:rPr>
                <w:rFonts w:hint="eastAsia" w:ascii="宋体" w:hAnsi="宋体"/>
                <w:color w:val="000000" w:themeColor="text1"/>
                <w:sz w:val="24"/>
                <w:szCs w:val="32"/>
                <w:highlight w:val="none"/>
                <w:lang w:eastAsia="zh-CN"/>
                <w14:textFill>
                  <w14:solidFill>
                    <w14:schemeClr w14:val="tx1"/>
                  </w14:solidFill>
                </w14:textFill>
              </w:rPr>
              <w:t>。</w:t>
            </w:r>
            <w:r>
              <w:rPr>
                <w:rFonts w:hint="eastAsia" w:ascii="宋体" w:hAnsi="宋体"/>
                <w:color w:val="000000" w:themeColor="text1"/>
                <w:sz w:val="24"/>
                <w:szCs w:val="32"/>
                <w:highlight w:val="none"/>
                <w:lang w:val="en-US" w:eastAsia="zh-CN"/>
                <w14:textFill>
                  <w14:solidFill>
                    <w14:schemeClr w14:val="tx1"/>
                  </w14:solidFill>
                </w14:textFill>
              </w:rPr>
              <w:t>本项目在厂房西南角设置一般工业固体废物贮存场所，具体见下表。</w:t>
            </w:r>
          </w:p>
          <w:p w14:paraId="57ECB1A4">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w:t>
            </w:r>
            <w:r>
              <w:rPr>
                <w:rFonts w:hint="eastAsia" w:eastAsia="宋体" w:cs="宋体"/>
                <w:b/>
                <w:color w:val="000000" w:themeColor="text1"/>
                <w:kern w:val="2"/>
                <w:sz w:val="24"/>
                <w:szCs w:val="24"/>
                <w:highlight w:val="none"/>
                <w:lang w:val="en-US" w:eastAsia="zh-CN" w:bidi="ar-SA"/>
                <w14:textFill>
                  <w14:solidFill>
                    <w14:schemeClr w14:val="tx1"/>
                  </w14:solidFill>
                </w14:textFill>
              </w:rPr>
              <w:t>4.4-3</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建设项目一般工业固废贮存场所（设施）基本情况</w:t>
            </w:r>
            <w:r>
              <w:rPr>
                <w:rFonts w:hint="eastAsia" w:eastAsia="宋体" w:cs="宋体"/>
                <w:b/>
                <w:color w:val="000000" w:themeColor="text1"/>
                <w:kern w:val="2"/>
                <w:sz w:val="24"/>
                <w:szCs w:val="24"/>
                <w:highlight w:val="none"/>
                <w:lang w:val="en-US" w:eastAsia="zh-CN" w:bidi="ar-SA"/>
                <w14:textFill>
                  <w14:solidFill>
                    <w14:schemeClr w14:val="tx1"/>
                  </w14:solidFill>
                </w14:textFill>
              </w:rPr>
              <w:t>一览表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79"/>
              <w:gridCol w:w="919"/>
              <w:gridCol w:w="1200"/>
              <w:gridCol w:w="870"/>
              <w:gridCol w:w="908"/>
              <w:gridCol w:w="826"/>
              <w:gridCol w:w="767"/>
              <w:gridCol w:w="693"/>
              <w:gridCol w:w="693"/>
              <w:gridCol w:w="756"/>
            </w:tblGrid>
            <w:tr w14:paraId="08691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noWrap w:val="0"/>
                  <w:vAlign w:val="center"/>
                </w:tcPr>
                <w:p w14:paraId="1B2F6EA1">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序号</w:t>
                  </w:r>
                </w:p>
              </w:tc>
              <w:tc>
                <w:tcPr>
                  <w:tcW w:w="919" w:type="dxa"/>
                  <w:noWrap w:val="0"/>
                  <w:vAlign w:val="center"/>
                </w:tcPr>
                <w:p w14:paraId="1E8CEB68">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贮存场所（设施）名称</w:t>
                  </w:r>
                </w:p>
              </w:tc>
              <w:tc>
                <w:tcPr>
                  <w:tcW w:w="1200" w:type="dxa"/>
                  <w:noWrap w:val="0"/>
                  <w:vAlign w:val="center"/>
                </w:tcPr>
                <w:p w14:paraId="41CE3175">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一般工业固废</w:t>
                  </w:r>
                  <w:r>
                    <w:rPr>
                      <w:rFonts w:hint="default" w:ascii="Times New Roman" w:hAnsi="Times New Roman" w:eastAsia="宋体" w:cs="Times New Roman"/>
                      <w:color w:val="000000" w:themeColor="text1"/>
                      <w:kern w:val="0"/>
                      <w:szCs w:val="21"/>
                      <w:highlight w:val="none"/>
                      <w14:textFill>
                        <w14:solidFill>
                          <w14:schemeClr w14:val="tx1"/>
                        </w14:solidFill>
                      </w14:textFill>
                    </w:rPr>
                    <w:t>名称</w:t>
                  </w:r>
                </w:p>
              </w:tc>
              <w:tc>
                <w:tcPr>
                  <w:tcW w:w="870" w:type="dxa"/>
                  <w:noWrap w:val="0"/>
                  <w:vAlign w:val="center"/>
                </w:tcPr>
                <w:p w14:paraId="61983605">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类别</w:t>
                  </w:r>
                </w:p>
              </w:tc>
              <w:tc>
                <w:tcPr>
                  <w:tcW w:w="908" w:type="dxa"/>
                  <w:noWrap w:val="0"/>
                  <w:vAlign w:val="center"/>
                </w:tcPr>
                <w:p w14:paraId="7CF8BA39">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代码</w:t>
                  </w:r>
                </w:p>
              </w:tc>
              <w:tc>
                <w:tcPr>
                  <w:tcW w:w="826" w:type="dxa"/>
                  <w:noWrap w:val="0"/>
                  <w:vAlign w:val="center"/>
                </w:tcPr>
                <w:p w14:paraId="443722DF">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位置</w:t>
                  </w:r>
                </w:p>
              </w:tc>
              <w:tc>
                <w:tcPr>
                  <w:tcW w:w="767" w:type="dxa"/>
                  <w:noWrap w:val="0"/>
                  <w:vAlign w:val="center"/>
                </w:tcPr>
                <w:p w14:paraId="4B78B0E1">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占地面积</w:t>
                  </w:r>
                </w:p>
              </w:tc>
              <w:tc>
                <w:tcPr>
                  <w:tcW w:w="693" w:type="dxa"/>
                  <w:noWrap w:val="0"/>
                  <w:vAlign w:val="center"/>
                </w:tcPr>
                <w:p w14:paraId="1B72191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贮存方式</w:t>
                  </w:r>
                </w:p>
              </w:tc>
              <w:tc>
                <w:tcPr>
                  <w:tcW w:w="693" w:type="dxa"/>
                  <w:noWrap w:val="0"/>
                  <w:vAlign w:val="center"/>
                </w:tcPr>
                <w:p w14:paraId="06FA8800">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贮存</w:t>
                  </w:r>
                </w:p>
                <w:p w14:paraId="0FAD0D3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能力</w:t>
                  </w:r>
                </w:p>
              </w:tc>
              <w:tc>
                <w:tcPr>
                  <w:tcW w:w="756" w:type="dxa"/>
                  <w:noWrap w:val="0"/>
                  <w:vAlign w:val="center"/>
                </w:tcPr>
                <w:p w14:paraId="616903EB">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贮存</w:t>
                  </w:r>
                </w:p>
                <w:p w14:paraId="25DD1B12">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周期</w:t>
                  </w:r>
                </w:p>
              </w:tc>
            </w:tr>
            <w:tr w14:paraId="1919A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restart"/>
                  <w:noWrap w:val="0"/>
                  <w:vAlign w:val="center"/>
                </w:tcPr>
                <w:p w14:paraId="14D8EEC2">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1</w:t>
                  </w:r>
                </w:p>
              </w:tc>
              <w:tc>
                <w:tcPr>
                  <w:tcW w:w="919" w:type="dxa"/>
                  <w:vMerge w:val="restart"/>
                  <w:noWrap w:val="0"/>
                  <w:vAlign w:val="center"/>
                </w:tcPr>
                <w:p w14:paraId="3E51B0E4">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一般工业固废暂存</w:t>
                  </w:r>
                  <w:r>
                    <w:rPr>
                      <w:rFonts w:hint="eastAsia" w:cs="Times New Roman"/>
                      <w:color w:val="000000" w:themeColor="text1"/>
                      <w:kern w:val="0"/>
                      <w:szCs w:val="21"/>
                      <w:highlight w:val="none"/>
                      <w:lang w:val="en-US" w:eastAsia="zh-CN"/>
                      <w14:textFill>
                        <w14:solidFill>
                          <w14:schemeClr w14:val="tx1"/>
                        </w14:solidFill>
                      </w14:textFill>
                    </w:rPr>
                    <w:t>间</w:t>
                  </w:r>
                </w:p>
              </w:tc>
              <w:tc>
                <w:tcPr>
                  <w:tcW w:w="1200" w:type="dxa"/>
                  <w:noWrap w:val="0"/>
                  <w:vAlign w:val="center"/>
                </w:tcPr>
                <w:p w14:paraId="74BC02D8">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不合格产品</w:t>
                  </w:r>
                </w:p>
              </w:tc>
              <w:tc>
                <w:tcPr>
                  <w:tcW w:w="870" w:type="dxa"/>
                  <w:noWrap w:val="0"/>
                  <w:vAlign w:val="center"/>
                </w:tcPr>
                <w:p w14:paraId="6A103E3A">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w:t>
                  </w:r>
                </w:p>
              </w:tc>
              <w:tc>
                <w:tcPr>
                  <w:tcW w:w="908" w:type="dxa"/>
                  <w:noWrap w:val="0"/>
                  <w:vAlign w:val="center"/>
                </w:tcPr>
                <w:p w14:paraId="4B1C7C8F">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900-004-S17</w:t>
                  </w:r>
                </w:p>
              </w:tc>
              <w:tc>
                <w:tcPr>
                  <w:tcW w:w="826" w:type="dxa"/>
                  <w:vMerge w:val="restart"/>
                  <w:noWrap w:val="0"/>
                  <w:vAlign w:val="center"/>
                </w:tcPr>
                <w:p w14:paraId="53C68E85">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厂房</w:t>
                  </w:r>
                  <w:r>
                    <w:rPr>
                      <w:rFonts w:hint="eastAsia" w:cs="Times New Roman"/>
                      <w:color w:val="000000" w:themeColor="text1"/>
                      <w:kern w:val="0"/>
                      <w:szCs w:val="21"/>
                      <w:highlight w:val="none"/>
                      <w:lang w:val="en-US" w:eastAsia="zh-CN"/>
                      <w14:textFill>
                        <w14:solidFill>
                          <w14:schemeClr w14:val="tx1"/>
                        </w14:solidFill>
                      </w14:textFill>
                    </w:rPr>
                    <w:t>一楼西南角</w:t>
                  </w:r>
                </w:p>
              </w:tc>
              <w:tc>
                <w:tcPr>
                  <w:tcW w:w="767" w:type="dxa"/>
                  <w:vMerge w:val="restart"/>
                  <w:noWrap w:val="0"/>
                  <w:vAlign w:val="center"/>
                </w:tcPr>
                <w:p w14:paraId="72B82CE3">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26</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Cs w:val="21"/>
                      <w:highlight w:val="none"/>
                      <w:vertAlign w:val="superscript"/>
                      <w:lang w:val="en-US" w:eastAsia="zh-CN"/>
                      <w14:textFill>
                        <w14:solidFill>
                          <w14:schemeClr w14:val="tx1"/>
                        </w14:solidFill>
                      </w14:textFill>
                    </w:rPr>
                    <w:t>2</w:t>
                  </w:r>
                </w:p>
              </w:tc>
              <w:tc>
                <w:tcPr>
                  <w:tcW w:w="693" w:type="dxa"/>
                  <w:noWrap w:val="0"/>
                  <w:vAlign w:val="center"/>
                </w:tcPr>
                <w:p w14:paraId="617FAB25">
                  <w:pPr>
                    <w:jc w:val="cente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693" w:type="dxa"/>
                  <w:vMerge w:val="restart"/>
                  <w:noWrap w:val="0"/>
                  <w:vAlign w:val="center"/>
                </w:tcPr>
                <w:p w14:paraId="2F26ECA3">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26</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t</w:t>
                  </w:r>
                </w:p>
              </w:tc>
              <w:tc>
                <w:tcPr>
                  <w:tcW w:w="756" w:type="dxa"/>
                  <w:vMerge w:val="restart"/>
                  <w:noWrap w:val="0"/>
                  <w:vAlign w:val="center"/>
                </w:tcPr>
                <w:p w14:paraId="509868EF">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3个月</w:t>
                  </w:r>
                </w:p>
              </w:tc>
            </w:tr>
            <w:tr w14:paraId="31767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78CB66F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128FD20C">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00" w:type="dxa"/>
                  <w:noWrap w:val="0"/>
                  <w:vAlign w:val="center"/>
                </w:tcPr>
                <w:p w14:paraId="3E912791">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废包装材料</w:t>
                  </w:r>
                </w:p>
              </w:tc>
              <w:tc>
                <w:tcPr>
                  <w:tcW w:w="870" w:type="dxa"/>
                  <w:noWrap w:val="0"/>
                  <w:vAlign w:val="center"/>
                </w:tcPr>
                <w:p w14:paraId="417A4307">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w:t>
                  </w:r>
                </w:p>
              </w:tc>
              <w:tc>
                <w:tcPr>
                  <w:tcW w:w="908" w:type="dxa"/>
                  <w:noWrap w:val="0"/>
                  <w:vAlign w:val="center"/>
                </w:tcPr>
                <w:p w14:paraId="5A856A96">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900-099-S17</w:t>
                  </w:r>
                </w:p>
              </w:tc>
              <w:tc>
                <w:tcPr>
                  <w:tcW w:w="826" w:type="dxa"/>
                  <w:vMerge w:val="continue"/>
                  <w:noWrap w:val="0"/>
                  <w:vAlign w:val="center"/>
                </w:tcPr>
                <w:p w14:paraId="16751AFE">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13C8F97E">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7E44E056">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堆叠</w:t>
                  </w:r>
                </w:p>
              </w:tc>
              <w:tc>
                <w:tcPr>
                  <w:tcW w:w="693" w:type="dxa"/>
                  <w:vMerge w:val="continue"/>
                  <w:noWrap w:val="0"/>
                  <w:vAlign w:val="center"/>
                </w:tcPr>
                <w:p w14:paraId="6A6B210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05874072">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7FF37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7956CEFB">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296B2168">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00" w:type="dxa"/>
                  <w:noWrap w:val="0"/>
                  <w:vAlign w:val="center"/>
                </w:tcPr>
                <w:p w14:paraId="28F43FB0">
                  <w:pPr>
                    <w:keepNext w:val="0"/>
                    <w:keepLines w:val="0"/>
                    <w:widowControl/>
                    <w:suppressLineNumbers w:val="0"/>
                    <w:jc w:val="center"/>
                    <w:textAlignment w:val="center"/>
                    <w:rPr>
                      <w:rFonts w:hint="eastAsia"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废金刚砂</w:t>
                  </w:r>
                </w:p>
              </w:tc>
              <w:tc>
                <w:tcPr>
                  <w:tcW w:w="870" w:type="dxa"/>
                  <w:noWrap w:val="0"/>
                  <w:vAlign w:val="center"/>
                </w:tcPr>
                <w:p w14:paraId="3B3E31D6">
                  <w:pPr>
                    <w:keepNext w:val="0"/>
                    <w:keepLines w:val="0"/>
                    <w:widowControl/>
                    <w:suppressLineNumbers w:val="0"/>
                    <w:jc w:val="center"/>
                    <w:textAlignment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w:t>
                  </w:r>
                </w:p>
              </w:tc>
              <w:tc>
                <w:tcPr>
                  <w:tcW w:w="908" w:type="dxa"/>
                  <w:noWrap w:val="0"/>
                  <w:vAlign w:val="center"/>
                </w:tcPr>
                <w:p w14:paraId="35623936">
                  <w:pPr>
                    <w:jc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900-099-S17</w:t>
                  </w:r>
                </w:p>
              </w:tc>
              <w:tc>
                <w:tcPr>
                  <w:tcW w:w="826" w:type="dxa"/>
                  <w:vMerge w:val="continue"/>
                  <w:noWrap w:val="0"/>
                  <w:vAlign w:val="center"/>
                </w:tcPr>
                <w:p w14:paraId="5548A95F">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39621F02">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29108A95">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693" w:type="dxa"/>
                  <w:vMerge w:val="continue"/>
                  <w:noWrap w:val="0"/>
                  <w:vAlign w:val="center"/>
                </w:tcPr>
                <w:p w14:paraId="41D88AE2">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680997F7">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22940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1CB7479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0874E5CE">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00" w:type="dxa"/>
                  <w:noWrap w:val="0"/>
                  <w:vAlign w:val="center"/>
                </w:tcPr>
                <w:p w14:paraId="52FDA023">
                  <w:pPr>
                    <w:keepNext w:val="0"/>
                    <w:keepLines w:val="0"/>
                    <w:widowControl/>
                    <w:suppressLineNumbers w:val="0"/>
                    <w:jc w:val="center"/>
                    <w:textAlignment w:val="center"/>
                    <w:rPr>
                      <w:rFonts w:hint="eastAsia"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废边角料</w:t>
                  </w:r>
                </w:p>
              </w:tc>
              <w:tc>
                <w:tcPr>
                  <w:tcW w:w="870" w:type="dxa"/>
                  <w:noWrap w:val="0"/>
                  <w:vAlign w:val="center"/>
                </w:tcPr>
                <w:p w14:paraId="3EB0A0B8">
                  <w:pPr>
                    <w:keepNext w:val="0"/>
                    <w:keepLines w:val="0"/>
                    <w:widowControl/>
                    <w:suppressLineNumbers w:val="0"/>
                    <w:jc w:val="center"/>
                    <w:textAlignment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SW17</w:t>
                  </w:r>
                </w:p>
              </w:tc>
              <w:tc>
                <w:tcPr>
                  <w:tcW w:w="908" w:type="dxa"/>
                  <w:noWrap w:val="0"/>
                  <w:vAlign w:val="center"/>
                </w:tcPr>
                <w:p w14:paraId="4D59F0A3">
                  <w:pPr>
                    <w:jc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900-004-S17</w:t>
                  </w:r>
                </w:p>
              </w:tc>
              <w:tc>
                <w:tcPr>
                  <w:tcW w:w="826" w:type="dxa"/>
                  <w:vMerge w:val="continue"/>
                  <w:noWrap w:val="0"/>
                  <w:vAlign w:val="center"/>
                </w:tcPr>
                <w:p w14:paraId="693677AB">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70558BE5">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7DCA9D1F">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693" w:type="dxa"/>
                  <w:vMerge w:val="continue"/>
                  <w:noWrap w:val="0"/>
                  <w:vAlign w:val="center"/>
                </w:tcPr>
                <w:p w14:paraId="2231BA30">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5F5206A1">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37242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257808EB">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4208F7F1">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00" w:type="dxa"/>
                  <w:noWrap w:val="0"/>
                  <w:vAlign w:val="center"/>
                </w:tcPr>
                <w:p w14:paraId="1A39BE7B">
                  <w:pPr>
                    <w:keepNext w:val="0"/>
                    <w:keepLines w:val="0"/>
                    <w:widowControl/>
                    <w:suppressLineNumbers w:val="0"/>
                    <w:jc w:val="center"/>
                    <w:textAlignment w:val="center"/>
                    <w:rPr>
                      <w:rFonts w:hint="eastAsia"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废树脂</w:t>
                  </w:r>
                </w:p>
              </w:tc>
              <w:tc>
                <w:tcPr>
                  <w:tcW w:w="870" w:type="dxa"/>
                  <w:noWrap w:val="0"/>
                  <w:vAlign w:val="center"/>
                </w:tcPr>
                <w:p w14:paraId="74A4808C">
                  <w:pPr>
                    <w:keepNext w:val="0"/>
                    <w:keepLines w:val="0"/>
                    <w:widowControl/>
                    <w:suppressLineNumbers w:val="0"/>
                    <w:jc w:val="center"/>
                    <w:textAlignment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SW59</w:t>
                  </w:r>
                </w:p>
              </w:tc>
              <w:tc>
                <w:tcPr>
                  <w:tcW w:w="908" w:type="dxa"/>
                  <w:noWrap w:val="0"/>
                  <w:vAlign w:val="center"/>
                </w:tcPr>
                <w:p w14:paraId="3B671C33">
                  <w:pPr>
                    <w:jc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900-008-S59</w:t>
                  </w:r>
                </w:p>
              </w:tc>
              <w:tc>
                <w:tcPr>
                  <w:tcW w:w="826" w:type="dxa"/>
                  <w:vMerge w:val="continue"/>
                  <w:noWrap w:val="0"/>
                  <w:vAlign w:val="center"/>
                </w:tcPr>
                <w:p w14:paraId="00C4F016">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5CC8BDDD">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769079AD">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693" w:type="dxa"/>
                  <w:vMerge w:val="continue"/>
                  <w:noWrap w:val="0"/>
                  <w:vAlign w:val="center"/>
                </w:tcPr>
                <w:p w14:paraId="038E0870">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62EF1ECE">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15465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3795EC9E">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59FA96D9">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00" w:type="dxa"/>
                  <w:noWrap w:val="0"/>
                  <w:vAlign w:val="center"/>
                </w:tcPr>
                <w:p w14:paraId="356216C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沉淀废渣</w:t>
                  </w:r>
                </w:p>
              </w:tc>
              <w:tc>
                <w:tcPr>
                  <w:tcW w:w="870" w:type="dxa"/>
                  <w:noWrap w:val="0"/>
                  <w:vAlign w:val="center"/>
                </w:tcPr>
                <w:p w14:paraId="4766BB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SW07</w:t>
                  </w:r>
                </w:p>
              </w:tc>
              <w:tc>
                <w:tcPr>
                  <w:tcW w:w="908" w:type="dxa"/>
                  <w:noWrap w:val="0"/>
                  <w:vAlign w:val="center"/>
                </w:tcPr>
                <w:p w14:paraId="10B38EDF">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900-099-S07</w:t>
                  </w:r>
                </w:p>
              </w:tc>
              <w:tc>
                <w:tcPr>
                  <w:tcW w:w="826" w:type="dxa"/>
                  <w:vMerge w:val="continue"/>
                  <w:noWrap w:val="0"/>
                  <w:vAlign w:val="center"/>
                </w:tcPr>
                <w:p w14:paraId="517921A6">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7E85232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59FEEDF1">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693" w:type="dxa"/>
                  <w:vMerge w:val="continue"/>
                  <w:noWrap w:val="0"/>
                  <w:vAlign w:val="center"/>
                </w:tcPr>
                <w:p w14:paraId="0600806D">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0FF0BA6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bl>
          <w:p w14:paraId="79EE8BE3">
            <w:pPr>
              <w:pStyle w:val="66"/>
              <w:ind w:firstLine="420"/>
              <w:rPr>
                <w:rFonts w:hint="default" w:ascii="宋体" w:hAnsi="宋体"/>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根据本项目危险废物产生量及转运次数，本次需建设约70m</w:t>
            </w:r>
            <w:r>
              <w:rPr>
                <w:rFonts w:hint="eastAsia"/>
                <w:color w:val="000000" w:themeColor="text1"/>
                <w:sz w:val="24"/>
                <w:szCs w:val="32"/>
                <w:highlight w:val="none"/>
                <w:vertAlign w:val="superscript"/>
                <w:lang w:val="en-US" w:eastAsia="zh-CN"/>
                <w14:textFill>
                  <w14:solidFill>
                    <w14:schemeClr w14:val="tx1"/>
                  </w14:solidFill>
                </w14:textFill>
              </w:rPr>
              <w:t>2</w:t>
            </w:r>
            <w:r>
              <w:rPr>
                <w:rFonts w:hint="eastAsia"/>
                <w:color w:val="000000" w:themeColor="text1"/>
                <w:sz w:val="24"/>
                <w:szCs w:val="32"/>
                <w:highlight w:val="none"/>
                <w:lang w:val="en-US" w:eastAsia="zh-CN"/>
                <w14:textFill>
                  <w14:solidFill>
                    <w14:schemeClr w14:val="tx1"/>
                  </w14:solidFill>
                </w14:textFill>
              </w:rPr>
              <w:t>的危废暂存间，用于存放不同性质的危险废物。</w:t>
            </w:r>
            <w:r>
              <w:rPr>
                <w:rFonts w:hint="eastAsia" w:ascii="宋体" w:hAnsi="宋体"/>
                <w:color w:val="000000" w:themeColor="text1"/>
                <w:sz w:val="24"/>
                <w:szCs w:val="32"/>
                <w:highlight w:val="none"/>
                <w:lang w:val="en-US" w:eastAsia="zh-CN"/>
                <w14:textFill>
                  <w14:solidFill>
                    <w14:schemeClr w14:val="tx1"/>
                  </w14:solidFill>
                </w14:textFill>
              </w:rPr>
              <w:t>本项目危险废物贮存场所（设施）基本情况见下表，可满足要求。</w:t>
            </w:r>
          </w:p>
          <w:p w14:paraId="2A9AFEEE">
            <w:pPr>
              <w:pStyle w:val="69"/>
              <w:spacing w:line="360" w:lineRule="auto"/>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w:t>
            </w:r>
            <w:r>
              <w:rPr>
                <w:rFonts w:hint="eastAsia" w:eastAsia="宋体" w:cs="宋体"/>
                <w:b/>
                <w:color w:val="000000" w:themeColor="text1"/>
                <w:kern w:val="2"/>
                <w:sz w:val="24"/>
                <w:szCs w:val="24"/>
                <w:highlight w:val="none"/>
                <w:lang w:val="en-US" w:eastAsia="zh-CN" w:bidi="ar-SA"/>
                <w14:textFill>
                  <w14:solidFill>
                    <w14:schemeClr w14:val="tx1"/>
                  </w14:solidFill>
                </w14:textFill>
              </w:rPr>
              <w:t>4.4-4</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建设项目危险废物贮存场所（设施）基本情况</w:t>
            </w:r>
            <w:r>
              <w:rPr>
                <w:rFonts w:hint="eastAsia" w:eastAsia="宋体" w:cs="宋体"/>
                <w:b/>
                <w:color w:val="000000" w:themeColor="text1"/>
                <w:kern w:val="2"/>
                <w:sz w:val="24"/>
                <w:szCs w:val="24"/>
                <w:highlight w:val="none"/>
                <w:lang w:val="en-US" w:eastAsia="zh-CN" w:bidi="ar-SA"/>
                <w14:textFill>
                  <w14:solidFill>
                    <w14:schemeClr w14:val="tx1"/>
                  </w14:solidFill>
                </w14:textFill>
              </w:rPr>
              <w:t>一览表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79"/>
              <w:gridCol w:w="919"/>
              <w:gridCol w:w="1095"/>
              <w:gridCol w:w="780"/>
              <w:gridCol w:w="1102"/>
              <w:gridCol w:w="826"/>
              <w:gridCol w:w="767"/>
              <w:gridCol w:w="693"/>
              <w:gridCol w:w="693"/>
              <w:gridCol w:w="756"/>
            </w:tblGrid>
            <w:tr w14:paraId="7DE2E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noWrap w:val="0"/>
                  <w:vAlign w:val="center"/>
                </w:tcPr>
                <w:p w14:paraId="79793A99">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序号</w:t>
                  </w:r>
                </w:p>
              </w:tc>
              <w:tc>
                <w:tcPr>
                  <w:tcW w:w="919" w:type="dxa"/>
                  <w:noWrap w:val="0"/>
                  <w:vAlign w:val="center"/>
                </w:tcPr>
                <w:p w14:paraId="3163230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贮存场所（设施）名称</w:t>
                  </w:r>
                </w:p>
              </w:tc>
              <w:tc>
                <w:tcPr>
                  <w:tcW w:w="1095" w:type="dxa"/>
                  <w:noWrap w:val="0"/>
                  <w:vAlign w:val="center"/>
                </w:tcPr>
                <w:p w14:paraId="0D52A7E1">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危险废物名称</w:t>
                  </w:r>
                </w:p>
              </w:tc>
              <w:tc>
                <w:tcPr>
                  <w:tcW w:w="780" w:type="dxa"/>
                  <w:noWrap w:val="0"/>
                  <w:vAlign w:val="center"/>
                </w:tcPr>
                <w:p w14:paraId="7CB30B6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危险废物类别</w:t>
                  </w:r>
                </w:p>
              </w:tc>
              <w:tc>
                <w:tcPr>
                  <w:tcW w:w="1102" w:type="dxa"/>
                  <w:noWrap w:val="0"/>
                  <w:vAlign w:val="center"/>
                </w:tcPr>
                <w:p w14:paraId="2D7C06B6">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危险废物代码</w:t>
                  </w:r>
                </w:p>
              </w:tc>
              <w:tc>
                <w:tcPr>
                  <w:tcW w:w="826" w:type="dxa"/>
                  <w:noWrap w:val="0"/>
                  <w:vAlign w:val="center"/>
                </w:tcPr>
                <w:p w14:paraId="6EFC059E">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位置</w:t>
                  </w:r>
                </w:p>
              </w:tc>
              <w:tc>
                <w:tcPr>
                  <w:tcW w:w="767" w:type="dxa"/>
                  <w:noWrap w:val="0"/>
                  <w:vAlign w:val="center"/>
                </w:tcPr>
                <w:p w14:paraId="7F1C160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占地面积</w:t>
                  </w:r>
                </w:p>
              </w:tc>
              <w:tc>
                <w:tcPr>
                  <w:tcW w:w="693" w:type="dxa"/>
                  <w:noWrap w:val="0"/>
                  <w:vAlign w:val="center"/>
                </w:tcPr>
                <w:p w14:paraId="2D57B907">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贮存方式</w:t>
                  </w:r>
                </w:p>
              </w:tc>
              <w:tc>
                <w:tcPr>
                  <w:tcW w:w="693" w:type="dxa"/>
                  <w:noWrap w:val="0"/>
                  <w:vAlign w:val="center"/>
                </w:tcPr>
                <w:p w14:paraId="64788BE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贮存</w:t>
                  </w:r>
                </w:p>
                <w:p w14:paraId="2AE20A74">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能力</w:t>
                  </w:r>
                </w:p>
              </w:tc>
              <w:tc>
                <w:tcPr>
                  <w:tcW w:w="756" w:type="dxa"/>
                  <w:noWrap w:val="0"/>
                  <w:vAlign w:val="center"/>
                </w:tcPr>
                <w:p w14:paraId="6B5B60FC">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贮存</w:t>
                  </w:r>
                </w:p>
                <w:p w14:paraId="1FA66F8C">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周期</w:t>
                  </w:r>
                </w:p>
              </w:tc>
            </w:tr>
            <w:tr w14:paraId="1E836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restart"/>
                  <w:noWrap w:val="0"/>
                  <w:vAlign w:val="center"/>
                </w:tcPr>
                <w:p w14:paraId="30FD30D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1</w:t>
                  </w:r>
                </w:p>
              </w:tc>
              <w:tc>
                <w:tcPr>
                  <w:tcW w:w="919" w:type="dxa"/>
                  <w:vMerge w:val="restart"/>
                  <w:noWrap w:val="0"/>
                  <w:vAlign w:val="center"/>
                </w:tcPr>
                <w:p w14:paraId="0A8BDB92">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危废暂存间</w:t>
                  </w:r>
                  <w:r>
                    <w:rPr>
                      <w:rFonts w:hint="eastAsia" w:cs="Times New Roman"/>
                      <w:color w:val="000000" w:themeColor="text1"/>
                      <w:kern w:val="0"/>
                      <w:szCs w:val="21"/>
                      <w:highlight w:val="none"/>
                      <w:lang w:val="en-US" w:eastAsia="zh-CN"/>
                      <w14:textFill>
                        <w14:solidFill>
                          <w14:schemeClr w14:val="tx1"/>
                        </w14:solidFill>
                      </w14:textFill>
                    </w:rPr>
                    <w:t>1（暂存易燃物）</w:t>
                  </w:r>
                </w:p>
              </w:tc>
              <w:tc>
                <w:tcPr>
                  <w:tcW w:w="1095" w:type="dxa"/>
                  <w:noWrap w:val="0"/>
                  <w:vAlign w:val="center"/>
                </w:tcPr>
                <w:p w14:paraId="051CC6A8">
                  <w:pPr>
                    <w:jc w:val="center"/>
                    <w:rPr>
                      <w:rFonts w:hint="default" w:ascii="Times New Roman" w:hAnsi="Times New Roman" w:eastAsia="宋体" w:cs="Times New Roman"/>
                      <w:color w:val="000000" w:themeColor="text1"/>
                      <w:kern w:val="0"/>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废切削液、磨削液、冷却液</w:t>
                  </w:r>
                </w:p>
              </w:tc>
              <w:tc>
                <w:tcPr>
                  <w:tcW w:w="780" w:type="dxa"/>
                  <w:noWrap w:val="0"/>
                  <w:vAlign w:val="center"/>
                </w:tcPr>
                <w:p w14:paraId="576F77CA">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HW09</w:t>
                  </w:r>
                </w:p>
              </w:tc>
              <w:tc>
                <w:tcPr>
                  <w:tcW w:w="1102" w:type="dxa"/>
                  <w:noWrap w:val="0"/>
                  <w:vAlign w:val="center"/>
                </w:tcPr>
                <w:p w14:paraId="4F155491">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900-006-09</w:t>
                  </w:r>
                </w:p>
              </w:tc>
              <w:tc>
                <w:tcPr>
                  <w:tcW w:w="826" w:type="dxa"/>
                  <w:vMerge w:val="restart"/>
                  <w:noWrap w:val="0"/>
                  <w:vAlign w:val="center"/>
                </w:tcPr>
                <w:p w14:paraId="6894DF74">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厂房</w:t>
                  </w:r>
                  <w:r>
                    <w:rPr>
                      <w:rFonts w:hint="eastAsia" w:cs="Times New Roman"/>
                      <w:color w:val="000000" w:themeColor="text1"/>
                      <w:kern w:val="0"/>
                      <w:szCs w:val="21"/>
                      <w:highlight w:val="none"/>
                      <w:lang w:val="en-US" w:eastAsia="zh-CN"/>
                      <w14:textFill>
                        <w14:solidFill>
                          <w14:schemeClr w14:val="tx1"/>
                        </w14:solidFill>
                      </w14:textFill>
                    </w:rPr>
                    <w:t>南侧</w:t>
                  </w:r>
                </w:p>
              </w:tc>
              <w:tc>
                <w:tcPr>
                  <w:tcW w:w="767" w:type="dxa"/>
                  <w:vMerge w:val="restart"/>
                  <w:noWrap w:val="0"/>
                  <w:vAlign w:val="center"/>
                </w:tcPr>
                <w:p w14:paraId="69AFAA91">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24</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Cs w:val="21"/>
                      <w:highlight w:val="none"/>
                      <w:vertAlign w:val="superscript"/>
                      <w:lang w:val="en-US" w:eastAsia="zh-CN"/>
                      <w14:textFill>
                        <w14:solidFill>
                          <w14:schemeClr w14:val="tx1"/>
                        </w14:solidFill>
                      </w14:textFill>
                    </w:rPr>
                    <w:t>2</w:t>
                  </w:r>
                </w:p>
              </w:tc>
              <w:tc>
                <w:tcPr>
                  <w:tcW w:w="693" w:type="dxa"/>
                  <w:noWrap w:val="0"/>
                  <w:vAlign w:val="center"/>
                </w:tcPr>
                <w:p w14:paraId="6312A610">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桶装</w:t>
                  </w:r>
                </w:p>
              </w:tc>
              <w:tc>
                <w:tcPr>
                  <w:tcW w:w="693" w:type="dxa"/>
                  <w:vMerge w:val="restart"/>
                  <w:noWrap w:val="0"/>
                  <w:vAlign w:val="center"/>
                </w:tcPr>
                <w:p w14:paraId="4CB260D7">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36</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t</w:t>
                  </w:r>
                </w:p>
              </w:tc>
              <w:tc>
                <w:tcPr>
                  <w:tcW w:w="756" w:type="dxa"/>
                  <w:vMerge w:val="restart"/>
                  <w:noWrap w:val="0"/>
                  <w:vAlign w:val="center"/>
                </w:tcPr>
                <w:p w14:paraId="47EF62E9">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3个月</w:t>
                  </w:r>
                </w:p>
              </w:tc>
            </w:tr>
            <w:tr w14:paraId="59A82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1494E597">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6DA0FB35">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095" w:type="dxa"/>
                  <w:noWrap w:val="0"/>
                  <w:vAlign w:val="center"/>
                </w:tcPr>
                <w:p w14:paraId="71872655">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废胶桶</w:t>
                  </w:r>
                </w:p>
              </w:tc>
              <w:tc>
                <w:tcPr>
                  <w:tcW w:w="780" w:type="dxa"/>
                  <w:noWrap w:val="0"/>
                  <w:vAlign w:val="center"/>
                </w:tcPr>
                <w:p w14:paraId="1D3EC78B">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w:t>
                  </w:r>
                </w:p>
              </w:tc>
              <w:tc>
                <w:tcPr>
                  <w:tcW w:w="1102" w:type="dxa"/>
                  <w:noWrap w:val="0"/>
                  <w:vAlign w:val="center"/>
                </w:tcPr>
                <w:p w14:paraId="20D67C3B">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900-041-49</w:t>
                  </w:r>
                </w:p>
              </w:tc>
              <w:tc>
                <w:tcPr>
                  <w:tcW w:w="826" w:type="dxa"/>
                  <w:vMerge w:val="continue"/>
                  <w:noWrap w:val="0"/>
                  <w:vAlign w:val="center"/>
                </w:tcPr>
                <w:p w14:paraId="46521C69">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7D9965B9">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792B1634">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堆叠</w:t>
                  </w:r>
                </w:p>
              </w:tc>
              <w:tc>
                <w:tcPr>
                  <w:tcW w:w="693" w:type="dxa"/>
                  <w:vMerge w:val="continue"/>
                  <w:noWrap w:val="0"/>
                  <w:vAlign w:val="center"/>
                </w:tcPr>
                <w:p w14:paraId="1EEC648F">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060F20F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0540A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65905CD0">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2E2504D8">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095" w:type="dxa"/>
                  <w:noWrap w:val="0"/>
                  <w:vAlign w:val="center"/>
                </w:tcPr>
                <w:p w14:paraId="576D49F9">
                  <w:pPr>
                    <w:jc w:val="center"/>
                    <w:rPr>
                      <w:rFonts w:hint="eastAsia"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废有机溶剂及空瓶</w:t>
                  </w:r>
                </w:p>
              </w:tc>
              <w:tc>
                <w:tcPr>
                  <w:tcW w:w="780" w:type="dxa"/>
                  <w:noWrap w:val="0"/>
                  <w:vAlign w:val="center"/>
                </w:tcPr>
                <w:p w14:paraId="41B5E7F8">
                  <w:pPr>
                    <w:jc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HW06</w:t>
                  </w:r>
                </w:p>
              </w:tc>
              <w:tc>
                <w:tcPr>
                  <w:tcW w:w="1102" w:type="dxa"/>
                  <w:noWrap w:val="0"/>
                  <w:vAlign w:val="center"/>
                </w:tcPr>
                <w:p w14:paraId="2B385ABB">
                  <w:pPr>
                    <w:jc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900-404-06</w:t>
                  </w:r>
                </w:p>
              </w:tc>
              <w:tc>
                <w:tcPr>
                  <w:tcW w:w="826" w:type="dxa"/>
                  <w:vMerge w:val="continue"/>
                  <w:noWrap w:val="0"/>
                  <w:vAlign w:val="center"/>
                </w:tcPr>
                <w:p w14:paraId="46E36CE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0C68CEF5">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16A89C29">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堆叠</w:t>
                  </w:r>
                </w:p>
              </w:tc>
              <w:tc>
                <w:tcPr>
                  <w:tcW w:w="693" w:type="dxa"/>
                  <w:vMerge w:val="continue"/>
                  <w:noWrap w:val="0"/>
                  <w:vAlign w:val="center"/>
                </w:tcPr>
                <w:p w14:paraId="217F1F5D">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10C5FC52">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050B4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0318A0C7">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5C2EE9D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095" w:type="dxa"/>
                  <w:noWrap w:val="0"/>
                  <w:vAlign w:val="center"/>
                </w:tcPr>
                <w:p w14:paraId="5B3210F9">
                  <w:pPr>
                    <w:jc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含油抹布</w:t>
                  </w:r>
                </w:p>
              </w:tc>
              <w:tc>
                <w:tcPr>
                  <w:tcW w:w="780" w:type="dxa"/>
                  <w:noWrap w:val="0"/>
                  <w:vAlign w:val="center"/>
                </w:tcPr>
                <w:p w14:paraId="03DCDA33">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HW49</w:t>
                  </w:r>
                </w:p>
              </w:tc>
              <w:tc>
                <w:tcPr>
                  <w:tcW w:w="1102" w:type="dxa"/>
                  <w:noWrap w:val="0"/>
                  <w:vAlign w:val="center"/>
                </w:tcPr>
                <w:p w14:paraId="280E668C">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900-041-49</w:t>
                  </w:r>
                </w:p>
              </w:tc>
              <w:tc>
                <w:tcPr>
                  <w:tcW w:w="826" w:type="dxa"/>
                  <w:vMerge w:val="continue"/>
                  <w:noWrap w:val="0"/>
                  <w:vAlign w:val="center"/>
                </w:tcPr>
                <w:p w14:paraId="039005D5">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25F1888A">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1D6E43B3">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693" w:type="dxa"/>
                  <w:vMerge w:val="continue"/>
                  <w:noWrap w:val="0"/>
                  <w:vAlign w:val="center"/>
                </w:tcPr>
                <w:p w14:paraId="77190021">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777FAE8E">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475CE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trPr>
              <w:tc>
                <w:tcPr>
                  <w:tcW w:w="479" w:type="dxa"/>
                  <w:vMerge w:val="continue"/>
                  <w:noWrap w:val="0"/>
                  <w:vAlign w:val="center"/>
                </w:tcPr>
                <w:p w14:paraId="491DEFAD">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919" w:type="dxa"/>
                  <w:vMerge w:val="continue"/>
                  <w:noWrap w:val="0"/>
                  <w:vAlign w:val="center"/>
                </w:tcPr>
                <w:p w14:paraId="22F25F78">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095" w:type="dxa"/>
                  <w:noWrap w:val="0"/>
                  <w:vAlign w:val="center"/>
                </w:tcPr>
                <w:p w14:paraId="69BDCD58">
                  <w:pPr>
                    <w:jc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清洗废液</w:t>
                  </w:r>
                </w:p>
              </w:tc>
              <w:tc>
                <w:tcPr>
                  <w:tcW w:w="780" w:type="dxa"/>
                  <w:noWrap w:val="0"/>
                  <w:vAlign w:val="center"/>
                </w:tcPr>
                <w:p w14:paraId="760D9E43">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HW06</w:t>
                  </w:r>
                </w:p>
              </w:tc>
              <w:tc>
                <w:tcPr>
                  <w:tcW w:w="1102" w:type="dxa"/>
                  <w:noWrap w:val="0"/>
                  <w:vAlign w:val="center"/>
                </w:tcPr>
                <w:p w14:paraId="4B6418A6">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900-404-06</w:t>
                  </w:r>
                </w:p>
              </w:tc>
              <w:tc>
                <w:tcPr>
                  <w:tcW w:w="826" w:type="dxa"/>
                  <w:vMerge w:val="continue"/>
                  <w:noWrap w:val="0"/>
                  <w:vAlign w:val="center"/>
                </w:tcPr>
                <w:p w14:paraId="2690F691">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67" w:type="dxa"/>
                  <w:vMerge w:val="continue"/>
                  <w:noWrap w:val="0"/>
                  <w:vAlign w:val="center"/>
                </w:tcPr>
                <w:p w14:paraId="0A7EF9EB">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93" w:type="dxa"/>
                  <w:noWrap w:val="0"/>
                  <w:vAlign w:val="center"/>
                </w:tcPr>
                <w:p w14:paraId="79CF1FC2">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桶装</w:t>
                  </w:r>
                </w:p>
              </w:tc>
              <w:tc>
                <w:tcPr>
                  <w:tcW w:w="693" w:type="dxa"/>
                  <w:vMerge w:val="continue"/>
                  <w:noWrap w:val="0"/>
                  <w:vAlign w:val="center"/>
                </w:tcPr>
                <w:p w14:paraId="67019EE5">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56" w:type="dxa"/>
                  <w:vMerge w:val="continue"/>
                  <w:noWrap w:val="0"/>
                  <w:vAlign w:val="center"/>
                </w:tcPr>
                <w:p w14:paraId="5EEC89DC">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0433C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restart"/>
                  <w:noWrap w:val="0"/>
                  <w:vAlign w:val="center"/>
                </w:tcPr>
                <w:p w14:paraId="41D84C03">
                  <w:pPr>
                    <w:topLinePunct/>
                    <w:adjustRightInd w:val="0"/>
                    <w:snapToGrid w:val="0"/>
                    <w:jc w:val="cente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w:t>
                  </w:r>
                </w:p>
              </w:tc>
              <w:tc>
                <w:tcPr>
                  <w:tcW w:w="919" w:type="dxa"/>
                  <w:vMerge w:val="restart"/>
                  <w:noWrap w:val="0"/>
                  <w:vAlign w:val="center"/>
                </w:tcPr>
                <w:p w14:paraId="6F0F3E6D">
                  <w:pPr>
                    <w:topLinePunct/>
                    <w:adjustRightInd w:val="0"/>
                    <w:snapToGrid w:val="0"/>
                    <w:jc w:val="center"/>
                    <w:rPr>
                      <w:rFonts w:hint="default" w:ascii="Times New Roman" w:hAnsi="Times New Roman" w:eastAsia="宋体" w:cs="Times New Roman"/>
                      <w:color w:val="000000" w:themeColor="text1"/>
                      <w:kern w:val="0"/>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危废暂存间</w:t>
                  </w:r>
                  <w:r>
                    <w:rPr>
                      <w:rFonts w:hint="eastAsia" w:cs="Times New Roman"/>
                      <w:color w:val="000000" w:themeColor="text1"/>
                      <w:kern w:val="0"/>
                      <w:szCs w:val="21"/>
                      <w:highlight w:val="none"/>
                      <w:lang w:val="en-US" w:eastAsia="zh-CN"/>
                      <w14:textFill>
                        <w14:solidFill>
                          <w14:schemeClr w14:val="tx1"/>
                        </w14:solidFill>
                      </w14:textFill>
                    </w:rPr>
                    <w:t>2（暂存酸性废物）</w:t>
                  </w:r>
                </w:p>
              </w:tc>
              <w:tc>
                <w:tcPr>
                  <w:tcW w:w="1095" w:type="dxa"/>
                  <w:noWrap w:val="0"/>
                  <w:vAlign w:val="center"/>
                </w:tcPr>
                <w:p w14:paraId="1538DAFF">
                  <w:pPr>
                    <w:jc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污水处理站污泥</w:t>
                  </w:r>
                </w:p>
              </w:tc>
              <w:tc>
                <w:tcPr>
                  <w:tcW w:w="780" w:type="dxa"/>
                  <w:noWrap w:val="0"/>
                  <w:vAlign w:val="center"/>
                </w:tcPr>
                <w:p w14:paraId="56B43D07">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HW17</w:t>
                  </w:r>
                </w:p>
              </w:tc>
              <w:tc>
                <w:tcPr>
                  <w:tcW w:w="1102" w:type="dxa"/>
                  <w:noWrap w:val="0"/>
                  <w:vAlign w:val="center"/>
                </w:tcPr>
                <w:p w14:paraId="058E28EA">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336-064-17</w:t>
                  </w:r>
                </w:p>
              </w:tc>
              <w:tc>
                <w:tcPr>
                  <w:tcW w:w="826" w:type="dxa"/>
                  <w:vMerge w:val="restart"/>
                  <w:noWrap w:val="0"/>
                  <w:vAlign w:val="center"/>
                </w:tcPr>
                <w:p w14:paraId="4343D1CD">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厂房</w:t>
                  </w:r>
                  <w:r>
                    <w:rPr>
                      <w:rFonts w:hint="eastAsia" w:cs="Times New Roman"/>
                      <w:color w:val="000000" w:themeColor="text1"/>
                      <w:kern w:val="0"/>
                      <w:szCs w:val="21"/>
                      <w:highlight w:val="none"/>
                      <w:lang w:val="en-US" w:eastAsia="zh-CN"/>
                      <w14:textFill>
                        <w14:solidFill>
                          <w14:schemeClr w14:val="tx1"/>
                        </w14:solidFill>
                      </w14:textFill>
                    </w:rPr>
                    <w:t>南侧</w:t>
                  </w:r>
                </w:p>
              </w:tc>
              <w:tc>
                <w:tcPr>
                  <w:tcW w:w="767" w:type="dxa"/>
                  <w:vMerge w:val="restart"/>
                  <w:noWrap w:val="0"/>
                  <w:vAlign w:val="center"/>
                </w:tcPr>
                <w:p w14:paraId="21E8367F">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Cs w:val="21"/>
                      <w:highlight w:val="none"/>
                      <w:vertAlign w:val="superscript"/>
                      <w:lang w:val="en-US" w:eastAsia="zh-CN"/>
                      <w14:textFill>
                        <w14:solidFill>
                          <w14:schemeClr w14:val="tx1"/>
                        </w14:solidFill>
                      </w14:textFill>
                    </w:rPr>
                    <w:t>2</w:t>
                  </w:r>
                </w:p>
              </w:tc>
              <w:tc>
                <w:tcPr>
                  <w:tcW w:w="693" w:type="dxa"/>
                  <w:noWrap w:val="0"/>
                  <w:vAlign w:val="center"/>
                </w:tcPr>
                <w:p w14:paraId="4900D197">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693" w:type="dxa"/>
                  <w:vMerge w:val="restart"/>
                  <w:noWrap w:val="0"/>
                  <w:vAlign w:val="center"/>
                </w:tcPr>
                <w:p w14:paraId="23B5B1FB">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21</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t</w:t>
                  </w:r>
                </w:p>
              </w:tc>
              <w:tc>
                <w:tcPr>
                  <w:tcW w:w="756" w:type="dxa"/>
                  <w:vMerge w:val="restart"/>
                  <w:noWrap w:val="0"/>
                  <w:vAlign w:val="center"/>
                </w:tcPr>
                <w:p w14:paraId="69D772A6">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3个月</w:t>
                  </w:r>
                </w:p>
              </w:tc>
            </w:tr>
            <w:tr w14:paraId="27D7A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vMerge w:val="continue"/>
                  <w:noWrap w:val="0"/>
                  <w:vAlign w:val="center"/>
                </w:tcPr>
                <w:p w14:paraId="5B0A2DEF">
                  <w:pPr>
                    <w:topLinePunct/>
                    <w:adjustRightInd w:val="0"/>
                    <w:snapToGrid w:val="0"/>
                    <w:jc w:val="center"/>
                    <w:rPr>
                      <w:rFonts w:hint="eastAsia" w:cs="Times New Roman"/>
                      <w:color w:val="000000" w:themeColor="text1"/>
                      <w:kern w:val="0"/>
                      <w:szCs w:val="21"/>
                      <w:highlight w:val="none"/>
                      <w:lang w:val="en-US" w:eastAsia="zh-CN"/>
                      <w14:textFill>
                        <w14:solidFill>
                          <w14:schemeClr w14:val="tx1"/>
                        </w14:solidFill>
                      </w14:textFill>
                    </w:rPr>
                  </w:pPr>
                </w:p>
              </w:tc>
              <w:tc>
                <w:tcPr>
                  <w:tcW w:w="919" w:type="dxa"/>
                  <w:vMerge w:val="continue"/>
                  <w:noWrap w:val="0"/>
                  <w:vAlign w:val="center"/>
                </w:tcPr>
                <w:p w14:paraId="7E5C9FE0">
                  <w:pPr>
                    <w:topLinePunct/>
                    <w:adjustRightInd w:val="0"/>
                    <w:snapToGrid w:val="0"/>
                    <w:jc w:val="cente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p>
              </w:tc>
              <w:tc>
                <w:tcPr>
                  <w:tcW w:w="1095" w:type="dxa"/>
                  <w:noWrap w:val="0"/>
                  <w:vAlign w:val="center"/>
                </w:tcPr>
                <w:p w14:paraId="4D15FA5E">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金属刻蚀废液</w:t>
                  </w:r>
                </w:p>
              </w:tc>
              <w:tc>
                <w:tcPr>
                  <w:tcW w:w="780" w:type="dxa"/>
                  <w:noWrap w:val="0"/>
                  <w:vAlign w:val="center"/>
                </w:tcPr>
                <w:p w14:paraId="1E4F8DB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HW34</w:t>
                  </w:r>
                </w:p>
              </w:tc>
              <w:tc>
                <w:tcPr>
                  <w:tcW w:w="1102" w:type="dxa"/>
                  <w:noWrap w:val="0"/>
                  <w:vAlign w:val="center"/>
                </w:tcPr>
                <w:p w14:paraId="3944764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900-300-34</w:t>
                  </w:r>
                </w:p>
              </w:tc>
              <w:tc>
                <w:tcPr>
                  <w:tcW w:w="826" w:type="dxa"/>
                  <w:vMerge w:val="continue"/>
                  <w:noWrap w:val="0"/>
                  <w:vAlign w:val="center"/>
                </w:tcPr>
                <w:p w14:paraId="6AFF5715">
                  <w:pPr>
                    <w:topLinePunct/>
                    <w:adjustRightInd w:val="0"/>
                    <w:snapToGrid w:val="0"/>
                    <w:jc w:val="cente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p>
              </w:tc>
              <w:tc>
                <w:tcPr>
                  <w:tcW w:w="767" w:type="dxa"/>
                  <w:vMerge w:val="continue"/>
                  <w:noWrap w:val="0"/>
                  <w:vAlign w:val="center"/>
                </w:tcPr>
                <w:p w14:paraId="088AB7B6">
                  <w:pPr>
                    <w:topLinePunct/>
                    <w:adjustRightInd w:val="0"/>
                    <w:snapToGrid w:val="0"/>
                    <w:jc w:val="center"/>
                    <w:rPr>
                      <w:rFonts w:hint="eastAsia" w:cs="Times New Roman"/>
                      <w:color w:val="000000" w:themeColor="text1"/>
                      <w:kern w:val="0"/>
                      <w:szCs w:val="21"/>
                      <w:highlight w:val="none"/>
                      <w:lang w:val="en-US" w:eastAsia="zh-CN"/>
                      <w14:textFill>
                        <w14:solidFill>
                          <w14:schemeClr w14:val="tx1"/>
                        </w14:solidFill>
                      </w14:textFill>
                    </w:rPr>
                  </w:pPr>
                </w:p>
              </w:tc>
              <w:tc>
                <w:tcPr>
                  <w:tcW w:w="693" w:type="dxa"/>
                  <w:noWrap w:val="0"/>
                  <w:vAlign w:val="center"/>
                </w:tcPr>
                <w:p w14:paraId="642077E8">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桶装</w:t>
                  </w:r>
                </w:p>
              </w:tc>
              <w:tc>
                <w:tcPr>
                  <w:tcW w:w="693" w:type="dxa"/>
                  <w:vMerge w:val="continue"/>
                  <w:noWrap w:val="0"/>
                  <w:vAlign w:val="center"/>
                </w:tcPr>
                <w:p w14:paraId="01AE27AC">
                  <w:pPr>
                    <w:topLinePunct/>
                    <w:adjustRightInd w:val="0"/>
                    <w:snapToGrid w:val="0"/>
                    <w:jc w:val="center"/>
                    <w:rPr>
                      <w:rFonts w:hint="eastAsia" w:cs="Times New Roman"/>
                      <w:color w:val="000000" w:themeColor="text1"/>
                      <w:kern w:val="0"/>
                      <w:szCs w:val="21"/>
                      <w:highlight w:val="none"/>
                      <w:lang w:val="en-US" w:eastAsia="zh-CN"/>
                      <w14:textFill>
                        <w14:solidFill>
                          <w14:schemeClr w14:val="tx1"/>
                        </w14:solidFill>
                      </w14:textFill>
                    </w:rPr>
                  </w:pPr>
                </w:p>
              </w:tc>
              <w:tc>
                <w:tcPr>
                  <w:tcW w:w="756" w:type="dxa"/>
                  <w:vMerge w:val="continue"/>
                  <w:noWrap w:val="0"/>
                  <w:vAlign w:val="center"/>
                </w:tcPr>
                <w:p w14:paraId="41952F29">
                  <w:pPr>
                    <w:topLinePunct/>
                    <w:adjustRightInd w:val="0"/>
                    <w:snapToGrid w:val="0"/>
                    <w:jc w:val="center"/>
                    <w:rPr>
                      <w:rFonts w:hint="eastAsia" w:cs="Times New Roman"/>
                      <w:color w:val="000000" w:themeColor="text1"/>
                      <w:kern w:val="0"/>
                      <w:szCs w:val="21"/>
                      <w:highlight w:val="none"/>
                      <w:lang w:val="en-US" w:eastAsia="zh-CN"/>
                      <w14:textFill>
                        <w14:solidFill>
                          <w14:schemeClr w14:val="tx1"/>
                        </w14:solidFill>
                      </w14:textFill>
                    </w:rPr>
                  </w:pPr>
                </w:p>
              </w:tc>
            </w:tr>
            <w:tr w14:paraId="3910E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noWrap w:val="0"/>
                  <w:vAlign w:val="center"/>
                </w:tcPr>
                <w:p w14:paraId="2AF9B9FF">
                  <w:pPr>
                    <w:topLinePunct/>
                    <w:adjustRightInd w:val="0"/>
                    <w:snapToGrid w:val="0"/>
                    <w:jc w:val="cente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3</w:t>
                  </w:r>
                </w:p>
              </w:tc>
              <w:tc>
                <w:tcPr>
                  <w:tcW w:w="919" w:type="dxa"/>
                  <w:noWrap w:val="0"/>
                  <w:vAlign w:val="center"/>
                </w:tcPr>
                <w:p w14:paraId="126E3134">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危废暂存间</w:t>
                  </w:r>
                  <w:r>
                    <w:rPr>
                      <w:rFonts w:hint="eastAsia" w:cs="Times New Roman"/>
                      <w:color w:val="000000" w:themeColor="text1"/>
                      <w:kern w:val="0"/>
                      <w:szCs w:val="21"/>
                      <w:highlight w:val="none"/>
                      <w:lang w:val="en-US" w:eastAsia="zh-CN"/>
                      <w14:textFill>
                        <w14:solidFill>
                          <w14:schemeClr w14:val="tx1"/>
                        </w14:solidFill>
                      </w14:textFill>
                    </w:rPr>
                    <w:t>3（暂存碱性废物）</w:t>
                  </w:r>
                </w:p>
              </w:tc>
              <w:tc>
                <w:tcPr>
                  <w:tcW w:w="1095" w:type="dxa"/>
                  <w:noWrap w:val="0"/>
                  <w:vAlign w:val="center"/>
                </w:tcPr>
                <w:p w14:paraId="3C4E457F">
                  <w:pPr>
                    <w:jc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废活性炭</w:t>
                  </w:r>
                </w:p>
              </w:tc>
              <w:tc>
                <w:tcPr>
                  <w:tcW w:w="780" w:type="dxa"/>
                  <w:noWrap w:val="0"/>
                  <w:vAlign w:val="center"/>
                </w:tcPr>
                <w:p w14:paraId="77B9BC60">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HW</w:t>
                  </w:r>
                  <w:r>
                    <w:rPr>
                      <w:rFonts w:hint="eastAsia"/>
                      <w:color w:val="000000" w:themeColor="text1"/>
                      <w:sz w:val="21"/>
                      <w:szCs w:val="21"/>
                      <w:highlight w:val="none"/>
                      <w14:textFill>
                        <w14:solidFill>
                          <w14:schemeClr w14:val="tx1"/>
                        </w14:solidFill>
                      </w14:textFill>
                    </w:rPr>
                    <w:t>49</w:t>
                  </w:r>
                </w:p>
              </w:tc>
              <w:tc>
                <w:tcPr>
                  <w:tcW w:w="1102" w:type="dxa"/>
                  <w:noWrap w:val="0"/>
                  <w:vAlign w:val="center"/>
                </w:tcPr>
                <w:p w14:paraId="6CBA5F4E">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900-0</w:t>
                  </w:r>
                  <w:r>
                    <w:rPr>
                      <w:rFonts w:hint="eastAsia"/>
                      <w:color w:val="000000" w:themeColor="text1"/>
                      <w:sz w:val="21"/>
                      <w:szCs w:val="21"/>
                      <w:highlight w:val="none"/>
                      <w:lang w:val="en-US" w:eastAsia="zh-CN"/>
                      <w14:textFill>
                        <w14:solidFill>
                          <w14:schemeClr w14:val="tx1"/>
                        </w14:solidFill>
                      </w14:textFill>
                    </w:rPr>
                    <w:t>39</w:t>
                  </w:r>
                  <w:r>
                    <w:rPr>
                      <w:rFonts w:hint="eastAsia"/>
                      <w:color w:val="000000" w:themeColor="text1"/>
                      <w:sz w:val="21"/>
                      <w:szCs w:val="21"/>
                      <w:highlight w:val="none"/>
                      <w14:textFill>
                        <w14:solidFill>
                          <w14:schemeClr w14:val="tx1"/>
                        </w14:solidFill>
                      </w14:textFill>
                    </w:rPr>
                    <w:t>-49</w:t>
                  </w:r>
                </w:p>
              </w:tc>
              <w:tc>
                <w:tcPr>
                  <w:tcW w:w="826" w:type="dxa"/>
                  <w:noWrap w:val="0"/>
                  <w:vAlign w:val="center"/>
                </w:tcPr>
                <w:p w14:paraId="3D04BF4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厂房</w:t>
                  </w:r>
                  <w:r>
                    <w:rPr>
                      <w:rFonts w:hint="eastAsia" w:cs="Times New Roman"/>
                      <w:color w:val="000000" w:themeColor="text1"/>
                      <w:kern w:val="0"/>
                      <w:szCs w:val="21"/>
                      <w:highlight w:val="none"/>
                      <w:lang w:val="en-US" w:eastAsia="zh-CN"/>
                      <w14:textFill>
                        <w14:solidFill>
                          <w14:schemeClr w14:val="tx1"/>
                        </w14:solidFill>
                      </w14:textFill>
                    </w:rPr>
                    <w:t>南侧</w:t>
                  </w:r>
                </w:p>
              </w:tc>
              <w:tc>
                <w:tcPr>
                  <w:tcW w:w="767" w:type="dxa"/>
                  <w:noWrap w:val="0"/>
                  <w:vAlign w:val="center"/>
                </w:tcPr>
                <w:p w14:paraId="72B80096">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Cs w:val="21"/>
                      <w:highlight w:val="none"/>
                      <w:vertAlign w:val="superscript"/>
                      <w:lang w:val="en-US" w:eastAsia="zh-CN"/>
                      <w14:textFill>
                        <w14:solidFill>
                          <w14:schemeClr w14:val="tx1"/>
                        </w14:solidFill>
                      </w14:textFill>
                    </w:rPr>
                    <w:t>2</w:t>
                  </w:r>
                </w:p>
              </w:tc>
              <w:tc>
                <w:tcPr>
                  <w:tcW w:w="693" w:type="dxa"/>
                  <w:noWrap w:val="0"/>
                  <w:vAlign w:val="center"/>
                </w:tcPr>
                <w:p w14:paraId="6749F544">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693" w:type="dxa"/>
                  <w:noWrap w:val="0"/>
                  <w:vAlign w:val="center"/>
                </w:tcPr>
                <w:p w14:paraId="0E54B097">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t</w:t>
                  </w:r>
                </w:p>
              </w:tc>
              <w:tc>
                <w:tcPr>
                  <w:tcW w:w="756" w:type="dxa"/>
                  <w:noWrap w:val="0"/>
                  <w:vAlign w:val="center"/>
                </w:tcPr>
                <w:p w14:paraId="1ABEA73B">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3个月</w:t>
                  </w:r>
                </w:p>
              </w:tc>
            </w:tr>
            <w:tr w14:paraId="3103C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79" w:type="dxa"/>
                  <w:noWrap w:val="0"/>
                  <w:vAlign w:val="center"/>
                </w:tcPr>
                <w:p w14:paraId="7C737E68">
                  <w:pPr>
                    <w:topLinePunct/>
                    <w:adjustRightInd w:val="0"/>
                    <w:snapToGrid w:val="0"/>
                    <w:jc w:val="cente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w:t>
                  </w:r>
                </w:p>
              </w:tc>
              <w:tc>
                <w:tcPr>
                  <w:tcW w:w="919" w:type="dxa"/>
                  <w:noWrap w:val="0"/>
                  <w:vAlign w:val="center"/>
                </w:tcPr>
                <w:p w14:paraId="54D45EA1">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危废暂存间2（暂存废液）</w:t>
                  </w:r>
                </w:p>
              </w:tc>
              <w:tc>
                <w:tcPr>
                  <w:tcW w:w="1095" w:type="dxa"/>
                  <w:noWrap w:val="0"/>
                  <w:vAlign w:val="center"/>
                </w:tcPr>
                <w:p w14:paraId="4CEC3B3D">
                  <w:pPr>
                    <w:jc w:val="center"/>
                    <w:rPr>
                      <w:rFonts w:hint="eastAsia"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金属刻蚀废液</w:t>
                  </w:r>
                </w:p>
              </w:tc>
              <w:tc>
                <w:tcPr>
                  <w:tcW w:w="780" w:type="dxa"/>
                  <w:noWrap w:val="0"/>
                  <w:vAlign w:val="center"/>
                </w:tcPr>
                <w:p w14:paraId="6147FEBC">
                  <w:pPr>
                    <w:jc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HW34</w:t>
                  </w:r>
                </w:p>
              </w:tc>
              <w:tc>
                <w:tcPr>
                  <w:tcW w:w="1102" w:type="dxa"/>
                  <w:noWrap w:val="0"/>
                  <w:vAlign w:val="center"/>
                </w:tcPr>
                <w:p w14:paraId="6512D6E9">
                  <w:pPr>
                    <w:jc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900-300-34</w:t>
                  </w:r>
                </w:p>
              </w:tc>
              <w:tc>
                <w:tcPr>
                  <w:tcW w:w="826" w:type="dxa"/>
                  <w:noWrap w:val="0"/>
                  <w:vAlign w:val="center"/>
                </w:tcPr>
                <w:p w14:paraId="582CD743">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厂房</w:t>
                  </w:r>
                  <w:r>
                    <w:rPr>
                      <w:rFonts w:hint="eastAsia" w:cs="Times New Roman"/>
                      <w:color w:val="000000" w:themeColor="text1"/>
                      <w:kern w:val="0"/>
                      <w:szCs w:val="21"/>
                      <w:highlight w:val="none"/>
                      <w:lang w:val="en-US" w:eastAsia="zh-CN"/>
                      <w14:textFill>
                        <w14:solidFill>
                          <w14:schemeClr w14:val="tx1"/>
                        </w14:solidFill>
                      </w14:textFill>
                    </w:rPr>
                    <w:t>南侧</w:t>
                  </w:r>
                </w:p>
              </w:tc>
              <w:tc>
                <w:tcPr>
                  <w:tcW w:w="767" w:type="dxa"/>
                  <w:noWrap w:val="0"/>
                  <w:vAlign w:val="center"/>
                </w:tcPr>
                <w:p w14:paraId="0D47E4AE">
                  <w:pPr>
                    <w:topLinePunct/>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24</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Cs w:val="21"/>
                      <w:highlight w:val="none"/>
                      <w:vertAlign w:val="superscript"/>
                      <w:lang w:val="en-US" w:eastAsia="zh-CN"/>
                      <w14:textFill>
                        <w14:solidFill>
                          <w14:schemeClr w14:val="tx1"/>
                        </w14:solidFill>
                      </w14:textFill>
                    </w:rPr>
                    <w:t>2</w:t>
                  </w:r>
                </w:p>
              </w:tc>
              <w:tc>
                <w:tcPr>
                  <w:tcW w:w="693" w:type="dxa"/>
                  <w:noWrap w:val="0"/>
                  <w:vAlign w:val="center"/>
                </w:tcPr>
                <w:p w14:paraId="5A86DFC5">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桶装</w:t>
                  </w:r>
                </w:p>
              </w:tc>
              <w:tc>
                <w:tcPr>
                  <w:tcW w:w="693" w:type="dxa"/>
                  <w:noWrap w:val="0"/>
                  <w:vAlign w:val="center"/>
                </w:tcPr>
                <w:p w14:paraId="0ED1D46A">
                  <w:pPr>
                    <w:topLinePunct/>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36t</w:t>
                  </w:r>
                </w:p>
              </w:tc>
              <w:tc>
                <w:tcPr>
                  <w:tcW w:w="756" w:type="dxa"/>
                  <w:noWrap w:val="0"/>
                  <w:vAlign w:val="center"/>
                </w:tcPr>
                <w:p w14:paraId="54099B13">
                  <w:pPr>
                    <w:topLinePunct/>
                    <w:adjustRightInd w:val="0"/>
                    <w:snapToGrid w:val="0"/>
                    <w:jc w:val="center"/>
                    <w:rPr>
                      <w:rFonts w:hint="default" w:ascii="Times New Roman" w:hAnsi="Times New Roman" w:eastAsia="宋体" w:cs="Times New Roman"/>
                      <w:color w:val="000000" w:themeColor="text1"/>
                      <w:kern w:val="0"/>
                      <w:szCs w:val="21"/>
                      <w:highlight w:val="none"/>
                      <w:lang w:val="en-US"/>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5天</w:t>
                  </w:r>
                </w:p>
              </w:tc>
            </w:tr>
          </w:tbl>
          <w:p w14:paraId="38C5C52B">
            <w:pPr>
              <w:pStyle w:val="66"/>
              <w:ind w:firstLine="420"/>
              <w:rPr>
                <w:rFonts w:hint="default" w:ascii="Times New Roman" w:hAnsi="Times New Roman"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（一）</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危险废物贮存库</w:t>
            </w:r>
            <w:r>
              <w:rPr>
                <w:rFonts w:hint="eastAsia" w:cs="Times New Roman"/>
                <w:color w:val="000000" w:themeColor="text1"/>
                <w:sz w:val="24"/>
                <w:szCs w:val="32"/>
                <w:highlight w:val="none"/>
                <w:lang w:val="en-US" w:eastAsia="zh-CN"/>
                <w14:textFill>
                  <w14:solidFill>
                    <w14:schemeClr w14:val="tx1"/>
                  </w14:solidFill>
                </w14:textFill>
              </w:rPr>
              <w:t>规范化建设要求</w:t>
            </w:r>
          </w:p>
          <w:p w14:paraId="5CD4EEA7">
            <w:pPr>
              <w:pStyle w:val="66"/>
              <w:ind w:firstLine="420"/>
              <w:rPr>
                <w:rFonts w:hint="default" w:ascii="Times New Roman" w:hAnsi="Times New Roman"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（1）通用建设要求</w:t>
            </w:r>
          </w:p>
          <w:p w14:paraId="086414B2">
            <w:pPr>
              <w:pStyle w:val="66"/>
              <w:ind w:firstLine="420"/>
              <w:rPr>
                <w:rFonts w:hint="eastAsia" w:ascii="Times New Roman" w:hAnsi="Times New Roman"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①</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暂存间为全密闭砖混结构，墙体采用耐酸碱防腐涂料涂刷，屋面及墙体满足防风、防雨、防晒、防渗漏要求；</w:t>
            </w:r>
          </w:p>
          <w:p w14:paraId="1A5B1358">
            <w:pPr>
              <w:pStyle w:val="66"/>
              <w:ind w:firstLine="420"/>
              <w:rPr>
                <w:rFonts w:hint="eastAsia" w:ascii="Times New Roman" w:hAnsi="Times New Roman"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②</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按《危险废物识别标志设置技术规范》（HJ1276-2022）设置危险废物警告标志、分区标识牌、成分标签，明确危废名称、类别、危险特性；</w:t>
            </w:r>
          </w:p>
          <w:p w14:paraId="7E89DD0E">
            <w:pPr>
              <w:pStyle w:val="66"/>
              <w:ind w:firstLine="420"/>
              <w:rPr>
                <w:rFonts w:hint="eastAsia" w:ascii="Times New Roman" w:hAnsi="Times New Roman"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③</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配套泄漏应急物资（吸附棉、沙土、防漏托盘、应急收集桶）、干粉灭火器，有机类暂存间增设防爆照明、防爆开关及通风设施。</w:t>
            </w:r>
          </w:p>
          <w:p w14:paraId="5BB0B68C">
            <w:pPr>
              <w:pStyle w:val="66"/>
              <w:ind w:firstLine="420"/>
              <w:rPr>
                <w:rFonts w:hint="default" w:ascii="Times New Roman" w:hAnsi="Times New Roman"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（2）防渗建设要求</w:t>
            </w:r>
          </w:p>
          <w:p w14:paraId="4017EF9A">
            <w:pPr>
              <w:pStyle w:val="66"/>
              <w:ind w:firstLine="420"/>
              <w:rPr>
                <w:rFonts w:hint="default"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危险废物贮存库</w:t>
            </w:r>
            <w:r>
              <w:rPr>
                <w:rFonts w:hint="default" w:cs="Times New Roman"/>
                <w:color w:val="000000" w:themeColor="text1"/>
                <w:sz w:val="24"/>
                <w:szCs w:val="32"/>
                <w:highlight w:val="none"/>
                <w:lang w:val="en-US" w:eastAsia="zh-CN"/>
                <w14:textFill>
                  <w14:solidFill>
                    <w14:schemeClr w14:val="tx1"/>
                  </w14:solidFill>
                </w14:textFill>
              </w:rPr>
              <w:t>依托现有厂房混凝土地面改建，防渗系统采用</w:t>
            </w:r>
            <w:r>
              <w:rPr>
                <w:rFonts w:hint="eastAsia" w:cs="Times New Roman"/>
                <w:color w:val="000000" w:themeColor="text1"/>
                <w:sz w:val="24"/>
                <w:szCs w:val="32"/>
                <w:highlight w:val="none"/>
                <w:lang w:val="en-US" w:eastAsia="zh-CN"/>
                <w14:textFill>
                  <w14:solidFill>
                    <w14:schemeClr w14:val="tx1"/>
                  </w14:solidFill>
                </w14:textFill>
              </w:rPr>
              <w:t>“</w:t>
            </w:r>
            <w:r>
              <w:rPr>
                <w:rFonts w:hint="default" w:cs="Times New Roman"/>
                <w:color w:val="000000" w:themeColor="text1"/>
                <w:sz w:val="24"/>
                <w:szCs w:val="32"/>
                <w:highlight w:val="none"/>
                <w:lang w:val="en-US" w:eastAsia="zh-CN"/>
                <w14:textFill>
                  <w14:solidFill>
                    <w14:schemeClr w14:val="tx1"/>
                  </w14:solidFill>
                </w14:textFill>
              </w:rPr>
              <w:t>基层处理+刚性防渗+柔性防渗+防腐面层”一体化施工，满足GB18597-2023中渗透系数的强制要求，具体施工工艺：</w:t>
            </w:r>
          </w:p>
          <w:p w14:paraId="31678EF5">
            <w:pPr>
              <w:pStyle w:val="66"/>
              <w:ind w:firstLine="420"/>
              <w:rPr>
                <w:rFonts w:hint="default" w:cs="Times New Roman"/>
                <w:color w:val="000000" w:themeColor="text1"/>
                <w:sz w:val="24"/>
                <w:szCs w:val="32"/>
                <w:highlight w:val="none"/>
                <w:lang w:val="en-US" w:eastAsia="zh-CN"/>
                <w14:textFill>
                  <w14:solidFill>
                    <w14:schemeClr w14:val="tx1"/>
                  </w14:solidFill>
                </w14:textFill>
              </w:rPr>
            </w:pPr>
            <w:r>
              <w:rPr>
                <w:rFonts w:hint="default" w:cs="Times New Roman"/>
                <w:color w:val="000000" w:themeColor="text1"/>
                <w:sz w:val="24"/>
                <w:szCs w:val="32"/>
                <w:highlight w:val="none"/>
                <w:lang w:val="en-US" w:eastAsia="zh-CN"/>
                <w14:textFill>
                  <w14:solidFill>
                    <w14:schemeClr w14:val="tx1"/>
                  </w14:solidFill>
                </w14:textFill>
              </w:rPr>
              <w:t>①基层处理：铲除原地面浮浆、油污、裂缝，采用环氧砂浆修补找平，保证地面平整度误差≤3mm，彻底干燥除杂；</w:t>
            </w:r>
          </w:p>
          <w:p w14:paraId="597EEB39">
            <w:pPr>
              <w:pStyle w:val="66"/>
              <w:ind w:firstLine="420"/>
              <w:rPr>
                <w:rFonts w:hint="default" w:cs="Times New Roman"/>
                <w:color w:val="000000" w:themeColor="text1"/>
                <w:sz w:val="24"/>
                <w:szCs w:val="32"/>
                <w:highlight w:val="none"/>
                <w:lang w:val="en-US" w:eastAsia="zh-CN"/>
                <w14:textFill>
                  <w14:solidFill>
                    <w14:schemeClr w14:val="tx1"/>
                  </w14:solidFill>
                </w14:textFill>
              </w:rPr>
            </w:pPr>
            <w:r>
              <w:rPr>
                <w:rFonts w:hint="default" w:cs="Times New Roman"/>
                <w:color w:val="000000" w:themeColor="text1"/>
                <w:sz w:val="24"/>
                <w:szCs w:val="32"/>
                <w:highlight w:val="none"/>
                <w:lang w:val="en-US" w:eastAsia="zh-CN"/>
                <w14:textFill>
                  <w14:solidFill>
                    <w14:schemeClr w14:val="tx1"/>
                  </w14:solidFill>
                </w14:textFill>
              </w:rPr>
              <w:t>②刚性防渗层：浇筑C30抗渗混凝土，厚度≥150mm，配置双向钢筋网，掺加高效抗渗剂，抗渗等级≥P8，形成刚性防渗基底；</w:t>
            </w:r>
          </w:p>
          <w:p w14:paraId="1CF63361">
            <w:pPr>
              <w:pStyle w:val="66"/>
              <w:ind w:firstLine="420"/>
              <w:rPr>
                <w:rFonts w:hint="default" w:cs="Times New Roman"/>
                <w:color w:val="000000" w:themeColor="text1"/>
                <w:sz w:val="24"/>
                <w:szCs w:val="32"/>
                <w:highlight w:val="none"/>
                <w:lang w:val="en-US" w:eastAsia="zh-CN"/>
                <w14:textFill>
                  <w14:solidFill>
                    <w14:schemeClr w14:val="tx1"/>
                  </w14:solidFill>
                </w14:textFill>
              </w:rPr>
            </w:pPr>
            <w:r>
              <w:rPr>
                <w:rFonts w:hint="default" w:cs="Times New Roman"/>
                <w:color w:val="000000" w:themeColor="text1"/>
                <w:sz w:val="24"/>
                <w:szCs w:val="32"/>
                <w:highlight w:val="none"/>
                <w:lang w:val="en-US" w:eastAsia="zh-CN"/>
                <w14:textFill>
                  <w14:solidFill>
                    <w14:schemeClr w14:val="tx1"/>
                  </w14:solidFill>
                </w14:textFill>
              </w:rPr>
              <w:t>③柔性防渗主层：满铺2mm厚高密度聚乙烯（HDPE）防渗膜，膜间搭接宽度≥100mm，采用热熔焊接密封，焊接处做气密性检测，确保无破损、无渗漏；</w:t>
            </w:r>
          </w:p>
          <w:p w14:paraId="6611C990">
            <w:pPr>
              <w:pStyle w:val="66"/>
              <w:ind w:firstLine="420"/>
              <w:rPr>
                <w:rFonts w:hint="default" w:cs="Times New Roman"/>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④</w:t>
            </w:r>
            <w:r>
              <w:rPr>
                <w:rFonts w:hint="default" w:cs="Times New Roman"/>
                <w:color w:val="000000" w:themeColor="text1"/>
                <w:sz w:val="24"/>
                <w:szCs w:val="32"/>
                <w:highlight w:val="none"/>
                <w:lang w:val="en-US" w:eastAsia="zh-CN"/>
                <w14:textFill>
                  <w14:solidFill>
                    <w14:schemeClr w14:val="tx1"/>
                  </w14:solidFill>
                </w14:textFill>
              </w:rPr>
              <w:t>防腐防护面层：防渗膜上方涂刷3遍环氧防腐地坪漆，耐酸碱、耐有机溶剂磨损，提升防渗层耐久性；</w:t>
            </w:r>
          </w:p>
          <w:p w14:paraId="57966D8E">
            <w:pPr>
              <w:pStyle w:val="66"/>
              <w:ind w:firstLine="420"/>
              <w:rPr>
                <w:rFonts w:hint="default" w:cs="Times New Roman"/>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⑤</w:t>
            </w:r>
            <w:r>
              <w:rPr>
                <w:rFonts w:hint="default" w:cs="Times New Roman"/>
                <w:color w:val="000000" w:themeColor="text1"/>
                <w:sz w:val="24"/>
                <w:szCs w:val="32"/>
                <w:highlight w:val="none"/>
                <w:lang w:val="en-US" w:eastAsia="zh-CN"/>
                <w14:textFill>
                  <w14:solidFill>
                    <w14:schemeClr w14:val="tx1"/>
                  </w14:solidFill>
                </w14:textFill>
              </w:rPr>
              <w:t>泄漏收集系统：暂存间四周设置150mm高一体化防渗围堰，地面按2‰坡度坡向集液槽，配套1m</w:t>
            </w:r>
            <w:r>
              <w:rPr>
                <w:rFonts w:hint="eastAsia" w:cs="Times New Roman"/>
                <w:color w:val="000000" w:themeColor="text1"/>
                <w:sz w:val="24"/>
                <w:szCs w:val="32"/>
                <w:highlight w:val="none"/>
                <w:vertAlign w:val="superscript"/>
                <w:lang w:val="en-US" w:eastAsia="zh-CN"/>
                <w14:textFill>
                  <w14:solidFill>
                    <w14:schemeClr w14:val="tx1"/>
                  </w14:solidFill>
                </w14:textFill>
              </w:rPr>
              <w:t>3</w:t>
            </w:r>
            <w:r>
              <w:rPr>
                <w:rFonts w:hint="default" w:cs="Times New Roman"/>
                <w:color w:val="000000" w:themeColor="text1"/>
                <w:sz w:val="24"/>
                <w:szCs w:val="32"/>
                <w:highlight w:val="none"/>
                <w:lang w:val="en-US" w:eastAsia="zh-CN"/>
                <w14:textFill>
                  <w14:solidFill>
                    <w14:schemeClr w14:val="tx1"/>
                  </w14:solidFill>
                </w14:textFill>
              </w:rPr>
              <w:t>防渗集液池，实现泄漏废液全收集、不外流。</w:t>
            </w:r>
          </w:p>
          <w:p w14:paraId="73055C38">
            <w:pPr>
              <w:pStyle w:val="66"/>
              <w:ind w:firstLine="420"/>
              <w:rPr>
                <w:rFonts w:hint="default"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（3）贮存管理要求</w:t>
            </w:r>
          </w:p>
          <w:p w14:paraId="2C27E659">
            <w:pPr>
              <w:pStyle w:val="66"/>
              <w:ind w:firstLine="420"/>
              <w:rPr>
                <w:rFonts w:hint="eastAsia" w:cs="Times New Roman"/>
                <w:color w:val="000000" w:themeColor="text1"/>
                <w:sz w:val="24"/>
                <w:szCs w:val="32"/>
                <w:highlight w:val="none"/>
                <w:lang w:val="en-US" w:eastAsia="zh-CN"/>
                <w14:textFill>
                  <w14:solidFill>
                    <w14:schemeClr w14:val="tx1"/>
                  </w14:solidFill>
                </w14:textFill>
              </w:rPr>
            </w:pPr>
            <w:r>
              <w:rPr>
                <w:rFonts w:hint="default" w:cs="Times New Roman"/>
                <w:color w:val="000000" w:themeColor="text1"/>
                <w:sz w:val="24"/>
                <w:szCs w:val="32"/>
                <w:highlight w:val="none"/>
                <w:lang w:val="en-US" w:eastAsia="zh-CN"/>
                <w14:textFill>
                  <w14:solidFill>
                    <w14:schemeClr w14:val="tx1"/>
                  </w14:solidFill>
                </w14:textFill>
              </w:rPr>
              <w:t>①</w:t>
            </w:r>
            <w:r>
              <w:rPr>
                <w:rFonts w:hint="eastAsia" w:cs="Times New Roman"/>
                <w:color w:val="000000" w:themeColor="text1"/>
                <w:sz w:val="24"/>
                <w:szCs w:val="32"/>
                <w:highlight w:val="none"/>
                <w:lang w:val="en-US" w:eastAsia="zh-CN"/>
                <w14:textFill>
                  <w14:solidFill>
                    <w14:schemeClr w14:val="tx1"/>
                  </w14:solidFill>
                </w14:textFill>
              </w:rPr>
              <w:t>危废按类别分区堆放，液态危废放置于防漏托盘内，固态危废离地150mm堆放，严禁混存不相容危废；</w:t>
            </w:r>
          </w:p>
          <w:p w14:paraId="782AC574">
            <w:pPr>
              <w:pStyle w:val="66"/>
              <w:ind w:firstLine="420"/>
              <w:rPr>
                <w:rFonts w:hint="eastAsia" w:cs="Times New Roman"/>
                <w:color w:val="000000" w:themeColor="text1"/>
                <w:sz w:val="24"/>
                <w:szCs w:val="32"/>
                <w:highlight w:val="none"/>
                <w:lang w:val="en-US" w:eastAsia="zh-CN"/>
                <w14:textFill>
                  <w14:solidFill>
                    <w14:schemeClr w14:val="tx1"/>
                  </w14:solidFill>
                </w14:textFill>
              </w:rPr>
            </w:pPr>
            <w:r>
              <w:rPr>
                <w:rFonts w:hint="default" w:cs="Times New Roman"/>
                <w:color w:val="000000" w:themeColor="text1"/>
                <w:sz w:val="24"/>
                <w:szCs w:val="32"/>
                <w:highlight w:val="none"/>
                <w:lang w:val="en-US" w:eastAsia="zh-CN"/>
                <w14:textFill>
                  <w14:solidFill>
                    <w14:schemeClr w14:val="tx1"/>
                  </w14:solidFill>
                </w14:textFill>
              </w:rPr>
              <w:t>②</w:t>
            </w:r>
            <w:r>
              <w:rPr>
                <w:rFonts w:hint="eastAsia" w:cs="Times New Roman"/>
                <w:color w:val="000000" w:themeColor="text1"/>
                <w:sz w:val="24"/>
                <w:szCs w:val="32"/>
                <w:highlight w:val="none"/>
                <w:lang w:val="en-US" w:eastAsia="zh-CN"/>
                <w14:textFill>
                  <w14:solidFill>
                    <w14:schemeClr w14:val="tx1"/>
                  </w14:solidFill>
                </w14:textFill>
              </w:rPr>
              <w:t>各危险废物按照要求的转运周期，定期委托有资质单位处置；</w:t>
            </w:r>
          </w:p>
          <w:p w14:paraId="02413338">
            <w:pPr>
              <w:pStyle w:val="66"/>
              <w:ind w:firstLine="420"/>
              <w:rPr>
                <w:rFonts w:hint="eastAsia" w:cs="Times New Roman"/>
                <w:color w:val="000000" w:themeColor="text1"/>
                <w:sz w:val="24"/>
                <w:szCs w:val="32"/>
                <w:highlight w:val="none"/>
                <w:lang w:val="en-US" w:eastAsia="zh-CN"/>
                <w14:textFill>
                  <w14:solidFill>
                    <w14:schemeClr w14:val="tx1"/>
                  </w14:solidFill>
                </w14:textFill>
              </w:rPr>
            </w:pPr>
            <w:r>
              <w:rPr>
                <w:rFonts w:hint="default" w:cs="Times New Roman"/>
                <w:color w:val="000000" w:themeColor="text1"/>
                <w:sz w:val="24"/>
                <w:szCs w:val="32"/>
                <w:highlight w:val="none"/>
                <w:lang w:val="en-US" w:eastAsia="zh-CN"/>
                <w14:textFill>
                  <w14:solidFill>
                    <w14:schemeClr w14:val="tx1"/>
                  </w14:solidFill>
                </w14:textFill>
              </w:rPr>
              <w:t>③</w:t>
            </w:r>
            <w:r>
              <w:rPr>
                <w:rFonts w:hint="eastAsia" w:cs="Times New Roman"/>
                <w:color w:val="000000" w:themeColor="text1"/>
                <w:sz w:val="24"/>
                <w:szCs w:val="32"/>
                <w:highlight w:val="none"/>
                <w:lang w:val="en-US" w:eastAsia="zh-CN"/>
                <w14:textFill>
                  <w14:solidFill>
                    <w14:schemeClr w14:val="tx1"/>
                  </w14:solidFill>
                </w14:textFill>
              </w:rPr>
              <w:t>建立危废产生、贮存、转移电子+纸质台账，保存期限≥5年，严格执行危险废物转移联单制度；</w:t>
            </w:r>
          </w:p>
          <w:p w14:paraId="28BAFF67">
            <w:pPr>
              <w:pStyle w:val="66"/>
              <w:ind w:firstLine="420"/>
              <w:rPr>
                <w:rFonts w:hint="eastAsia" w:cs="Times New Roman"/>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④</w:t>
            </w:r>
            <w:r>
              <w:rPr>
                <w:rFonts w:hint="eastAsia" w:cs="Times New Roman"/>
                <w:color w:val="000000" w:themeColor="text1"/>
                <w:sz w:val="24"/>
                <w:szCs w:val="32"/>
                <w:highlight w:val="none"/>
                <w:lang w:val="en-US" w:eastAsia="zh-CN"/>
                <w14:textFill>
                  <w14:solidFill>
                    <w14:schemeClr w14:val="tx1"/>
                  </w14:solidFill>
                </w14:textFill>
              </w:rPr>
              <w:t>每季度对防渗地面、围堰、废气设施进行检查维护，发现破损立即修补，杜绝二次污染。</w:t>
            </w:r>
          </w:p>
          <w:p w14:paraId="674115AF">
            <w:pPr>
              <w:pStyle w:val="66"/>
              <w:ind w:firstLine="420"/>
              <w:rPr>
                <w:rFonts w:hint="eastAsia"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（二）</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危险废物贮存库</w:t>
            </w:r>
            <w:r>
              <w:rPr>
                <w:rFonts w:hint="eastAsia" w:cs="Times New Roman"/>
                <w:color w:val="000000" w:themeColor="text1"/>
                <w:sz w:val="24"/>
                <w:szCs w:val="32"/>
                <w:highlight w:val="none"/>
                <w:lang w:val="en-US" w:eastAsia="zh-CN"/>
                <w14:textFill>
                  <w14:solidFill>
                    <w14:schemeClr w14:val="tx1"/>
                  </w14:solidFill>
                </w14:textFill>
              </w:rPr>
              <w:t>废气收集处理要求</w:t>
            </w:r>
          </w:p>
          <w:p w14:paraId="6DC5090A">
            <w:pPr>
              <w:pStyle w:val="66"/>
              <w:ind w:firstLine="420"/>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default" w:cs="Times New Roman"/>
                <w:color w:val="000000" w:themeColor="text1"/>
                <w:sz w:val="24"/>
                <w:szCs w:val="32"/>
                <w:highlight w:val="none"/>
                <w:lang w:val="en-US" w:eastAsia="zh-CN"/>
                <w14:textFill>
                  <w14:solidFill>
                    <w14:schemeClr w14:val="tx1"/>
                  </w14:solidFill>
                </w14:textFill>
              </w:rPr>
              <w:t>项目危废暂存间会挥发非甲烷总烃、酸性气体等</w:t>
            </w:r>
            <w:r>
              <w:rPr>
                <w:rFonts w:hint="eastAsia" w:cs="Times New Roman"/>
                <w:color w:val="000000" w:themeColor="text1"/>
                <w:sz w:val="24"/>
                <w:szCs w:val="32"/>
                <w:highlight w:val="none"/>
                <w:lang w:val="en-US" w:eastAsia="zh-CN"/>
                <w14:textFill>
                  <w14:solidFill>
                    <w14:schemeClr w14:val="tx1"/>
                  </w14:solidFill>
                </w14:textFill>
              </w:rPr>
              <w:t>废气</w:t>
            </w:r>
            <w:r>
              <w:rPr>
                <w:rFonts w:hint="default" w:cs="Times New Roman"/>
                <w:color w:val="000000" w:themeColor="text1"/>
                <w:sz w:val="24"/>
                <w:szCs w:val="32"/>
                <w:highlight w:val="none"/>
                <w:lang w:val="en-US" w:eastAsia="zh-CN"/>
                <w14:textFill>
                  <w14:solidFill>
                    <w14:schemeClr w14:val="tx1"/>
                  </w14:solidFill>
                </w14:textFill>
              </w:rPr>
              <w:t>，</w:t>
            </w:r>
            <w:r>
              <w:rPr>
                <w:rFonts w:hint="eastAsia" w:cs="Times New Roman"/>
                <w:color w:val="000000" w:themeColor="text1"/>
                <w:sz w:val="24"/>
                <w:szCs w:val="32"/>
                <w:highlight w:val="none"/>
                <w:lang w:val="en-US" w:eastAsia="zh-CN"/>
                <w14:textFill>
                  <w14:solidFill>
                    <w14:schemeClr w14:val="tx1"/>
                  </w14:solidFill>
                </w14:textFill>
              </w:rPr>
              <w:t>可</w:t>
            </w:r>
            <w:r>
              <w:rPr>
                <w:rFonts w:hint="default" w:cs="Times New Roman"/>
                <w:color w:val="000000" w:themeColor="text1"/>
                <w:sz w:val="24"/>
                <w:szCs w:val="32"/>
                <w:highlight w:val="none"/>
                <w:lang w:val="en-US" w:eastAsia="zh-CN"/>
                <w14:textFill>
                  <w14:solidFill>
                    <w14:schemeClr w14:val="tx1"/>
                  </w14:solidFill>
                </w14:textFill>
              </w:rPr>
              <w:t>配套全密闭微负压废气收集</w:t>
            </w:r>
            <w:r>
              <w:rPr>
                <w:rFonts w:hint="eastAsia" w:cs="Times New Roman"/>
                <w:color w:val="000000" w:themeColor="text1"/>
                <w:sz w:val="24"/>
                <w:szCs w:val="32"/>
                <w:highlight w:val="none"/>
                <w:lang w:val="en-US" w:eastAsia="zh-CN"/>
                <w14:textFill>
                  <w14:solidFill>
                    <w14:schemeClr w14:val="tx1"/>
                  </w14:solidFill>
                </w14:textFill>
              </w:rPr>
              <w:t>设施，</w:t>
            </w:r>
            <w:r>
              <w:rPr>
                <w:rFonts w:hint="default" w:cs="Times New Roman"/>
                <w:color w:val="000000" w:themeColor="text1"/>
                <w:sz w:val="24"/>
                <w:szCs w:val="32"/>
                <w:highlight w:val="none"/>
                <w:lang w:val="en-US" w:eastAsia="zh-CN"/>
                <w14:textFill>
                  <w14:solidFill>
                    <w14:schemeClr w14:val="tx1"/>
                  </w14:solidFill>
                </w14:textFill>
              </w:rPr>
              <w:t>顶部设置集气总管全覆盖危废堆放区域，与生产车间完全隔断，杜绝废气无组织逸散</w:t>
            </w:r>
            <w:r>
              <w:rPr>
                <w:rFonts w:hint="eastAsia" w:cs="Times New Roman"/>
                <w:color w:val="000000" w:themeColor="text1"/>
                <w:sz w:val="24"/>
                <w:szCs w:val="32"/>
                <w:highlight w:val="none"/>
                <w:lang w:val="en-US" w:eastAsia="zh-CN"/>
                <w14:textFill>
                  <w14:solidFill>
                    <w14:schemeClr w14:val="tx1"/>
                  </w14:solidFill>
                </w14:textFill>
              </w:rPr>
              <w:t>；接入本次项目有机废气、酸性废气处理系统进行处理。</w:t>
            </w:r>
            <w:r>
              <w:rPr>
                <w:rFonts w:hint="default" w:cs="Times New Roman"/>
                <w:color w:val="000000" w:themeColor="text1"/>
                <w:sz w:val="24"/>
                <w:szCs w:val="32"/>
                <w:highlight w:val="none"/>
                <w:lang w:val="en-US" w:eastAsia="zh-CN"/>
                <w14:textFill>
                  <w14:solidFill>
                    <w14:schemeClr w14:val="tx1"/>
                  </w14:solidFill>
                </w14:textFill>
              </w:rPr>
              <w:t>废气处理设施与暂存间24小时联动运行，建立设施运行、维护、监测台账。</w:t>
            </w:r>
          </w:p>
          <w:p w14:paraId="26B4BDA5">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4.4.3危险废物环境影响分析</w:t>
            </w:r>
          </w:p>
          <w:p w14:paraId="20CFEBF4">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32"/>
                <w:highlight w:val="none"/>
                <w:lang w:eastAsia="zh-CN"/>
                <w14:textFill>
                  <w14:solidFill>
                    <w14:schemeClr w14:val="tx1"/>
                  </w14:solidFill>
                </w14:textFill>
              </w:rPr>
              <w:t>危险废物产生环节及特性分析</w:t>
            </w:r>
          </w:p>
          <w:p w14:paraId="3328CA61">
            <w:pPr>
              <w:pStyle w:val="66"/>
              <w:ind w:firstLine="420"/>
              <w:rPr>
                <w:rFonts w:hint="default" w:ascii="Times New Roman" w:hAnsi="Times New Roman"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根据项目生产工艺，危险废物主要包括</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废润滑油、废油桶、废活性炭等</w:t>
            </w:r>
            <w:r>
              <w:rPr>
                <w:rFonts w:hint="default" w:ascii="Times New Roman" w:hAnsi="Times New Roman" w:cs="Times New Roman"/>
                <w:color w:val="000000" w:themeColor="text1"/>
                <w:sz w:val="24"/>
                <w:szCs w:val="32"/>
                <w:highlight w:val="none"/>
                <w:lang w:eastAsia="zh-CN"/>
                <w14:textFill>
                  <w14:solidFill>
                    <w14:schemeClr w14:val="tx1"/>
                  </w14:solidFill>
                </w14:textFill>
              </w:rPr>
              <w:t>。</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产生工序及装置、产生量及危险特性见表</w:t>
            </w:r>
            <w:r>
              <w:rPr>
                <w:rFonts w:hint="eastAsia" w:cs="Times New Roman"/>
                <w:color w:val="000000" w:themeColor="text1"/>
                <w:sz w:val="24"/>
                <w:szCs w:val="32"/>
                <w:highlight w:val="none"/>
                <w:lang w:val="en-US" w:eastAsia="zh-CN"/>
                <w14:textFill>
                  <w14:solidFill>
                    <w14:schemeClr w14:val="tx1"/>
                  </w14:solidFill>
                </w14:textFill>
              </w:rPr>
              <w:t>4.4-2</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w:t>
            </w:r>
          </w:p>
          <w:p w14:paraId="572C613B">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2.危险废物污染防治措施</w:t>
            </w:r>
          </w:p>
          <w:p w14:paraId="242115E1">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（1）包装要求</w:t>
            </w:r>
          </w:p>
          <w:p w14:paraId="2BA27461">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废润滑油：采用密闭防漏的铁桶包装，桶体标注危险废物标识和成分信息。</w:t>
            </w:r>
          </w:p>
          <w:p w14:paraId="7FD934E5">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废油桶：保持原包装密闭，破损桶需重新封装并标注标识。</w:t>
            </w:r>
          </w:p>
          <w:p w14:paraId="2B32650D">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废活性炭：使用防渗漏编织袋包装，袋口扎紧并贴危险废物标签。</w:t>
            </w:r>
          </w:p>
          <w:p w14:paraId="70192A1A">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（2）贮存设施</w:t>
            </w:r>
          </w:p>
          <w:p w14:paraId="0264728E">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危废暂存间需满足以下要求：</w:t>
            </w:r>
          </w:p>
          <w:p w14:paraId="420AD038">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防渗：</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等效黏土防渗层</w:t>
            </w:r>
            <w:r>
              <w:rPr>
                <w:rFonts w:hint="eastAsia" w:cs="Times New Roman"/>
                <w:bCs/>
                <w:color w:val="000000" w:themeColor="text1"/>
                <w:kern w:val="2"/>
                <w:sz w:val="24"/>
                <w:szCs w:val="32"/>
                <w:highlight w:val="none"/>
                <w:lang w:val="en-US" w:eastAsia="zh-CN" w:bidi="ar-SA"/>
                <w14:textFill>
                  <w14:solidFill>
                    <w14:schemeClr w14:val="tx1"/>
                  </w14:solidFill>
                </w14:textFill>
              </w:rPr>
              <w:t>≥1.0</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m，渗透系数</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1.0</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10</w:t>
            </w:r>
            <w:r>
              <w:rPr>
                <w:rFonts w:hint="eastAsia" w:cs="Times New Roman"/>
                <w:bCs/>
                <w:color w:val="000000" w:themeColor="text1"/>
                <w:kern w:val="2"/>
                <w:sz w:val="24"/>
                <w:szCs w:val="32"/>
                <w:highlight w:val="none"/>
                <w:vertAlign w:val="superscript"/>
                <w:lang w:val="en-US" w:eastAsia="zh-CN" w:bidi="ar-SA"/>
                <w14:textFill>
                  <w14:solidFill>
                    <w14:schemeClr w14:val="tx1"/>
                  </w14:solidFill>
                </w14:textFill>
              </w:rPr>
              <w:t>-7</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cm</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s</w:t>
            </w:r>
            <w:r>
              <w:rPr>
                <w:rFonts w:hint="default" w:ascii="Times New Roman" w:hAnsi="Times New Roman" w:cs="Times New Roman"/>
                <w:color w:val="000000" w:themeColor="text1"/>
                <w:sz w:val="24"/>
                <w:szCs w:val="32"/>
                <w:highlight w:val="none"/>
                <w:lang w:eastAsia="zh-CN"/>
                <w14:textFill>
                  <w14:solidFill>
                    <w14:schemeClr w14:val="tx1"/>
                  </w14:solidFill>
                </w14:textFill>
              </w:rPr>
              <w:t>。</w:t>
            </w:r>
          </w:p>
          <w:p w14:paraId="1B8D08A6">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防风防雨：顶部加盖，墙体密闭。</w:t>
            </w:r>
          </w:p>
          <w:p w14:paraId="72EA0B12">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标识：设置危险废物警告标志和台账记录板。</w:t>
            </w:r>
          </w:p>
          <w:p w14:paraId="66564337">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安全：配备灭火器、防爆照明及通风设施。</w:t>
            </w:r>
          </w:p>
          <w:p w14:paraId="19FE51D1">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（3）运输管理</w:t>
            </w:r>
          </w:p>
          <w:p w14:paraId="57590235">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委托持有《危险废物经营许可证》的单位运输，车辆</w:t>
            </w:r>
            <w:r>
              <w:rPr>
                <w:rFonts w:hint="eastAsia" w:cs="Times New Roman"/>
                <w:color w:val="000000" w:themeColor="text1"/>
                <w:sz w:val="24"/>
                <w:szCs w:val="32"/>
                <w:highlight w:val="none"/>
                <w:lang w:eastAsia="zh-CN"/>
                <w14:textFill>
                  <w14:solidFill>
                    <w14:schemeClr w14:val="tx1"/>
                  </w14:solidFill>
                </w14:textFill>
              </w:rPr>
              <w:t>须具备</w:t>
            </w:r>
            <w:r>
              <w:rPr>
                <w:rFonts w:hint="default" w:ascii="Times New Roman" w:hAnsi="Times New Roman" w:cs="Times New Roman"/>
                <w:color w:val="000000" w:themeColor="text1"/>
                <w:sz w:val="24"/>
                <w:szCs w:val="32"/>
                <w:highlight w:val="none"/>
                <w:lang w:eastAsia="zh-CN"/>
                <w14:textFill>
                  <w14:solidFill>
                    <w14:schemeClr w14:val="tx1"/>
                  </w14:solidFill>
                </w14:textFill>
              </w:rPr>
              <w:t>防泄漏装置。</w:t>
            </w:r>
          </w:p>
          <w:p w14:paraId="78E42B6C">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运输前检查包装密封性，填写危险废物转移联单，路线避开敏感区域。</w:t>
            </w:r>
          </w:p>
          <w:p w14:paraId="01AD0850">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（4）处置要求</w:t>
            </w:r>
          </w:p>
          <w:p w14:paraId="55219C20">
            <w:pPr>
              <w:pStyle w:val="66"/>
              <w:ind w:firstLine="42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lang w:eastAsia="zh-CN"/>
                <w14:textFill>
                  <w14:solidFill>
                    <w14:schemeClr w14:val="tx1"/>
                  </w14:solidFill>
                </w14:textFill>
              </w:rPr>
              <w:t>交由有资质的单位进行处置。</w:t>
            </w:r>
          </w:p>
          <w:p w14:paraId="1D965912">
            <w:pPr>
              <w:pStyle w:val="66"/>
              <w:ind w:firstLine="420"/>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3.环境管理要求</w:t>
            </w:r>
          </w:p>
          <w:p w14:paraId="287D432A">
            <w:pPr>
              <w:pStyle w:val="66"/>
              <w:ind w:firstLine="420"/>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（1）台账制度</w:t>
            </w:r>
          </w:p>
          <w:p w14:paraId="33C1E602">
            <w:pPr>
              <w:pStyle w:val="66"/>
              <w:ind w:firstLine="420"/>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建立危险废物产生、贮存、转移电子台账，记录种类、数量、去向等信息，保存至少5年。</w:t>
            </w:r>
          </w:p>
          <w:p w14:paraId="5A0B7E67">
            <w:pPr>
              <w:pStyle w:val="66"/>
              <w:ind w:firstLine="420"/>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（2）转移联单</w:t>
            </w:r>
          </w:p>
          <w:p w14:paraId="05F18D51">
            <w:pPr>
              <w:pStyle w:val="66"/>
              <w:ind w:firstLine="420"/>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严格执行《危险废物转移联单管理办法》，联单随货同行，副本存档备查。</w:t>
            </w:r>
          </w:p>
          <w:p w14:paraId="63F4F218">
            <w:pPr>
              <w:pStyle w:val="66"/>
              <w:ind w:firstLine="420"/>
              <w:rPr>
                <w:rFonts w:ascii="宋体" w:hAnsi="宋体"/>
                <w:color w:val="000000" w:themeColor="text1"/>
                <w:sz w:val="24"/>
                <w:szCs w:val="32"/>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t>总体上分析，只要建设单位认真落实本环评提出的各项固体废物处置措施，并按照固体废物的相关管理要求，加强各类固体废物的收集、分类储存、转移和处置管理，本工程建成后产生的固体废物不会造成二次污染，因此对环境的影响很小。</w:t>
            </w:r>
          </w:p>
          <w:p w14:paraId="57145F45">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4.4.4</w:t>
            </w:r>
            <w:r>
              <w:rPr>
                <w:rFonts w:hint="eastAsia" w:cs="宋体"/>
                <w:color w:val="000000" w:themeColor="text1"/>
                <w:sz w:val="24"/>
                <w:szCs w:val="32"/>
                <w:highlight w:val="none"/>
                <w14:textFill>
                  <w14:solidFill>
                    <w14:schemeClr w14:val="tx1"/>
                  </w14:solidFill>
                </w14:textFill>
              </w:rPr>
              <w:t>环境管理要求</w:t>
            </w:r>
          </w:p>
          <w:p w14:paraId="5B0389C0">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①一般工业固体废物</w:t>
            </w:r>
          </w:p>
          <w:p w14:paraId="2D45AA07">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本项目一般工业固体废物主要为</w:t>
            </w:r>
            <w:r>
              <w:rPr>
                <w:rFonts w:hint="eastAsia" w:cs="宋体"/>
                <w:color w:val="000000" w:themeColor="text1"/>
                <w:sz w:val="24"/>
                <w:szCs w:val="32"/>
                <w:highlight w:val="none"/>
                <w:lang w:val="en-US" w:eastAsia="zh-CN"/>
                <w14:textFill>
                  <w14:solidFill>
                    <w14:schemeClr w14:val="tx1"/>
                  </w14:solidFill>
                </w14:textFill>
              </w:rPr>
              <w:t>废边角料</w:t>
            </w:r>
            <w:r>
              <w:rPr>
                <w:rFonts w:hint="eastAsia" w:cs="宋体"/>
                <w:color w:val="000000" w:themeColor="text1"/>
                <w:sz w:val="24"/>
                <w:szCs w:val="32"/>
                <w:highlight w:val="none"/>
                <w14:textFill>
                  <w14:solidFill>
                    <w14:schemeClr w14:val="tx1"/>
                  </w14:solidFill>
                </w14:textFill>
              </w:rPr>
              <w:t>等。</w:t>
            </w:r>
          </w:p>
          <w:p w14:paraId="38A0E43D">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a.</w:t>
            </w:r>
            <w:r>
              <w:rPr>
                <w:rFonts w:hint="eastAsia" w:cs="宋体"/>
                <w:color w:val="000000" w:themeColor="text1"/>
                <w:sz w:val="24"/>
                <w:szCs w:val="32"/>
                <w:highlight w:val="none"/>
                <w14:textFill>
                  <w14:solidFill>
                    <w14:schemeClr w14:val="tx1"/>
                  </w14:solidFill>
                </w14:textFill>
              </w:rPr>
              <w:t>一般工业固体废物产生后，应按不同类别和相应要求及时放置到临时存放场所。并按《环境保护图形标志—固体废物贮存（处置）场》（GB 15562.2-1995）修改单设置环境保护图形标志。</w:t>
            </w:r>
          </w:p>
          <w:p w14:paraId="70ED7B47">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b.</w:t>
            </w:r>
            <w:r>
              <w:rPr>
                <w:rFonts w:hint="eastAsia" w:cs="宋体"/>
                <w:color w:val="000000" w:themeColor="text1"/>
                <w:sz w:val="24"/>
                <w:szCs w:val="32"/>
                <w:highlight w:val="none"/>
                <w14:textFill>
                  <w14:solidFill>
                    <w14:schemeClr w14:val="tx1"/>
                  </w14:solidFill>
                </w14:textFill>
              </w:rPr>
              <w:t>一般工业固体废物储存场，禁止将危险废物和生活垃圾混入。</w:t>
            </w:r>
          </w:p>
          <w:p w14:paraId="13E32F1D">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c.</w:t>
            </w:r>
            <w:r>
              <w:rPr>
                <w:rFonts w:hint="eastAsia" w:cs="宋体"/>
                <w:color w:val="000000" w:themeColor="text1"/>
                <w:sz w:val="24"/>
                <w:szCs w:val="32"/>
                <w:highlight w:val="none"/>
                <w14:textFill>
                  <w14:solidFill>
                    <w14:schemeClr w14:val="tx1"/>
                  </w14:solidFill>
                </w14:textFill>
              </w:rPr>
              <w:t>各类固体废物在厂内临时堆放期间加强管理，外运过</w:t>
            </w:r>
            <w:r>
              <w:rPr>
                <w:rFonts w:hint="eastAsia" w:cs="宋体"/>
                <w:color w:val="000000" w:themeColor="text1"/>
                <w:sz w:val="24"/>
                <w:szCs w:val="32"/>
                <w:highlight w:val="none"/>
                <w:lang w:eastAsia="zh-CN"/>
                <w14:textFill>
                  <w14:solidFill>
                    <w14:schemeClr w14:val="tx1"/>
                  </w14:solidFill>
                </w14:textFill>
              </w:rPr>
              <w:t>程中</w:t>
            </w:r>
            <w:r>
              <w:rPr>
                <w:rFonts w:hint="eastAsia" w:cs="宋体"/>
                <w:color w:val="000000" w:themeColor="text1"/>
                <w:sz w:val="24"/>
                <w:szCs w:val="32"/>
                <w:highlight w:val="none"/>
                <w14:textFill>
                  <w14:solidFill>
                    <w14:schemeClr w14:val="tx1"/>
                  </w14:solidFill>
                </w14:textFill>
              </w:rPr>
              <w:t>要防止</w:t>
            </w:r>
            <w:r>
              <w:rPr>
                <w:rFonts w:hint="eastAsia" w:cs="宋体"/>
                <w:color w:val="000000" w:themeColor="text1"/>
                <w:sz w:val="24"/>
                <w:szCs w:val="32"/>
                <w:highlight w:val="none"/>
                <w:lang w:eastAsia="zh-CN"/>
                <w14:textFill>
                  <w14:solidFill>
                    <w14:schemeClr w14:val="tx1"/>
                  </w14:solidFill>
                </w14:textFill>
              </w:rPr>
              <w:t>抛洒泄漏</w:t>
            </w:r>
            <w:r>
              <w:rPr>
                <w:rFonts w:hint="eastAsia" w:cs="宋体"/>
                <w:color w:val="000000" w:themeColor="text1"/>
                <w:sz w:val="24"/>
                <w:szCs w:val="32"/>
                <w:highlight w:val="none"/>
                <w14:textFill>
                  <w14:solidFill>
                    <w14:schemeClr w14:val="tx1"/>
                  </w14:solidFill>
                </w14:textFill>
              </w:rPr>
              <w:t>。</w:t>
            </w:r>
          </w:p>
          <w:p w14:paraId="4BC4E260">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lang w:eastAsia="zh-CN"/>
                <w14:textFill>
                  <w14:solidFill>
                    <w14:schemeClr w14:val="tx1"/>
                  </w14:solidFill>
                </w14:textFill>
              </w:rPr>
              <w:t>d.</w:t>
            </w:r>
            <w:r>
              <w:rPr>
                <w:rFonts w:hint="eastAsia" w:cs="宋体"/>
                <w:color w:val="000000" w:themeColor="text1"/>
                <w:sz w:val="24"/>
                <w:szCs w:val="32"/>
                <w:highlight w:val="none"/>
                <w14:textFill>
                  <w14:solidFill>
                    <w14:schemeClr w14:val="tx1"/>
                  </w14:solidFill>
                </w14:textFill>
              </w:rPr>
              <w:t>加强企业内部对固体废物的管理，建立固体废物产生、外运、处置及最终去向的详细台账。</w:t>
            </w:r>
          </w:p>
          <w:p w14:paraId="6C1CC112">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②危险废物</w:t>
            </w:r>
          </w:p>
          <w:p w14:paraId="576E754E">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本项目危险废物主要为</w:t>
            </w:r>
            <w:r>
              <w:rPr>
                <w:rFonts w:hint="eastAsia" w:cs="宋体"/>
                <w:color w:val="000000" w:themeColor="text1"/>
                <w:sz w:val="24"/>
                <w:szCs w:val="32"/>
                <w:highlight w:val="none"/>
                <w:lang w:val="en-US" w:eastAsia="zh-CN"/>
                <w14:textFill>
                  <w14:solidFill>
                    <w14:schemeClr w14:val="tx1"/>
                  </w14:solidFill>
                </w14:textFill>
              </w:rPr>
              <w:t>废润滑油、废油桶、废活性炭</w:t>
            </w:r>
            <w:r>
              <w:rPr>
                <w:rFonts w:hint="eastAsia" w:ascii="宋体" w:hAnsi="宋体"/>
                <w:color w:val="000000" w:themeColor="text1"/>
                <w:sz w:val="24"/>
                <w:szCs w:val="32"/>
                <w:highlight w:val="none"/>
                <w14:textFill>
                  <w14:solidFill>
                    <w14:schemeClr w14:val="tx1"/>
                  </w14:solidFill>
                </w14:textFill>
              </w:rPr>
              <w:t>等</w:t>
            </w:r>
            <w:r>
              <w:rPr>
                <w:rFonts w:hint="eastAsia" w:cs="宋体"/>
                <w:color w:val="000000" w:themeColor="text1"/>
                <w:sz w:val="24"/>
                <w:szCs w:val="32"/>
                <w:highlight w:val="none"/>
                <w14:textFill>
                  <w14:solidFill>
                    <w14:schemeClr w14:val="tx1"/>
                  </w14:solidFill>
                </w14:textFill>
              </w:rPr>
              <w:t>。厂区设置一个临时暂存间，危废间需根据要求做好防渗措施。危废</w:t>
            </w:r>
            <w:r>
              <w:rPr>
                <w:rFonts w:hint="eastAsia" w:cs="宋体"/>
                <w:color w:val="000000" w:themeColor="text1"/>
                <w:sz w:val="24"/>
                <w:szCs w:val="32"/>
                <w:highlight w:val="none"/>
                <w:lang w:val="en-US" w:eastAsia="zh-CN"/>
                <w14:textFill>
                  <w14:solidFill>
                    <w14:schemeClr w14:val="tx1"/>
                  </w14:solidFill>
                </w14:textFill>
              </w:rPr>
              <w:t>收集</w:t>
            </w:r>
            <w:r>
              <w:rPr>
                <w:rFonts w:hint="eastAsia" w:cs="宋体"/>
                <w:color w:val="000000" w:themeColor="text1"/>
                <w:sz w:val="24"/>
                <w:szCs w:val="32"/>
                <w:highlight w:val="none"/>
                <w14:textFill>
                  <w14:solidFill>
                    <w14:schemeClr w14:val="tx1"/>
                  </w14:solidFill>
                </w14:textFill>
              </w:rPr>
              <w:t>统一委托有资质单位进行处置。</w:t>
            </w:r>
          </w:p>
          <w:p w14:paraId="3E8AD94A">
            <w:pPr>
              <w:spacing w:line="360" w:lineRule="auto"/>
              <w:ind w:firstLine="480" w:firstLineChars="200"/>
              <w:rPr>
                <w:rFonts w:cs="宋体"/>
                <w:color w:val="000000" w:themeColor="text1"/>
                <w:sz w:val="32"/>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为消除危险废物存在的环境污染隐患，建设单位应设置危险废物专门管理机构，加强对危险废物分类收集、贮存、转移的管理，确保危险废物得到合理</w:t>
            </w:r>
            <w:r>
              <w:rPr>
                <w:rFonts w:hint="eastAsia" w:cs="宋体"/>
                <w:color w:val="000000" w:themeColor="text1"/>
                <w:sz w:val="24"/>
                <w:szCs w:val="32"/>
                <w:highlight w:val="none"/>
                <w:lang w:val="en-US" w:eastAsia="zh-CN"/>
                <w14:textFill>
                  <w14:solidFill>
                    <w14:schemeClr w14:val="tx1"/>
                  </w14:solidFill>
                </w14:textFill>
              </w:rPr>
              <w:t>处置。</w:t>
            </w:r>
          </w:p>
          <w:p w14:paraId="20966658">
            <w:pPr>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a.应设置专人对危险废物进行分类管理，严格按照《危险废物贮存污染控制标准》（</w:t>
            </w:r>
            <w:r>
              <w:rPr>
                <w:color w:val="000000" w:themeColor="text1"/>
                <w:sz w:val="24"/>
                <w:szCs w:val="32"/>
                <w:highlight w:val="none"/>
                <w14:textFill>
                  <w14:solidFill>
                    <w14:schemeClr w14:val="tx1"/>
                  </w14:solidFill>
                </w14:textFill>
              </w:rPr>
              <w:t>GB18597-20</w:t>
            </w:r>
            <w:r>
              <w:rPr>
                <w:rFonts w:hint="eastAsia"/>
                <w:color w:val="000000" w:themeColor="text1"/>
                <w:sz w:val="24"/>
                <w:szCs w:val="32"/>
                <w:highlight w:val="none"/>
                <w14:textFill>
                  <w14:solidFill>
                    <w14:schemeClr w14:val="tx1"/>
                  </w14:solidFill>
                </w14:textFill>
              </w:rPr>
              <w:t>23</w:t>
            </w:r>
            <w:r>
              <w:rPr>
                <w:rFonts w:hint="eastAsia" w:cs="宋体"/>
                <w:color w:val="000000" w:themeColor="text1"/>
                <w:sz w:val="24"/>
                <w:szCs w:val="32"/>
                <w:highlight w:val="none"/>
                <w14:textFill>
                  <w14:solidFill>
                    <w14:schemeClr w14:val="tx1"/>
                  </w14:solidFill>
                </w14:textFill>
              </w:rPr>
              <w:t>），建造合格的临时贮存场所，并根据危险废物识别标志设置技术规范（HJ1276—2022）设置明显的标志和围护，以免造成二次污染。</w:t>
            </w:r>
          </w:p>
          <w:p w14:paraId="004ECDD2">
            <w:pPr>
              <w:spacing w:line="360" w:lineRule="auto"/>
              <w:ind w:firstLine="480" w:firstLineChars="200"/>
              <w:rPr>
                <w:rFonts w:cs="宋体"/>
                <w:color w:val="000000" w:themeColor="text1"/>
                <w:sz w:val="32"/>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b.建立废物转移联单制度。</w:t>
            </w:r>
            <w:r>
              <w:rPr>
                <w:rFonts w:hint="eastAsia" w:cs="宋体"/>
                <w:color w:val="000000" w:themeColor="text1"/>
                <w:sz w:val="24"/>
                <w:szCs w:val="32"/>
                <w:highlight w:val="none"/>
                <w:lang w:val="en-US" w:eastAsia="zh-CN"/>
                <w14:textFill>
                  <w14:solidFill>
                    <w14:schemeClr w14:val="tx1"/>
                  </w14:solidFill>
                </w14:textFill>
              </w:rPr>
              <w:t>该</w:t>
            </w:r>
            <w:r>
              <w:rPr>
                <w:rFonts w:hint="eastAsia" w:cs="宋体"/>
                <w:color w:val="000000" w:themeColor="text1"/>
                <w:sz w:val="24"/>
                <w:szCs w:val="32"/>
                <w:highlight w:val="none"/>
                <w14:textFill>
                  <w14:solidFill>
                    <w14:schemeClr w14:val="tx1"/>
                  </w14:solidFill>
                </w14:textFill>
              </w:rPr>
              <w:t>制度是对废物从产生、处理到处置排放实行全过程监督的有效手段。主要内容有：废物合理产生的估量；废物流向和分配及监测记录；废物处理和转化；废物有效排放和废物总量衡算；废物从产生到处置的全过程评估。危险废物转移应按照《危险废物转移管理办法》要求执行。</w:t>
            </w:r>
          </w:p>
          <w:p w14:paraId="0CAB8E29">
            <w:pPr>
              <w:spacing w:line="360" w:lineRule="auto"/>
              <w:ind w:firstLine="480" w:firstLineChars="200"/>
              <w:rPr>
                <w:rFonts w:hint="eastAsia"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c.实行全过程管理。对危险废物的产生、收集、运输、贮存、加工处理直至最终处置</w:t>
            </w:r>
            <w:r>
              <w:rPr>
                <w:rFonts w:hint="eastAsia" w:cs="宋体"/>
                <w:color w:val="000000" w:themeColor="text1"/>
                <w:sz w:val="24"/>
                <w:szCs w:val="32"/>
                <w:highlight w:val="none"/>
                <w:lang w:eastAsia="zh-CN"/>
                <w14:textFill>
                  <w14:solidFill>
                    <w14:schemeClr w14:val="tx1"/>
                  </w14:solidFill>
                </w14:textFill>
              </w:rPr>
              <w:t>承担</w:t>
            </w:r>
            <w:r>
              <w:rPr>
                <w:rFonts w:hint="eastAsia" w:cs="宋体"/>
                <w:color w:val="000000" w:themeColor="text1"/>
                <w:sz w:val="24"/>
                <w:szCs w:val="32"/>
                <w:highlight w:val="none"/>
                <w14:textFill>
                  <w14:solidFill>
                    <w14:schemeClr w14:val="tx1"/>
                  </w14:solidFill>
                </w14:textFill>
              </w:rPr>
              <w:t>责任。并应向生态环境主管部门进行申报、登记，并接受管理部门的监督和指导。</w:t>
            </w:r>
          </w:p>
          <w:p w14:paraId="4D4331D4">
            <w:pPr>
              <w:pStyle w:val="37"/>
              <w:rPr>
                <w:rFonts w:hint="default" w:eastAsia="黑体"/>
                <w:color w:val="000000" w:themeColor="text1"/>
                <w:sz w:val="24"/>
                <w:szCs w:val="21"/>
                <w:highlight w:val="none"/>
                <w:lang w:val="en-US" w:eastAsia="zh-CN"/>
                <w14:textFill>
                  <w14:solidFill>
                    <w14:schemeClr w14:val="tx1"/>
                  </w14:solidFill>
                </w14:textFill>
              </w:rPr>
            </w:pPr>
            <w:r>
              <w:rPr>
                <w:color w:val="000000" w:themeColor="text1"/>
                <w:sz w:val="24"/>
                <w:szCs w:val="21"/>
                <w:highlight w:val="none"/>
                <w14:textFill>
                  <w14:solidFill>
                    <w14:schemeClr w14:val="tx1"/>
                  </w14:solidFill>
                </w14:textFill>
              </w:rPr>
              <w:t>4.</w:t>
            </w:r>
            <w:r>
              <w:rPr>
                <w:rFonts w:hint="eastAsia"/>
                <w:color w:val="000000" w:themeColor="text1"/>
                <w:sz w:val="24"/>
                <w:szCs w:val="21"/>
                <w:highlight w:val="none"/>
                <w:lang w:val="en-US" w:eastAsia="zh-CN"/>
                <w14:textFill>
                  <w14:solidFill>
                    <w14:schemeClr w14:val="tx1"/>
                  </w14:solidFill>
                </w14:textFill>
              </w:rPr>
              <w:t>5</w:t>
            </w:r>
            <w:r>
              <w:rPr>
                <w:color w:val="000000" w:themeColor="text1"/>
                <w:sz w:val="24"/>
                <w:szCs w:val="21"/>
                <w:highlight w:val="non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运营期地下水</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土壤环境影响分析和保护措施</w:t>
            </w:r>
          </w:p>
          <w:p w14:paraId="3DFC733C">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4.5.1</w:t>
            </w:r>
            <w:r>
              <w:rPr>
                <w:rFonts w:hint="eastAsia"/>
                <w:color w:val="000000" w:themeColor="text1"/>
                <w:sz w:val="24"/>
                <w:szCs w:val="21"/>
                <w:highlight w:val="none"/>
                <w14:textFill>
                  <w14:solidFill>
                    <w14:schemeClr w14:val="tx1"/>
                  </w14:solidFill>
                </w14:textFill>
              </w:rPr>
              <w:t>地下水</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土壤环境影响分析</w:t>
            </w:r>
          </w:p>
          <w:p w14:paraId="0EF6906C">
            <w:pPr>
              <w:spacing w:line="360" w:lineRule="auto"/>
              <w:ind w:firstLine="480" w:firstLineChars="200"/>
              <w:rPr>
                <w:rFonts w:hint="default"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cs="Times New Roman"/>
                <w:bCs/>
                <w:color w:val="000000" w:themeColor="text1"/>
                <w:kern w:val="2"/>
                <w:sz w:val="24"/>
                <w:szCs w:val="32"/>
                <w:highlight w:val="none"/>
                <w:lang w:val="en-US" w:eastAsia="zh-CN" w:bidi="ar-SA"/>
                <w14:textFill>
                  <w14:solidFill>
                    <w14:schemeClr w14:val="tx1"/>
                  </w14:solidFill>
                </w14:textFill>
              </w:rPr>
              <w:t>（1）地下水环境</w:t>
            </w:r>
          </w:p>
          <w:p w14:paraId="151E66AD">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项目生活污水经处理达标后排入市政污水管网，送往</w:t>
            </w:r>
            <w:r>
              <w:rPr>
                <w:rFonts w:hint="eastAsia" w:cs="Times New Roman"/>
                <w:bCs/>
                <w:color w:val="000000" w:themeColor="text1"/>
                <w:kern w:val="2"/>
                <w:sz w:val="24"/>
                <w:szCs w:val="32"/>
                <w:highlight w:val="none"/>
                <w:lang w:val="en-US" w:eastAsia="zh-CN" w:bidi="ar-SA"/>
                <w14:textFill>
                  <w14:solidFill>
                    <w14:schemeClr w14:val="tx1"/>
                  </w14:solidFill>
                </w14:textFill>
              </w:rPr>
              <w:t>福州大学城污水处理厂</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集中处理，项目</w:t>
            </w:r>
            <w:r>
              <w:rPr>
                <w:rFonts w:hint="eastAsia" w:cs="Times New Roman"/>
                <w:bCs/>
                <w:color w:val="000000" w:themeColor="text1"/>
                <w:kern w:val="2"/>
                <w:sz w:val="24"/>
                <w:szCs w:val="32"/>
                <w:highlight w:val="none"/>
                <w:lang w:val="en-US" w:eastAsia="zh-CN" w:bidi="ar-SA"/>
                <w14:textFill>
                  <w14:solidFill>
                    <w14:schemeClr w14:val="tx1"/>
                  </w14:solidFill>
                </w14:textFill>
              </w:rPr>
              <w:t>生活污水不会</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渗漏和进入地下水</w:t>
            </w:r>
            <w:r>
              <w:rPr>
                <w:rFonts w:hint="eastAsia" w:cs="Times New Roman"/>
                <w:bCs/>
                <w:color w:val="000000" w:themeColor="text1"/>
                <w:kern w:val="2"/>
                <w:sz w:val="24"/>
                <w:szCs w:val="32"/>
                <w:highlight w:val="none"/>
                <w:lang w:val="en-US" w:eastAsia="zh-CN" w:bidi="ar-SA"/>
                <w14:textFill>
                  <w14:solidFill>
                    <w14:schemeClr w14:val="tx1"/>
                  </w14:solidFill>
                </w14:textFill>
              </w:rPr>
              <w:t>。</w:t>
            </w:r>
          </w:p>
          <w:p w14:paraId="42D159EA">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项目一般工业固废暂存场所及危险废物暂存间严格按照《一般工业固体废物贮存、处置场污染控制标准》（GB18599-2020）</w:t>
            </w:r>
            <w:r>
              <w:rPr>
                <w:rFonts w:hint="eastAsia" w:cs="Times New Roman"/>
                <w:bCs/>
                <w:color w:val="000000" w:themeColor="text1"/>
                <w:kern w:val="2"/>
                <w:sz w:val="24"/>
                <w:szCs w:val="32"/>
                <w:highlight w:val="none"/>
                <w:lang w:val="en-US" w:eastAsia="zh-CN" w:bidi="ar-SA"/>
                <w14:textFill>
                  <w14:solidFill>
                    <w14:schemeClr w14:val="tx1"/>
                  </w14:solidFill>
                </w14:textFill>
              </w:rPr>
              <w:t>中</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固废临时贮存场所的要求及《危险废物贮存污染控制标准》（GB18597-2023）的要求进行建设，具备防风、防雨、防晒、防渗漏等要求。在正常工况，不会对评价区地下水产生明显影响，其影响程度是可接受的。</w:t>
            </w:r>
          </w:p>
          <w:p w14:paraId="285169FE">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cs="Times New Roman"/>
                <w:bCs/>
                <w:color w:val="000000" w:themeColor="text1"/>
                <w:kern w:val="2"/>
                <w:sz w:val="24"/>
                <w:szCs w:val="32"/>
                <w:highlight w:val="none"/>
                <w:lang w:val="en-US" w:eastAsia="zh-CN" w:bidi="ar-SA"/>
                <w14:textFill>
                  <w14:solidFill>
                    <w14:schemeClr w14:val="tx1"/>
                  </w14:solidFill>
                </w14:textFill>
              </w:rPr>
              <w:t>综上所述</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，项目在正常运行工况下，项目对地下水影响不大。</w:t>
            </w:r>
            <w:r>
              <w:rPr>
                <w:rFonts w:hint="eastAsia" w:cs="Times New Roman"/>
                <w:bCs/>
                <w:color w:val="000000" w:themeColor="text1"/>
                <w:kern w:val="2"/>
                <w:sz w:val="24"/>
                <w:szCs w:val="32"/>
                <w:highlight w:val="none"/>
                <w:lang w:val="en-US" w:eastAsia="zh-CN" w:bidi="ar-SA"/>
                <w14:textFill>
                  <w14:solidFill>
                    <w14:schemeClr w14:val="tx1"/>
                  </w14:solidFill>
                </w14:textFill>
              </w:rPr>
              <w:t>企业</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应加强管理，杜绝</w:t>
            </w:r>
            <w:r>
              <w:rPr>
                <w:rFonts w:hint="eastAsia" w:cs="Times New Roman"/>
                <w:bCs/>
                <w:color w:val="000000" w:themeColor="text1"/>
                <w:kern w:val="2"/>
                <w:sz w:val="24"/>
                <w:szCs w:val="32"/>
                <w:highlight w:val="none"/>
                <w:lang w:val="en-US" w:eastAsia="zh-CN" w:bidi="ar-SA"/>
                <w14:textFill>
                  <w14:solidFill>
                    <w14:schemeClr w14:val="tx1"/>
                  </w14:solidFill>
                </w14:textFill>
              </w:rPr>
              <w:t>生活污水管</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破裂等事故影响</w:t>
            </w:r>
            <w:r>
              <w:rPr>
                <w:rFonts w:hint="eastAsia" w:cs="Times New Roman"/>
                <w:bCs/>
                <w:color w:val="000000" w:themeColor="text1"/>
                <w:kern w:val="2"/>
                <w:sz w:val="24"/>
                <w:szCs w:val="32"/>
                <w:highlight w:val="none"/>
                <w:lang w:val="en-US" w:eastAsia="zh-CN" w:bidi="ar-SA"/>
                <w14:textFill>
                  <w14:solidFill>
                    <w14:schemeClr w14:val="tx1"/>
                  </w14:solidFill>
                </w14:textFill>
              </w:rPr>
              <w:t>。</w:t>
            </w:r>
          </w:p>
          <w:p w14:paraId="21CE3BB3">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(2)土壤环境</w:t>
            </w:r>
          </w:p>
          <w:p w14:paraId="25D38598">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土壤污染与大气、水体污染有所不同，大气、水体污染比较直观，严重时通过人的感官即能发现，而土壤污染往往是以食物链方式通过粮食、蔬菜、水果、茶叶及草食性动物(如家禽家畜)乃至肉食性动物等最后进入人体而影响人群健康。因此，这是一个逐步累积的过程，具有隐蔽性和潜伏性。</w:t>
            </w:r>
          </w:p>
          <w:p w14:paraId="220B7590">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根据土壤污染物的来源不同</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可将土壤污染分为废水污染型、废气污染型</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固体废物污染型、农业污染型和生物污染型。该项目土壤污染将以废水、固废污染型为主。</w:t>
            </w:r>
          </w:p>
          <w:p w14:paraId="659865C5">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项目生产废气均可达标排放，对区域环境空气贡献值较小，对土壤环境的影响很小。</w:t>
            </w:r>
          </w:p>
          <w:p w14:paraId="4A49748B">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项目生活污水排入市政污水管网。正常情况下，项目运营期</w:t>
            </w:r>
            <w:r>
              <w:rPr>
                <w:rFonts w:hint="eastAsia" w:cs="Times New Roman"/>
                <w:bCs/>
                <w:color w:val="000000" w:themeColor="text1"/>
                <w:kern w:val="2"/>
                <w:sz w:val="24"/>
                <w:szCs w:val="32"/>
                <w:highlight w:val="none"/>
                <w:lang w:val="en-US" w:eastAsia="zh-CN" w:bidi="ar-SA"/>
                <w14:textFill>
                  <w14:solidFill>
                    <w14:schemeClr w14:val="tx1"/>
                  </w14:solidFill>
                </w14:textFill>
              </w:rPr>
              <w:t>生活污水</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对土壤环境的影响不大。</w:t>
            </w:r>
          </w:p>
          <w:p w14:paraId="755A4E1B">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项目产生的危险废物暂存在危险废物间内，危险废物暂存间防渗要求按《危险废物贮存污染控制标准》(GB18597-2023)进行设计，且具有防雨、防渗、防风、防日晒的功能。采取以上措施后，项目危险废物对土壤环境的影响不大。</w:t>
            </w:r>
          </w:p>
          <w:p w14:paraId="178F4CA4">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综上所述，运营</w:t>
            </w:r>
            <w:r>
              <w:rPr>
                <w:rFonts w:hint="eastAsia" w:cs="Times New Roman"/>
                <w:bCs/>
                <w:color w:val="000000" w:themeColor="text1"/>
                <w:kern w:val="2"/>
                <w:sz w:val="24"/>
                <w:szCs w:val="32"/>
                <w:highlight w:val="none"/>
                <w:lang w:val="en-US" w:eastAsia="zh-CN" w:bidi="ar-SA"/>
                <w14:textFill>
                  <w14:solidFill>
                    <w14:schemeClr w14:val="tx1"/>
                  </w14:solidFill>
                </w14:textFill>
              </w:rPr>
              <w:t>期</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排放的污染物对厂址周围的</w:t>
            </w:r>
            <w:r>
              <w:rPr>
                <w:rFonts w:hint="eastAsia" w:cs="Times New Roman"/>
                <w:bCs/>
                <w:color w:val="000000" w:themeColor="text1"/>
                <w:kern w:val="2"/>
                <w:sz w:val="24"/>
                <w:szCs w:val="32"/>
                <w:highlight w:val="none"/>
                <w:lang w:val="en-US" w:eastAsia="zh-CN" w:bidi="ar-SA"/>
                <w14:textFill>
                  <w14:solidFill>
                    <w14:schemeClr w14:val="tx1"/>
                  </w14:solidFill>
                </w14:textFill>
              </w:rPr>
              <w:t>土壤环境</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影响是可以接受的。</w:t>
            </w:r>
          </w:p>
          <w:p w14:paraId="0D7DF6A6">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4.5.2</w:t>
            </w:r>
            <w:r>
              <w:rPr>
                <w:rFonts w:hint="eastAsia"/>
                <w:color w:val="000000" w:themeColor="text1"/>
                <w:sz w:val="24"/>
                <w:szCs w:val="21"/>
                <w:highlight w:val="none"/>
                <w14:textFill>
                  <w14:solidFill>
                    <w14:schemeClr w14:val="tx1"/>
                  </w14:solidFill>
                </w14:textFill>
              </w:rPr>
              <w:t>地下水</w:t>
            </w:r>
            <w:r>
              <w:rPr>
                <w:rFonts w:hint="eastAsia"/>
                <w:color w:val="000000" w:themeColor="text1"/>
                <w:sz w:val="24"/>
                <w:szCs w:val="21"/>
                <w:highlight w:val="none"/>
                <w:lang w:eastAsia="zh-CN"/>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土壤环境防控措施</w:t>
            </w:r>
          </w:p>
          <w:p w14:paraId="6C134AE2">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(1)防渗措施</w:t>
            </w:r>
          </w:p>
          <w:p w14:paraId="76497CC1">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①</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合理进行防渗区域划分</w:t>
            </w:r>
          </w:p>
          <w:p w14:paraId="774391C9">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根据本项目厂区可能泄漏至地面区域污染物的性质和生产单元的构筑方式，将厂区划分为重点</w:t>
            </w:r>
            <w:r>
              <w:rPr>
                <w:rFonts w:hint="eastAsia" w:cs="Times New Roman"/>
                <w:bCs/>
                <w:color w:val="000000" w:themeColor="text1"/>
                <w:kern w:val="2"/>
                <w:sz w:val="24"/>
                <w:szCs w:val="32"/>
                <w:highlight w:val="none"/>
                <w:lang w:val="en-US" w:eastAsia="zh-CN" w:bidi="ar-SA"/>
                <w14:textFill>
                  <w14:solidFill>
                    <w14:schemeClr w14:val="tx1"/>
                  </w14:solidFill>
                </w14:textFill>
              </w:rPr>
              <w:t>防渗区</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w:t>
            </w:r>
            <w:r>
              <w:rPr>
                <w:rFonts w:hint="eastAsia" w:cs="Times New Roman"/>
                <w:bCs/>
                <w:color w:val="000000" w:themeColor="text1"/>
                <w:kern w:val="2"/>
                <w:sz w:val="24"/>
                <w:szCs w:val="32"/>
                <w:highlight w:val="none"/>
                <w:lang w:val="en-US" w:eastAsia="zh-CN" w:bidi="ar-SA"/>
                <w14:textFill>
                  <w14:solidFill>
                    <w14:schemeClr w14:val="tx1"/>
                  </w14:solidFill>
                </w14:textFill>
              </w:rPr>
              <w:t>简单防渗区</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，针对不同的区域提出相应的防渗要求。结合项目的特点，项目防渗防治分区见</w:t>
            </w:r>
            <w:r>
              <w:rPr>
                <w:rFonts w:hint="eastAsia" w:cs="Times New Roman"/>
                <w:bCs/>
                <w:color w:val="000000" w:themeColor="text1"/>
                <w:kern w:val="2"/>
                <w:sz w:val="24"/>
                <w:szCs w:val="32"/>
                <w:highlight w:val="none"/>
                <w:lang w:val="en-US" w:eastAsia="zh-CN" w:bidi="ar-SA"/>
                <w14:textFill>
                  <w14:solidFill>
                    <w14:schemeClr w14:val="tx1"/>
                  </w14:solidFill>
                </w14:textFill>
              </w:rPr>
              <w:t>下</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表。</w:t>
            </w:r>
          </w:p>
          <w:p w14:paraId="39921848">
            <w:pPr>
              <w:spacing w:line="360" w:lineRule="auto"/>
              <w:jc w:val="center"/>
              <w:rPr>
                <w:rFonts w:ascii="宋体" w:cs="宋体"/>
                <w:b/>
                <w:bCs w:val="0"/>
                <w:color w:val="000000" w:themeColor="text1"/>
                <w:kern w:val="0"/>
                <w:sz w:val="24"/>
                <w:szCs w:val="24"/>
                <w:highlight w:val="none"/>
                <w14:textFill>
                  <w14:solidFill>
                    <w14:schemeClr w14:val="tx1"/>
                  </w14:solidFill>
                </w14:textFill>
              </w:rPr>
            </w:pPr>
            <w:r>
              <w:rPr>
                <w:rFonts w:hint="eastAsia" w:cs="宋体"/>
                <w:b/>
                <w:bCs w:val="0"/>
                <w:color w:val="000000" w:themeColor="text1"/>
                <w:sz w:val="24"/>
                <w:szCs w:val="24"/>
                <w:highlight w:val="none"/>
                <w14:textFill>
                  <w14:solidFill>
                    <w14:schemeClr w14:val="tx1"/>
                  </w14:solidFill>
                </w14:textFill>
              </w:rPr>
              <w:t xml:space="preserve">表 </w:t>
            </w:r>
            <w:r>
              <w:rPr>
                <w:rFonts w:hint="eastAsia"/>
                <w:b/>
                <w:bCs w:val="0"/>
                <w:color w:val="000000" w:themeColor="text1"/>
                <w:sz w:val="24"/>
                <w:szCs w:val="24"/>
                <w:highlight w:val="none"/>
                <w:lang w:val="en-US" w:eastAsia="zh-CN"/>
                <w14:textFill>
                  <w14:solidFill>
                    <w14:schemeClr w14:val="tx1"/>
                  </w14:solidFill>
                </w14:textFill>
              </w:rPr>
              <w:t>4.5-1</w:t>
            </w:r>
            <w:r>
              <w:rPr>
                <w:b/>
                <w:bCs w:val="0"/>
                <w:color w:val="000000" w:themeColor="text1"/>
                <w:sz w:val="24"/>
                <w:szCs w:val="24"/>
                <w:highlight w:val="none"/>
                <w14:textFill>
                  <w14:solidFill>
                    <w14:schemeClr w14:val="tx1"/>
                  </w14:solidFill>
                </w14:textFill>
              </w:rPr>
              <w:t xml:space="preserve">  </w:t>
            </w:r>
            <w:r>
              <w:rPr>
                <w:rFonts w:hint="eastAsia"/>
                <w:b/>
                <w:bCs w:val="0"/>
                <w:color w:val="000000" w:themeColor="text1"/>
                <w:sz w:val="24"/>
                <w:szCs w:val="24"/>
                <w:highlight w:val="none"/>
                <w:lang w:val="en-US" w:eastAsia="zh-CN"/>
                <w14:textFill>
                  <w14:solidFill>
                    <w14:schemeClr w14:val="tx1"/>
                  </w14:solidFill>
                </w14:textFill>
              </w:rPr>
              <w:t>项目防渗防治分区</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20"/>
              <w:gridCol w:w="3883"/>
              <w:gridCol w:w="2618"/>
            </w:tblGrid>
            <w:tr w14:paraId="5879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7" w:hRule="atLeast"/>
              </w:trPr>
              <w:tc>
                <w:tcPr>
                  <w:tcW w:w="1547" w:type="dxa"/>
                  <w:shd w:val="clear" w:color="auto" w:fill="auto"/>
                  <w:vAlign w:val="center"/>
                </w:tcPr>
                <w:p w14:paraId="74759280">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防治分区</w:t>
                  </w:r>
                </w:p>
              </w:tc>
              <w:tc>
                <w:tcPr>
                  <w:tcW w:w="3709" w:type="dxa"/>
                  <w:shd w:val="clear" w:color="auto" w:fill="auto"/>
                  <w:vAlign w:val="center"/>
                </w:tcPr>
                <w:p w14:paraId="585250E1">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装置或者构筑物名称</w:t>
                  </w:r>
                </w:p>
              </w:tc>
              <w:tc>
                <w:tcPr>
                  <w:tcW w:w="2501" w:type="dxa"/>
                  <w:shd w:val="clear" w:color="auto" w:fill="auto"/>
                  <w:vAlign w:val="center"/>
                </w:tcPr>
                <w:p w14:paraId="0CFE3E1F">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防渗区域</w:t>
                  </w:r>
                </w:p>
              </w:tc>
            </w:tr>
            <w:tr w14:paraId="7D2F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47" w:type="dxa"/>
                  <w:shd w:val="clear" w:color="auto" w:fill="auto"/>
                  <w:vAlign w:val="center"/>
                </w:tcPr>
                <w:p w14:paraId="64B8D894">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重点防渗区</w:t>
                  </w:r>
                </w:p>
              </w:tc>
              <w:tc>
                <w:tcPr>
                  <w:tcW w:w="3709" w:type="dxa"/>
                  <w:shd w:val="clear" w:color="auto" w:fill="auto"/>
                  <w:vAlign w:val="center"/>
                </w:tcPr>
                <w:p w14:paraId="1FC2DD92">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危废暂存间</w:t>
                  </w:r>
                </w:p>
              </w:tc>
              <w:tc>
                <w:tcPr>
                  <w:tcW w:w="2501" w:type="dxa"/>
                  <w:shd w:val="clear" w:color="auto" w:fill="auto"/>
                  <w:vAlign w:val="center"/>
                </w:tcPr>
                <w:p w14:paraId="4988A7DE">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地面</w:t>
                  </w:r>
                </w:p>
              </w:tc>
            </w:tr>
            <w:tr w14:paraId="001B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1547" w:type="dxa"/>
                  <w:shd w:val="clear" w:color="auto" w:fill="auto"/>
                  <w:vAlign w:val="center"/>
                </w:tcPr>
                <w:p w14:paraId="6E9E9A16">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简单防渗区</w:t>
                  </w:r>
                </w:p>
              </w:tc>
              <w:tc>
                <w:tcPr>
                  <w:tcW w:w="3709" w:type="dxa"/>
                  <w:shd w:val="clear" w:color="auto" w:fill="auto"/>
                  <w:vAlign w:val="center"/>
                </w:tcPr>
                <w:p w14:paraId="617C9041">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项目生产车间等其他区域</w:t>
                  </w:r>
                </w:p>
              </w:tc>
              <w:tc>
                <w:tcPr>
                  <w:tcW w:w="2501" w:type="dxa"/>
                  <w:shd w:val="clear" w:color="auto" w:fill="auto"/>
                  <w:vAlign w:val="center"/>
                </w:tcPr>
                <w:p w14:paraId="44E2196C">
                  <w:pPr>
                    <w:jc w:val="center"/>
                    <w:rPr>
                      <w:rFonts w:hint="default" w:eastAsia="宋体"/>
                      <w:color w:val="000000" w:themeColor="text1"/>
                      <w:sz w:val="21"/>
                      <w:szCs w:val="24"/>
                      <w:highlight w:val="none"/>
                      <w:lang w:val="en-US" w:eastAsia="zh-CN"/>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地面</w:t>
                  </w:r>
                </w:p>
              </w:tc>
            </w:tr>
          </w:tbl>
          <w:p w14:paraId="4AC1BA17">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②防渗要求</w:t>
            </w:r>
          </w:p>
          <w:p w14:paraId="0DBE43A4">
            <w:pPr>
              <w:spacing w:line="360" w:lineRule="auto"/>
              <w:ind w:firstLine="480" w:firstLineChars="200"/>
              <w:rPr>
                <w:rFonts w:hint="eastAsia"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根据《环境影响评价技术导则地下水环境》(HJ610-2016)的要求，重点防渗区的防渗性能</w:t>
            </w:r>
            <w:r>
              <w:rPr>
                <w:rFonts w:hint="eastAsia" w:cs="Times New Roman"/>
                <w:bCs/>
                <w:color w:val="000000" w:themeColor="text1"/>
                <w:kern w:val="2"/>
                <w:sz w:val="24"/>
                <w:szCs w:val="32"/>
                <w:highlight w:val="none"/>
                <w:lang w:val="en-US" w:eastAsia="zh-CN" w:bidi="ar-SA"/>
                <w14:textFill>
                  <w14:solidFill>
                    <w14:schemeClr w14:val="tx1"/>
                  </w14:solidFill>
                </w14:textFill>
              </w:rPr>
              <w:t>为：</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等效黏土防渗层</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6.0m，渗透系数</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1.0</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10</w:t>
            </w:r>
            <w:r>
              <w:rPr>
                <w:rFonts w:hint="eastAsia" w:cs="Times New Roman"/>
                <w:bCs/>
                <w:color w:val="000000" w:themeColor="text1"/>
                <w:kern w:val="2"/>
                <w:sz w:val="24"/>
                <w:szCs w:val="32"/>
                <w:highlight w:val="none"/>
                <w:vertAlign w:val="superscript"/>
                <w:lang w:val="en-US" w:eastAsia="zh-CN" w:bidi="ar-SA"/>
                <w14:textFill>
                  <w14:solidFill>
                    <w14:schemeClr w14:val="tx1"/>
                  </w14:solidFill>
                </w14:textFill>
              </w:rPr>
              <w:t>-7</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cm</w:t>
            </w:r>
            <w:r>
              <w:rPr>
                <w:rFonts w:hint="eastAsia" w:cs="Times New Roman"/>
                <w:bCs/>
                <w:color w:val="000000" w:themeColor="text1"/>
                <w:kern w:val="2"/>
                <w:sz w:val="24"/>
                <w:szCs w:val="32"/>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s。危险废物暂存场重点防渗区应按照《危险废物污染防治技术政策》及《危险废物贮存污染控制标准》(GB18597-2023)等危险废物处理的相关标准、法律法规的要求</w:t>
            </w:r>
            <w:r>
              <w:rPr>
                <w:rFonts w:hint="eastAsia" w:cs="Times New Roman"/>
                <w:bCs/>
                <w:color w:val="000000" w:themeColor="text1"/>
                <w:kern w:val="2"/>
                <w:sz w:val="24"/>
                <w:szCs w:val="32"/>
                <w:highlight w:val="none"/>
                <w:lang w:val="en-US" w:eastAsia="zh-CN" w:bidi="ar-SA"/>
                <w14:textFill>
                  <w14:solidFill>
                    <w14:schemeClr w14:val="tx1"/>
                  </w14:solidFill>
                </w14:textFill>
              </w:rPr>
              <w:t>。</w:t>
            </w:r>
          </w:p>
          <w:p w14:paraId="5A7D5E3C">
            <w:pPr>
              <w:spacing w:line="360" w:lineRule="auto"/>
              <w:ind w:firstLine="480" w:firstLineChars="200"/>
              <w:rPr>
                <w:rFonts w:hint="default"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根据《环境影响评价技术导则地下水环境》(HJ610-2016)，</w:t>
            </w:r>
            <w:r>
              <w:rPr>
                <w:rFonts w:hint="eastAsia" w:cs="Times New Roman"/>
                <w:bCs/>
                <w:color w:val="000000" w:themeColor="text1"/>
                <w:kern w:val="2"/>
                <w:sz w:val="24"/>
                <w:szCs w:val="32"/>
                <w:highlight w:val="none"/>
                <w:lang w:val="en-US" w:eastAsia="zh-CN" w:bidi="ar-SA"/>
                <w14:textFill>
                  <w14:solidFill>
                    <w14:schemeClr w14:val="tx1"/>
                  </w14:solidFill>
                </w14:textFill>
              </w:rPr>
              <w:t>简单防渗区要求为一般地面硬化。一般工业固体废物暂存场一般防渗区应按照《一般工业固体废物贮存处置场污染控制标准》中固废临时贮存场所的要求进行设计。</w:t>
            </w:r>
          </w:p>
          <w:p w14:paraId="22B3EC45">
            <w:pPr>
              <w:spacing w:line="360" w:lineRule="auto"/>
              <w:ind w:firstLine="480" w:firstLineChars="200"/>
              <w:rPr>
                <w:rFonts w:hint="default"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cs="Times New Roman"/>
                <w:bCs/>
                <w:color w:val="000000" w:themeColor="text1"/>
                <w:kern w:val="2"/>
                <w:sz w:val="24"/>
                <w:szCs w:val="32"/>
                <w:highlight w:val="none"/>
                <w:lang w:val="en-US" w:eastAsia="zh-CN" w:bidi="ar-SA"/>
                <w14:textFill>
                  <w14:solidFill>
                    <w14:schemeClr w14:val="tx1"/>
                  </w14:solidFill>
                </w14:textFill>
              </w:rPr>
              <w:t>（2）监控措施</w:t>
            </w:r>
          </w:p>
          <w:p w14:paraId="409E2AEF">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①建立健全环境管理和监测制度，保证各环保设施正常运转，同时强化风险防范意识，如遇环保设施不能正常运转，应立即停产检修</w:t>
            </w:r>
            <w:r>
              <w:rPr>
                <w:rFonts w:hint="eastAsia" w:cs="Times New Roman"/>
                <w:bCs/>
                <w:color w:val="000000" w:themeColor="text1"/>
                <w:kern w:val="2"/>
                <w:sz w:val="24"/>
                <w:szCs w:val="32"/>
                <w:highlight w:val="none"/>
                <w:lang w:val="en-US" w:eastAsia="zh-CN" w:bidi="ar-SA"/>
                <w14:textFill>
                  <w14:solidFill>
                    <w14:schemeClr w14:val="tx1"/>
                  </w14:solidFill>
                </w14:textFill>
              </w:rPr>
              <w:t>；</w:t>
            </w:r>
          </w:p>
          <w:p w14:paraId="0C1D4D42">
            <w:pPr>
              <w:spacing w:line="360" w:lineRule="auto"/>
              <w:ind w:firstLine="480" w:firstLineChars="200"/>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②若发生危险废物泄漏等，必要时委托有资质的单位对厂址周边地下水、土壤等进行跟踪监测，掌握厂址周边污染变化趋势。</w:t>
            </w:r>
          </w:p>
          <w:p w14:paraId="51E41370">
            <w:pPr>
              <w:spacing w:line="360" w:lineRule="auto"/>
              <w:ind w:firstLine="480" w:firstLineChars="200"/>
              <w:rPr>
                <w:rFonts w:hint="eastAsia" w:cs="Times New Roman"/>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32"/>
                <w:highlight w:val="none"/>
                <w:lang w:val="en-US" w:eastAsia="zh-CN" w:bidi="ar-SA"/>
                <w14:textFill>
                  <w14:solidFill>
                    <w14:schemeClr w14:val="tx1"/>
                  </w14:solidFill>
                </w14:textFill>
              </w:rPr>
              <w:t>③在今后的生产活动中，做好设备的维护、检修，杜绝跑、冒、滴、漏现象。同时，加强污染物产生主要环节的收集治理，加强厂区的安全防护、环境风险防范措施，以便及时发现事故隐患，及时采取有效的应对措施</w:t>
            </w:r>
            <w:r>
              <w:rPr>
                <w:rFonts w:hint="eastAsia" w:cs="Times New Roman"/>
                <w:bCs/>
                <w:color w:val="000000" w:themeColor="text1"/>
                <w:kern w:val="2"/>
                <w:sz w:val="24"/>
                <w:szCs w:val="32"/>
                <w:highlight w:val="none"/>
                <w:lang w:val="en-US" w:eastAsia="zh-CN" w:bidi="ar-SA"/>
                <w14:textFill>
                  <w14:solidFill>
                    <w14:schemeClr w14:val="tx1"/>
                  </w14:solidFill>
                </w14:textFill>
              </w:rPr>
              <w:t>。</w:t>
            </w:r>
          </w:p>
          <w:p w14:paraId="3E12AA8C">
            <w:pPr>
              <w:pStyle w:val="37"/>
              <w:spacing w:before="120" w:beforeLines="50"/>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14:textFill>
                  <w14:solidFill>
                    <w14:schemeClr w14:val="tx1"/>
                  </w14:solidFill>
                </w14:textFill>
              </w:rPr>
              <w:t>4</w:t>
            </w:r>
            <w:r>
              <w:rPr>
                <w:color w:val="000000" w:themeColor="text1"/>
                <w:sz w:val="24"/>
                <w:szCs w:val="21"/>
                <w:highlight w:val="none"/>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6生态环境影响分析</w:t>
            </w:r>
          </w:p>
          <w:p w14:paraId="5D9BF52D">
            <w:pPr>
              <w:spacing w:line="360" w:lineRule="auto"/>
              <w:ind w:firstLine="480" w:firstLineChars="200"/>
              <w:rPr>
                <w:rFonts w:hint="eastAsia"/>
                <w:color w:val="000000" w:themeColor="text1"/>
                <w:sz w:val="24"/>
                <w:szCs w:val="21"/>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本项目租用福建省菲格园区开发管理有限公司在福建省福州市闽侯县南屿镇窗厦村尧溪路3号1#厂房1层，不涉及新增占地，不会对周边生态环境产生影响。</w:t>
            </w:r>
          </w:p>
          <w:p w14:paraId="06B6E5CB">
            <w:pPr>
              <w:pStyle w:val="37"/>
              <w:spacing w:before="120" w:beforeLines="50"/>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14:textFill>
                  <w14:solidFill>
                    <w14:schemeClr w14:val="tx1"/>
                  </w14:solidFill>
                </w14:textFill>
              </w:rPr>
              <w:t>4</w:t>
            </w:r>
            <w:r>
              <w:rPr>
                <w:color w:val="000000" w:themeColor="text1"/>
                <w:sz w:val="24"/>
                <w:szCs w:val="21"/>
                <w:highlight w:val="none"/>
                <w14:textFill>
                  <w14:solidFill>
                    <w14:schemeClr w14:val="tx1"/>
                  </w14:solidFill>
                </w14:textFill>
              </w:rPr>
              <w:t>.</w:t>
            </w:r>
            <w:r>
              <w:rPr>
                <w:rFonts w:hint="eastAsia"/>
                <w:color w:val="000000" w:themeColor="text1"/>
                <w:sz w:val="24"/>
                <w:szCs w:val="21"/>
                <w:highlight w:val="none"/>
                <w:lang w:val="en-US" w:eastAsia="zh-CN"/>
                <w14:textFill>
                  <w14:solidFill>
                    <w14:schemeClr w14:val="tx1"/>
                  </w14:solidFill>
                </w14:textFill>
              </w:rPr>
              <w:t>7</w:t>
            </w:r>
            <w:r>
              <w:rPr>
                <w:color w:val="000000" w:themeColor="text1"/>
                <w:sz w:val="24"/>
                <w:szCs w:val="21"/>
                <w:highlight w:val="none"/>
                <w14:textFill>
                  <w14:solidFill>
                    <w14:schemeClr w14:val="tx1"/>
                  </w14:solidFill>
                </w14:textFill>
              </w:rPr>
              <w:t>环境风险</w:t>
            </w:r>
            <w:r>
              <w:rPr>
                <w:rFonts w:hint="eastAsia"/>
                <w:color w:val="000000" w:themeColor="text1"/>
                <w:sz w:val="24"/>
                <w:szCs w:val="21"/>
                <w:highlight w:val="none"/>
                <w:lang w:val="en-US" w:eastAsia="zh-CN"/>
                <w14:textFill>
                  <w14:solidFill>
                    <w14:schemeClr w14:val="tx1"/>
                  </w14:solidFill>
                </w14:textFill>
              </w:rPr>
              <w:t>影响分析和保护措施</w:t>
            </w:r>
          </w:p>
          <w:p w14:paraId="5CD7640F">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4.7.1项目风险物质调查</w:t>
            </w:r>
          </w:p>
          <w:p w14:paraId="66238CC5">
            <w:pPr>
              <w:pStyle w:val="66"/>
              <w:ind w:firstLine="420"/>
              <w:rPr>
                <w:rFonts w:hint="default" w:ascii="Times New Roman" w:hAnsi="Times New Roman" w:cs="Times New Roman"/>
                <w:color w:val="000000" w:themeColor="text1"/>
                <w:sz w:val="24"/>
                <w:szCs w:val="18"/>
                <w:highlight w:val="none"/>
                <w14:textFill>
                  <w14:solidFill>
                    <w14:schemeClr w14:val="tx1"/>
                  </w14:solidFill>
                </w14:textFill>
              </w:rPr>
            </w:pPr>
            <w:r>
              <w:rPr>
                <w:rFonts w:hint="default" w:ascii="Times New Roman" w:hAnsi="Times New Roman" w:cs="Times New Roman"/>
                <w:color w:val="000000" w:themeColor="text1"/>
                <w:sz w:val="24"/>
                <w:szCs w:val="18"/>
                <w:highlight w:val="none"/>
                <w14:textFill>
                  <w14:solidFill>
                    <w14:schemeClr w14:val="tx1"/>
                  </w14:solidFill>
                </w14:textFill>
              </w:rPr>
              <w:t>根据本项目涉及的原辅材料、产品、污染物等种类，经查询《建设项目环境风险评价技术导则》HJ169-2018)附录B可知，</w:t>
            </w:r>
            <w:r>
              <w:rPr>
                <w:rFonts w:hint="eastAsia" w:ascii="Times New Roman" w:hAnsi="Times New Roman" w:cs="Times New Roman"/>
                <w:color w:val="000000" w:themeColor="text1"/>
                <w:sz w:val="24"/>
                <w:szCs w:val="18"/>
                <w:highlight w:val="none"/>
                <w:lang w:val="en-US" w:eastAsia="zh-CN"/>
                <w14:textFill>
                  <w14:solidFill>
                    <w14:schemeClr w14:val="tx1"/>
                  </w14:solidFill>
                </w14:textFill>
              </w:rPr>
              <w:t>本项目</w:t>
            </w:r>
            <w:r>
              <w:rPr>
                <w:rFonts w:hint="default" w:ascii="Times New Roman" w:hAnsi="Times New Roman" w:cs="Times New Roman"/>
                <w:color w:val="000000" w:themeColor="text1"/>
                <w:sz w:val="24"/>
                <w:szCs w:val="18"/>
                <w:highlight w:val="none"/>
                <w14:textFill>
                  <w14:solidFill>
                    <w14:schemeClr w14:val="tx1"/>
                  </w14:solidFill>
                </w14:textFill>
              </w:rPr>
              <w:t>涉及</w:t>
            </w:r>
            <w:r>
              <w:rPr>
                <w:rFonts w:hint="eastAsia" w:ascii="Times New Roman" w:hAnsi="Times New Roman" w:cs="Times New Roman"/>
                <w:color w:val="000000" w:themeColor="text1"/>
                <w:sz w:val="24"/>
                <w:szCs w:val="18"/>
                <w:highlight w:val="none"/>
                <w:lang w:val="en-US" w:eastAsia="zh-CN"/>
                <w14:textFill>
                  <w14:solidFill>
                    <w14:schemeClr w14:val="tx1"/>
                  </w14:solidFill>
                </w14:textFill>
              </w:rPr>
              <w:t>的</w:t>
            </w:r>
            <w:r>
              <w:rPr>
                <w:rFonts w:hint="default" w:ascii="Times New Roman" w:hAnsi="Times New Roman" w:cs="Times New Roman"/>
                <w:color w:val="000000" w:themeColor="text1"/>
                <w:sz w:val="24"/>
                <w:szCs w:val="18"/>
                <w:highlight w:val="none"/>
                <w14:textFill>
                  <w14:solidFill>
                    <w14:schemeClr w14:val="tx1"/>
                  </w14:solidFill>
                </w14:textFill>
              </w:rPr>
              <w:t>危险</w:t>
            </w:r>
            <w:r>
              <w:rPr>
                <w:rFonts w:hint="eastAsia" w:cs="Times New Roman"/>
                <w:color w:val="000000" w:themeColor="text1"/>
                <w:sz w:val="24"/>
                <w:szCs w:val="18"/>
                <w:highlight w:val="none"/>
                <w:lang w:eastAsia="zh-CN"/>
                <w14:textFill>
                  <w14:solidFill>
                    <w14:schemeClr w14:val="tx1"/>
                  </w14:solidFill>
                </w14:textFill>
              </w:rPr>
              <w:t>物质</w:t>
            </w:r>
            <w:r>
              <w:rPr>
                <w:rFonts w:hint="eastAsia" w:ascii="Times New Roman" w:hAnsi="Times New Roman" w:cs="Times New Roman"/>
                <w:color w:val="000000" w:themeColor="text1"/>
                <w:sz w:val="24"/>
                <w:szCs w:val="18"/>
                <w:highlight w:val="none"/>
                <w:lang w:val="en-US" w:eastAsia="zh-CN"/>
                <w14:textFill>
                  <w14:solidFill>
                    <w14:schemeClr w14:val="tx1"/>
                  </w14:solidFill>
                </w14:textFill>
              </w:rPr>
              <w:t>主要</w:t>
            </w:r>
            <w:r>
              <w:rPr>
                <w:rFonts w:hint="default" w:ascii="Times New Roman" w:hAnsi="Times New Roman" w:cs="Times New Roman"/>
                <w:color w:val="000000" w:themeColor="text1"/>
                <w:sz w:val="24"/>
                <w:szCs w:val="18"/>
                <w:highlight w:val="none"/>
                <w14:textFill>
                  <w14:solidFill>
                    <w14:schemeClr w14:val="tx1"/>
                  </w14:solidFill>
                </w14:textFill>
              </w:rPr>
              <w:t>是无水乙醇、乙醚、丙酮、废切削油液等。详见</w:t>
            </w:r>
            <w:r>
              <w:rPr>
                <w:rFonts w:hint="eastAsia" w:ascii="Times New Roman" w:hAnsi="Times New Roman" w:cs="Times New Roman"/>
                <w:color w:val="000000" w:themeColor="text1"/>
                <w:sz w:val="24"/>
                <w:szCs w:val="18"/>
                <w:highlight w:val="none"/>
                <w:lang w:val="en-US" w:eastAsia="zh-CN"/>
                <w14:textFill>
                  <w14:solidFill>
                    <w14:schemeClr w14:val="tx1"/>
                  </w14:solidFill>
                </w14:textFill>
              </w:rPr>
              <w:t>下</w:t>
            </w:r>
            <w:r>
              <w:rPr>
                <w:rFonts w:hint="default" w:ascii="Times New Roman" w:hAnsi="Times New Roman" w:cs="Times New Roman"/>
                <w:color w:val="000000" w:themeColor="text1"/>
                <w:sz w:val="24"/>
                <w:szCs w:val="18"/>
                <w:highlight w:val="none"/>
                <w14:textFill>
                  <w14:solidFill>
                    <w14:schemeClr w14:val="tx1"/>
                  </w14:solidFill>
                </w14:textFill>
              </w:rPr>
              <w:t>表。</w:t>
            </w:r>
          </w:p>
          <w:p w14:paraId="54EF8A6F">
            <w:pPr>
              <w:pStyle w:val="83"/>
              <w:spacing w:line="360" w:lineRule="auto"/>
              <w:rPr>
                <w:rFonts w:hint="eastAsia"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pPr>
            <w:bookmarkStart w:id="13" w:name="_Hlk160480025"/>
            <w:r>
              <w:rPr>
                <w:rFonts w:hint="eastAsia" w:hAnsi="Times New Roman" w:eastAsia="宋体" w:cs="宋体"/>
                <w:b/>
                <w:bCs w:val="0"/>
                <w:color w:val="000000" w:themeColor="text1"/>
                <w:kern w:val="2"/>
                <w:sz w:val="24"/>
                <w:szCs w:val="24"/>
                <w:highlight w:val="none"/>
                <w:lang w:val="en-US" w:eastAsia="zh-CN" w:bidi="ar-SA"/>
                <w14:textFill>
                  <w14:solidFill>
                    <w14:schemeClr w14:val="tx1"/>
                  </w14:solidFill>
                </w14:textFill>
              </w:rPr>
              <w:t>表4.7-1</w:t>
            </w:r>
            <w:r>
              <w:rPr>
                <w:rFonts w:hint="eastAsia"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End w:id="13"/>
            <w:r>
              <w:rPr>
                <w:rFonts w:hint="eastAsia"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t xml:space="preserve"> </w:t>
            </w:r>
            <w:r>
              <w:rPr>
                <w:rFonts w:hint="eastAsia" w:hAnsi="Times New Roman" w:eastAsia="宋体" w:cs="宋体"/>
                <w:b/>
                <w:bCs w:val="0"/>
                <w:color w:val="000000" w:themeColor="text1"/>
                <w:kern w:val="2"/>
                <w:sz w:val="24"/>
                <w:szCs w:val="24"/>
                <w:highlight w:val="none"/>
                <w:lang w:val="en-US" w:eastAsia="zh-CN" w:bidi="ar-SA"/>
                <w14:textFill>
                  <w14:solidFill>
                    <w14:schemeClr w14:val="tx1"/>
                  </w14:solidFill>
                </w14:textFill>
              </w:rPr>
              <w:t>环境风险物质</w:t>
            </w:r>
            <w:r>
              <w:rPr>
                <w:rFonts w:hint="eastAsia"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t>Q值计算</w:t>
            </w:r>
            <w:r>
              <w:rPr>
                <w:rFonts w:hint="eastAsia" w:hAnsi="Times New Roman" w:eastAsia="宋体" w:cs="宋体"/>
                <w:b/>
                <w:bCs w:val="0"/>
                <w:color w:val="000000" w:themeColor="text1"/>
                <w:kern w:val="2"/>
                <w:sz w:val="24"/>
                <w:szCs w:val="24"/>
                <w:highlight w:val="none"/>
                <w:lang w:val="en-US" w:eastAsia="zh-CN" w:bidi="ar-SA"/>
                <w14:textFill>
                  <w14:solidFill>
                    <w14:schemeClr w14:val="tx1"/>
                  </w14:solidFill>
                </w14:textFill>
              </w:rPr>
              <w:t>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587"/>
              <w:gridCol w:w="1927"/>
              <w:gridCol w:w="2625"/>
            </w:tblGrid>
            <w:tr w14:paraId="238A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2C978174">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物质名称</w:t>
                  </w:r>
                </w:p>
              </w:tc>
              <w:tc>
                <w:tcPr>
                  <w:tcW w:w="977" w:type="pct"/>
                  <w:shd w:val="clear" w:color="auto" w:fill="auto"/>
                  <w:vAlign w:val="center"/>
                </w:tcPr>
                <w:p w14:paraId="20F08E75">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临界量（t）</w:t>
                  </w:r>
                </w:p>
              </w:tc>
              <w:tc>
                <w:tcPr>
                  <w:tcW w:w="1186" w:type="pct"/>
                  <w:shd w:val="clear" w:color="auto" w:fill="auto"/>
                  <w:vAlign w:val="center"/>
                </w:tcPr>
                <w:p w14:paraId="444C697E">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最大</w:t>
                  </w:r>
                  <w:r>
                    <w:rPr>
                      <w:rFonts w:hint="eastAsia"/>
                      <w:color w:val="000000" w:themeColor="text1"/>
                      <w:sz w:val="21"/>
                      <w:szCs w:val="21"/>
                      <w:highlight w:val="none"/>
                      <w:lang w:eastAsia="zh-CN"/>
                      <w14:textFill>
                        <w14:solidFill>
                          <w14:schemeClr w14:val="tx1"/>
                        </w14:solidFill>
                      </w14:textFill>
                    </w:rPr>
                    <w:t>存在</w:t>
                  </w:r>
                  <w:r>
                    <w:rPr>
                      <w:rFonts w:hint="eastAsia"/>
                      <w:color w:val="000000" w:themeColor="text1"/>
                      <w:sz w:val="21"/>
                      <w:szCs w:val="21"/>
                      <w:highlight w:val="none"/>
                      <w14:textFill>
                        <w14:solidFill>
                          <w14:schemeClr w14:val="tx1"/>
                        </w14:solidFill>
                      </w14:textFill>
                    </w:rPr>
                    <w:t>量（t）</w:t>
                  </w:r>
                </w:p>
              </w:tc>
              <w:tc>
                <w:tcPr>
                  <w:tcW w:w="1616" w:type="pct"/>
                  <w:shd w:val="clear" w:color="auto" w:fill="auto"/>
                  <w:vAlign w:val="center"/>
                </w:tcPr>
                <w:p w14:paraId="6CA3D917">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该种危险物质Q值</w:t>
                  </w:r>
                </w:p>
              </w:tc>
            </w:tr>
            <w:tr w14:paraId="1990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219" w:type="pct"/>
                  <w:shd w:val="clear" w:color="auto" w:fill="auto"/>
                  <w:vAlign w:val="center"/>
                </w:tcPr>
                <w:p w14:paraId="7A11EAE2">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无水乙醇</w:t>
                  </w:r>
                </w:p>
              </w:tc>
              <w:tc>
                <w:tcPr>
                  <w:tcW w:w="977" w:type="pct"/>
                  <w:shd w:val="clear" w:color="auto" w:fill="auto"/>
                  <w:vAlign w:val="center"/>
                </w:tcPr>
                <w:p w14:paraId="3A17D0FE">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w:t>
                  </w:r>
                </w:p>
              </w:tc>
              <w:tc>
                <w:tcPr>
                  <w:tcW w:w="1186" w:type="pct"/>
                  <w:shd w:val="clear" w:color="auto" w:fill="auto"/>
                  <w:vAlign w:val="center"/>
                </w:tcPr>
                <w:p w14:paraId="76353B74">
                  <w:pPr>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0.55</w:t>
                  </w:r>
                </w:p>
              </w:tc>
              <w:tc>
                <w:tcPr>
                  <w:tcW w:w="1616" w:type="pct"/>
                  <w:shd w:val="clear" w:color="auto" w:fill="auto"/>
                  <w:vAlign w:val="center"/>
                </w:tcPr>
                <w:p w14:paraId="3BFC881E">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0.0011</w:t>
                  </w:r>
                </w:p>
              </w:tc>
            </w:tr>
            <w:tr w14:paraId="3D28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1C9F78DF">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无水乙醚</w:t>
                  </w:r>
                </w:p>
              </w:tc>
              <w:tc>
                <w:tcPr>
                  <w:tcW w:w="977" w:type="pct"/>
                  <w:shd w:val="clear" w:color="auto" w:fill="auto"/>
                  <w:vAlign w:val="center"/>
                </w:tcPr>
                <w:p w14:paraId="2F82C224">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186" w:type="pct"/>
                  <w:shd w:val="clear" w:color="auto" w:fill="auto"/>
                  <w:vAlign w:val="center"/>
                </w:tcPr>
                <w:p w14:paraId="570251EF">
                  <w:pPr>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1616" w:type="pct"/>
                  <w:shd w:val="clear" w:color="auto" w:fill="auto"/>
                  <w:vAlign w:val="center"/>
                </w:tcPr>
                <w:p w14:paraId="0628B7CE">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r>
            <w:tr w14:paraId="586C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4B0B0650">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无水丙酮</w:t>
                  </w:r>
                </w:p>
              </w:tc>
              <w:tc>
                <w:tcPr>
                  <w:tcW w:w="977" w:type="pct"/>
                  <w:shd w:val="clear" w:color="auto" w:fill="auto"/>
                  <w:vAlign w:val="center"/>
                </w:tcPr>
                <w:p w14:paraId="5BE2F8BF">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186" w:type="pct"/>
                  <w:shd w:val="clear" w:color="auto" w:fill="auto"/>
                  <w:vAlign w:val="center"/>
                </w:tcPr>
                <w:p w14:paraId="4003E947">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w:t>
                  </w:r>
                </w:p>
              </w:tc>
              <w:tc>
                <w:tcPr>
                  <w:tcW w:w="1616" w:type="pct"/>
                  <w:shd w:val="clear" w:color="auto" w:fill="auto"/>
                  <w:vAlign w:val="center"/>
                </w:tcPr>
                <w:p w14:paraId="5AA2691A">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0.025</w:t>
                  </w:r>
                </w:p>
              </w:tc>
            </w:tr>
            <w:tr w14:paraId="7D2A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1A308EF7">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98%硫酸</w:t>
                  </w:r>
                </w:p>
              </w:tc>
              <w:tc>
                <w:tcPr>
                  <w:tcW w:w="977" w:type="pct"/>
                  <w:shd w:val="clear" w:color="auto" w:fill="auto"/>
                  <w:vAlign w:val="center"/>
                </w:tcPr>
                <w:p w14:paraId="0CC3996D">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186" w:type="pct"/>
                  <w:shd w:val="clear" w:color="auto" w:fill="auto"/>
                  <w:vAlign w:val="center"/>
                </w:tcPr>
                <w:p w14:paraId="082B9792">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1.96</w:t>
                  </w:r>
                </w:p>
              </w:tc>
              <w:tc>
                <w:tcPr>
                  <w:tcW w:w="1616" w:type="pct"/>
                  <w:shd w:val="clear" w:color="auto" w:fill="auto"/>
                  <w:vAlign w:val="center"/>
                </w:tcPr>
                <w:p w14:paraId="36458BE3">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0.196</w:t>
                  </w:r>
                </w:p>
              </w:tc>
            </w:tr>
            <w:tr w14:paraId="5690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56262679">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10%氢氟酸</w:t>
                  </w:r>
                </w:p>
              </w:tc>
              <w:tc>
                <w:tcPr>
                  <w:tcW w:w="977" w:type="pct"/>
                  <w:shd w:val="clear" w:color="auto" w:fill="auto"/>
                  <w:vAlign w:val="center"/>
                </w:tcPr>
                <w:p w14:paraId="690813CF">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186" w:type="pct"/>
                  <w:shd w:val="clear" w:color="auto" w:fill="auto"/>
                  <w:vAlign w:val="center"/>
                </w:tcPr>
                <w:p w14:paraId="03775C1C">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0.026</w:t>
                  </w:r>
                </w:p>
              </w:tc>
              <w:tc>
                <w:tcPr>
                  <w:tcW w:w="1616" w:type="pct"/>
                  <w:shd w:val="clear" w:color="auto" w:fill="auto"/>
                  <w:vAlign w:val="center"/>
                </w:tcPr>
                <w:p w14:paraId="211174E2">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0.026</w:t>
                  </w:r>
                </w:p>
              </w:tc>
            </w:tr>
            <w:tr w14:paraId="3E8E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5A0DC724">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68%硝酸</w:t>
                  </w:r>
                </w:p>
              </w:tc>
              <w:tc>
                <w:tcPr>
                  <w:tcW w:w="977" w:type="pct"/>
                  <w:shd w:val="clear" w:color="auto" w:fill="auto"/>
                  <w:vAlign w:val="center"/>
                </w:tcPr>
                <w:p w14:paraId="52F18E38">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1186" w:type="pct"/>
                  <w:shd w:val="clear" w:color="auto" w:fill="auto"/>
                  <w:vAlign w:val="center"/>
                </w:tcPr>
                <w:p w14:paraId="0DB55171">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0.009</w:t>
                  </w:r>
                </w:p>
              </w:tc>
              <w:tc>
                <w:tcPr>
                  <w:tcW w:w="1616" w:type="pct"/>
                  <w:shd w:val="clear" w:color="auto" w:fill="auto"/>
                  <w:vAlign w:val="center"/>
                </w:tcPr>
                <w:p w14:paraId="05252763">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0.0012</w:t>
                  </w:r>
                </w:p>
              </w:tc>
            </w:tr>
            <w:tr w14:paraId="6388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152DA7DA">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37%盐酸</w:t>
                  </w:r>
                </w:p>
              </w:tc>
              <w:tc>
                <w:tcPr>
                  <w:tcW w:w="977" w:type="pct"/>
                  <w:shd w:val="clear" w:color="auto" w:fill="auto"/>
                  <w:vAlign w:val="center"/>
                </w:tcPr>
                <w:p w14:paraId="17F1A7BD">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1186" w:type="pct"/>
                  <w:shd w:val="clear" w:color="auto" w:fill="auto"/>
                  <w:vAlign w:val="center"/>
                </w:tcPr>
                <w:p w14:paraId="09C737D6">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0.012</w:t>
                  </w:r>
                </w:p>
              </w:tc>
              <w:tc>
                <w:tcPr>
                  <w:tcW w:w="1616" w:type="pct"/>
                  <w:shd w:val="clear" w:color="auto" w:fill="auto"/>
                  <w:vAlign w:val="center"/>
                </w:tcPr>
                <w:p w14:paraId="6615DB78">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0.0016</w:t>
                  </w:r>
                </w:p>
              </w:tc>
            </w:tr>
            <w:tr w14:paraId="6807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3ACBC089">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100%冰乙酸</w:t>
                  </w:r>
                </w:p>
              </w:tc>
              <w:tc>
                <w:tcPr>
                  <w:tcW w:w="977" w:type="pct"/>
                  <w:shd w:val="clear" w:color="auto" w:fill="auto"/>
                  <w:vAlign w:val="center"/>
                </w:tcPr>
                <w:p w14:paraId="035BFDBC">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186" w:type="pct"/>
                  <w:shd w:val="clear" w:color="auto" w:fill="auto"/>
                  <w:vAlign w:val="center"/>
                </w:tcPr>
                <w:p w14:paraId="375DCD3C">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w:t>
                  </w:r>
                </w:p>
              </w:tc>
              <w:tc>
                <w:tcPr>
                  <w:tcW w:w="1616" w:type="pct"/>
                  <w:shd w:val="clear" w:color="auto" w:fill="auto"/>
                  <w:vAlign w:val="center"/>
                </w:tcPr>
                <w:p w14:paraId="3389E49B">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0.0005</w:t>
                  </w:r>
                </w:p>
              </w:tc>
            </w:tr>
            <w:tr w14:paraId="2913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6A069331">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85%磷酸</w:t>
                  </w:r>
                </w:p>
              </w:tc>
              <w:tc>
                <w:tcPr>
                  <w:tcW w:w="977" w:type="pct"/>
                  <w:shd w:val="clear" w:color="auto" w:fill="auto"/>
                  <w:vAlign w:val="center"/>
                </w:tcPr>
                <w:p w14:paraId="24749472">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186" w:type="pct"/>
                  <w:shd w:val="clear" w:color="auto" w:fill="auto"/>
                  <w:vAlign w:val="center"/>
                </w:tcPr>
                <w:p w14:paraId="6FCD1F53">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0.014</w:t>
                  </w:r>
                </w:p>
              </w:tc>
              <w:tc>
                <w:tcPr>
                  <w:tcW w:w="1616" w:type="pct"/>
                  <w:shd w:val="clear" w:color="auto" w:fill="auto"/>
                  <w:vAlign w:val="center"/>
                </w:tcPr>
                <w:p w14:paraId="758AC0CE">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0.0014</w:t>
                  </w:r>
                </w:p>
              </w:tc>
            </w:tr>
            <w:tr w14:paraId="006B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18BDBAF1">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废切削液、磨削液、冷却液</w:t>
                  </w:r>
                </w:p>
              </w:tc>
              <w:tc>
                <w:tcPr>
                  <w:tcW w:w="977" w:type="pct"/>
                  <w:shd w:val="clear" w:color="auto" w:fill="auto"/>
                  <w:vAlign w:val="center"/>
                </w:tcPr>
                <w:p w14:paraId="11F1CE7F">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2500</w:t>
                  </w:r>
                </w:p>
              </w:tc>
              <w:tc>
                <w:tcPr>
                  <w:tcW w:w="1927" w:type="dxa"/>
                  <w:shd w:val="clear" w:color="auto" w:fill="auto"/>
                  <w:vAlign w:val="center"/>
                </w:tcPr>
                <w:p w14:paraId="44F729ED">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4.155</w:t>
                  </w:r>
                </w:p>
              </w:tc>
              <w:tc>
                <w:tcPr>
                  <w:tcW w:w="2625" w:type="dxa"/>
                  <w:shd w:val="clear" w:color="auto" w:fill="auto"/>
                  <w:vAlign w:val="center"/>
                </w:tcPr>
                <w:p w14:paraId="7552B275">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0.00166 </w:t>
                  </w:r>
                </w:p>
              </w:tc>
            </w:tr>
            <w:tr w14:paraId="4151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19" w:type="pct"/>
                  <w:shd w:val="clear" w:color="auto" w:fill="auto"/>
                  <w:vAlign w:val="center"/>
                </w:tcPr>
                <w:p w14:paraId="6CD4819D">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废液</w:t>
                  </w:r>
                </w:p>
              </w:tc>
              <w:tc>
                <w:tcPr>
                  <w:tcW w:w="977" w:type="pct"/>
                  <w:shd w:val="clear" w:color="auto" w:fill="auto"/>
                  <w:vAlign w:val="center"/>
                </w:tcPr>
                <w:p w14:paraId="0301343D">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1927" w:type="dxa"/>
                  <w:shd w:val="clear" w:color="auto" w:fill="auto"/>
                  <w:vAlign w:val="center"/>
                </w:tcPr>
                <w:p w14:paraId="4B36D39F">
                  <w:pPr>
                    <w:keepNext w:val="0"/>
                    <w:keepLines w:val="0"/>
                    <w:widowControl/>
                    <w:suppressLineNumbers w:val="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2625" w:type="dxa"/>
                  <w:shd w:val="clear" w:color="auto" w:fill="auto"/>
                  <w:vAlign w:val="center"/>
                </w:tcPr>
                <w:p w14:paraId="3636E353">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0.7200 </w:t>
                  </w:r>
                </w:p>
              </w:tc>
            </w:tr>
            <w:tr w14:paraId="2145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3383" w:type="pct"/>
                  <w:gridSpan w:val="3"/>
                  <w:shd w:val="clear" w:color="auto" w:fill="auto"/>
                  <w:vAlign w:val="center"/>
                </w:tcPr>
                <w:p w14:paraId="55717EC4">
                  <w:pPr>
                    <w:pStyle w:val="36"/>
                    <w:autoSpaceDE/>
                    <w:autoSpaceDN/>
                    <w:spacing w:before="0"/>
                    <w:ind w:left="0"/>
                    <w:jc w:val="center"/>
                    <w:rPr>
                      <w:rFonts w:ascii="Times New Roman" w:hAnsi="Times New Roman" w:cs="Times New Roman"/>
                      <w:color w:val="000000" w:themeColor="text1"/>
                      <w:kern w:val="2"/>
                      <w:sz w:val="21"/>
                      <w:szCs w:val="21"/>
                      <w:highlight w:val="none"/>
                      <w14:textFill>
                        <w14:solidFill>
                          <w14:schemeClr w14:val="tx1"/>
                        </w14:solidFill>
                      </w14:textFill>
                    </w:rPr>
                  </w:pPr>
                  <w:r>
                    <w:rPr>
                      <w:rFonts w:ascii="Times New Roman" w:hAnsi="Times New Roman" w:cs="Times New Roman"/>
                      <w:color w:val="000000" w:themeColor="text1"/>
                      <w:kern w:val="2"/>
                      <w:sz w:val="21"/>
                      <w:szCs w:val="21"/>
                      <w:highlight w:val="none"/>
                      <w14:textFill>
                        <w14:solidFill>
                          <w14:schemeClr w14:val="tx1"/>
                        </w14:solidFill>
                      </w14:textFill>
                    </w:rPr>
                    <w:t>合计</w:t>
                  </w:r>
                </w:p>
              </w:tc>
              <w:tc>
                <w:tcPr>
                  <w:tcW w:w="1616" w:type="pct"/>
                  <w:shd w:val="clear" w:color="auto" w:fill="auto"/>
                  <w:vAlign w:val="center"/>
                </w:tcPr>
                <w:p w14:paraId="0B8365E0">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0.9805</w:t>
                  </w:r>
                </w:p>
              </w:tc>
            </w:tr>
          </w:tbl>
          <w:p w14:paraId="77C4FD24">
            <w:pPr>
              <w:pStyle w:val="66"/>
              <w:ind w:firstLine="420"/>
              <w:rPr>
                <w:rFonts w:hint="default" w:ascii="Times New Roman" w:hAnsi="Times New Roman" w:eastAsia="宋体" w:cs="Times New Roman"/>
                <w:color w:val="000000" w:themeColor="text1"/>
                <w:sz w:val="24"/>
                <w:szCs w:val="18"/>
                <w:highlight w:val="none"/>
                <w14:textFill>
                  <w14:solidFill>
                    <w14:schemeClr w14:val="tx1"/>
                  </w14:solidFill>
                </w14:textFill>
              </w:rPr>
            </w:pPr>
            <w:r>
              <w:rPr>
                <w:rFonts w:hint="default" w:ascii="Times New Roman" w:hAnsi="Times New Roman" w:eastAsia="宋体" w:cs="Times New Roman"/>
                <w:color w:val="000000" w:themeColor="text1"/>
                <w:sz w:val="24"/>
                <w:szCs w:val="18"/>
                <w:highlight w:val="none"/>
                <w14:textFill>
                  <w14:solidFill>
                    <w14:schemeClr w14:val="tx1"/>
                  </w14:solidFill>
                </w14:textFill>
              </w:rPr>
              <w:t>经计算可知，本项目Q&lt;1，该项目环境风险潜势为</w:t>
            </w:r>
            <w:r>
              <w:rPr>
                <w:rFonts w:hint="eastAsia" w:ascii="Times New Roman" w:hAnsi="Times New Roman" w:eastAsia="宋体" w:cs="Times New Roman"/>
                <w:color w:val="000000" w:themeColor="text1"/>
                <w:sz w:val="24"/>
                <w:szCs w:val="18"/>
                <w:highlight w:val="none"/>
                <w:lang w:val="en-US" w:eastAsia="zh-CN"/>
                <w14:textFill>
                  <w14:solidFill>
                    <w14:schemeClr w14:val="tx1"/>
                  </w14:solidFill>
                </w14:textFill>
              </w:rPr>
              <w:t>Ⅰ</w:t>
            </w:r>
            <w:r>
              <w:rPr>
                <w:rFonts w:hint="default" w:ascii="Times New Roman" w:hAnsi="Times New Roman" w:eastAsia="宋体" w:cs="Times New Roman"/>
                <w:color w:val="000000" w:themeColor="text1"/>
                <w:sz w:val="24"/>
                <w:szCs w:val="18"/>
                <w:highlight w:val="none"/>
                <w14:textFill>
                  <w14:solidFill>
                    <w14:schemeClr w14:val="tx1"/>
                  </w14:solidFill>
                </w14:textFill>
              </w:rPr>
              <w:t>，不涉及重大风险源。因此本评价仅</w:t>
            </w:r>
            <w:r>
              <w:rPr>
                <w:rFonts w:hint="eastAsia" w:cs="Times New Roman"/>
                <w:color w:val="000000" w:themeColor="text1"/>
                <w:sz w:val="24"/>
                <w:szCs w:val="18"/>
                <w:highlight w:val="none"/>
                <w:lang w:eastAsia="zh-CN"/>
                <w14:textFill>
                  <w14:solidFill>
                    <w14:schemeClr w14:val="tx1"/>
                  </w14:solidFill>
                </w14:textFill>
              </w:rPr>
              <w:t>做</w:t>
            </w:r>
            <w:r>
              <w:rPr>
                <w:rFonts w:hint="default" w:ascii="Times New Roman" w:hAnsi="Times New Roman" w:eastAsia="宋体" w:cs="Times New Roman"/>
                <w:color w:val="000000" w:themeColor="text1"/>
                <w:sz w:val="24"/>
                <w:szCs w:val="18"/>
                <w:highlight w:val="none"/>
                <w14:textFill>
                  <w14:solidFill>
                    <w14:schemeClr w14:val="tx1"/>
                  </w14:solidFill>
                </w14:textFill>
              </w:rPr>
              <w:t>简单分析。</w:t>
            </w:r>
          </w:p>
          <w:p w14:paraId="7A603CE1">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4.7.2项目风险识别</w:t>
            </w:r>
          </w:p>
          <w:p w14:paraId="6D6838E5">
            <w:pPr>
              <w:pStyle w:val="66"/>
              <w:ind w:firstLine="420"/>
              <w:rPr>
                <w:rFonts w:hint="default" w:ascii="Times New Roman" w:hAnsi="Times New Roman" w:cs="Times New Roman"/>
                <w:color w:val="000000" w:themeColor="text1"/>
                <w:sz w:val="24"/>
                <w:szCs w:val="18"/>
                <w:highlight w:val="none"/>
                <w14:textFill>
                  <w14:solidFill>
                    <w14:schemeClr w14:val="tx1"/>
                  </w14:solidFill>
                </w14:textFill>
              </w:rPr>
            </w:pPr>
            <w:r>
              <w:rPr>
                <w:rFonts w:hint="default" w:ascii="Times New Roman" w:hAnsi="Times New Roman" w:cs="Times New Roman"/>
                <w:color w:val="000000" w:themeColor="text1"/>
                <w:sz w:val="24"/>
                <w:szCs w:val="18"/>
                <w:highlight w:val="none"/>
                <w14:textFill>
                  <w14:solidFill>
                    <w14:schemeClr w14:val="tx1"/>
                  </w14:solidFill>
                </w14:textFill>
              </w:rPr>
              <w:t>通过对项目危险物质、行业及生产工艺、生产设备的识别结果，按照《建设项目环境风险评价技术导则》(HJ169-2018)附录B，评价给出风险识别结果见下表。</w:t>
            </w:r>
          </w:p>
          <w:p w14:paraId="674810FC">
            <w:pPr>
              <w:pStyle w:val="83"/>
              <w:spacing w:line="360" w:lineRule="auto"/>
              <w:rPr>
                <w:rFonts w:hint="eastAsia"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hAnsi="Times New Roman" w:eastAsia="宋体" w:cs="宋体"/>
                <w:b/>
                <w:bCs w:val="0"/>
                <w:color w:val="000000" w:themeColor="text1"/>
                <w:kern w:val="2"/>
                <w:sz w:val="24"/>
                <w:szCs w:val="24"/>
                <w:highlight w:val="none"/>
                <w:lang w:val="en-US" w:eastAsia="zh-CN" w:bidi="ar-SA"/>
                <w14:textFill>
                  <w14:solidFill>
                    <w14:schemeClr w14:val="tx1"/>
                  </w14:solidFill>
                </w14:textFill>
              </w:rPr>
              <w:t>表4.7-2</w:t>
            </w:r>
            <w:r>
              <w:rPr>
                <w:rFonts w:hint="eastAsia"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t xml:space="preserve">  本项目环境风险源分布及影响途径一览表</w:t>
            </w:r>
          </w:p>
          <w:tbl>
            <w:tblPr>
              <w:tblStyle w:val="3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35"/>
              <w:gridCol w:w="1194"/>
              <w:gridCol w:w="3420"/>
              <w:gridCol w:w="1969"/>
            </w:tblGrid>
            <w:tr w14:paraId="4F79C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562" w:type="dxa"/>
                  <w:tcBorders>
                    <w:tl2br w:val="nil"/>
                    <w:tr2bl w:val="nil"/>
                  </w:tcBorders>
                  <w:shd w:val="clear" w:color="auto" w:fill="auto"/>
                  <w:vAlign w:val="center"/>
                </w:tcPr>
                <w:p w14:paraId="5ECC5EF8">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潜在事故类型</w:t>
                  </w:r>
                </w:p>
              </w:tc>
              <w:tc>
                <w:tcPr>
                  <w:tcW w:w="1215" w:type="dxa"/>
                  <w:tcBorders>
                    <w:tl2br w:val="nil"/>
                    <w:tr2bl w:val="nil"/>
                  </w:tcBorders>
                  <w:shd w:val="clear" w:color="auto" w:fill="auto"/>
                  <w:vAlign w:val="center"/>
                </w:tcPr>
                <w:p w14:paraId="5EFF07AE">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事故原因</w:t>
                  </w:r>
                </w:p>
              </w:tc>
              <w:tc>
                <w:tcPr>
                  <w:tcW w:w="3480" w:type="dxa"/>
                  <w:tcBorders>
                    <w:tl2br w:val="nil"/>
                    <w:tr2bl w:val="nil"/>
                  </w:tcBorders>
                  <w:shd w:val="clear" w:color="auto" w:fill="auto"/>
                  <w:vAlign w:val="center"/>
                </w:tcPr>
                <w:p w14:paraId="0A8BCBDE">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危险物质向环境转移的可能途径</w:t>
                  </w:r>
                </w:p>
              </w:tc>
              <w:tc>
                <w:tcPr>
                  <w:tcW w:w="2003" w:type="dxa"/>
                  <w:tcBorders>
                    <w:tl2br w:val="nil"/>
                    <w:tr2bl w:val="nil"/>
                  </w:tcBorders>
                  <w:shd w:val="clear" w:color="auto" w:fill="auto"/>
                  <w:vAlign w:val="center"/>
                </w:tcPr>
                <w:p w14:paraId="197E6420">
                  <w:pPr>
                    <w:keepNext w:val="0"/>
                    <w:keepLines w:val="0"/>
                    <w:widowControl/>
                    <w:suppressLineNumbers w:val="0"/>
                    <w:jc w:val="center"/>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影响程度</w:t>
                  </w:r>
                </w:p>
              </w:tc>
            </w:tr>
            <w:tr w14:paraId="73F59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62" w:type="dxa"/>
                  <w:tcBorders>
                    <w:tl2br w:val="nil"/>
                    <w:tr2bl w:val="nil"/>
                  </w:tcBorders>
                  <w:shd w:val="clear" w:color="auto" w:fill="auto"/>
                  <w:vAlign w:val="center"/>
                </w:tcPr>
                <w:p w14:paraId="096DBCDD">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化学品试剂泄漏</w:t>
                  </w:r>
                </w:p>
              </w:tc>
              <w:tc>
                <w:tcPr>
                  <w:tcW w:w="1215" w:type="dxa"/>
                  <w:tcBorders>
                    <w:tl2br w:val="nil"/>
                    <w:tr2bl w:val="nil"/>
                  </w:tcBorders>
                  <w:shd w:val="clear" w:color="auto" w:fill="auto"/>
                  <w:vAlign w:val="center"/>
                </w:tcPr>
                <w:p w14:paraId="3845B9C6">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包装桶破裂</w:t>
                  </w:r>
                </w:p>
              </w:tc>
              <w:tc>
                <w:tcPr>
                  <w:tcW w:w="3480" w:type="dxa"/>
                  <w:tcBorders>
                    <w:tl2br w:val="nil"/>
                    <w:tr2bl w:val="nil"/>
                  </w:tcBorders>
                  <w:shd w:val="clear" w:color="auto" w:fill="auto"/>
                  <w:vAlign w:val="center"/>
                </w:tcPr>
                <w:p w14:paraId="4C31CE1B">
                  <w:pPr>
                    <w:keepNext w:val="0"/>
                    <w:keepLines w:val="0"/>
                    <w:widowControl/>
                    <w:suppressLineNumbers w:val="0"/>
                    <w:jc w:val="both"/>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渗入土壤及排入周边水体</w:t>
                  </w:r>
                </w:p>
              </w:tc>
              <w:tc>
                <w:tcPr>
                  <w:tcW w:w="2003" w:type="dxa"/>
                  <w:tcBorders>
                    <w:tl2br w:val="nil"/>
                    <w:tr2bl w:val="nil"/>
                  </w:tcBorders>
                  <w:shd w:val="clear" w:color="auto" w:fill="auto"/>
                  <w:vAlign w:val="center"/>
                </w:tcPr>
                <w:p w14:paraId="619BFB5A">
                  <w:pPr>
                    <w:keepNext w:val="0"/>
                    <w:keepLines w:val="0"/>
                    <w:widowControl/>
                    <w:suppressLineNumbers w:val="0"/>
                    <w:jc w:val="both"/>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对周边地下水及周边水域可能造成严重影响</w:t>
                  </w:r>
                </w:p>
              </w:tc>
            </w:tr>
            <w:tr w14:paraId="3B545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62" w:type="dxa"/>
                  <w:tcBorders>
                    <w:tl2br w:val="nil"/>
                    <w:tr2bl w:val="nil"/>
                  </w:tcBorders>
                  <w:shd w:val="clear" w:color="auto" w:fill="auto"/>
                  <w:vAlign w:val="center"/>
                </w:tcPr>
                <w:p w14:paraId="0E5CC60D">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火灾事故</w:t>
                  </w:r>
                </w:p>
              </w:tc>
              <w:tc>
                <w:tcPr>
                  <w:tcW w:w="1215" w:type="dxa"/>
                  <w:tcBorders>
                    <w:tl2br w:val="nil"/>
                    <w:tr2bl w:val="nil"/>
                  </w:tcBorders>
                  <w:shd w:val="clear" w:color="auto" w:fill="auto"/>
                  <w:vAlign w:val="center"/>
                </w:tcPr>
                <w:p w14:paraId="0D9CD4E0">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物料遇明火燃烧</w:t>
                  </w:r>
                </w:p>
              </w:tc>
              <w:tc>
                <w:tcPr>
                  <w:tcW w:w="3480" w:type="dxa"/>
                  <w:tcBorders>
                    <w:tl2br w:val="nil"/>
                    <w:tr2bl w:val="nil"/>
                  </w:tcBorders>
                  <w:shd w:val="clear" w:color="auto" w:fill="auto"/>
                  <w:vAlign w:val="center"/>
                </w:tcPr>
                <w:p w14:paraId="1CB15F22">
                  <w:pPr>
                    <w:keepNext w:val="0"/>
                    <w:keepLines w:val="0"/>
                    <w:widowControl/>
                    <w:suppressLineNumbers w:val="0"/>
                    <w:jc w:val="both"/>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燃烧产物主要为</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和水蒸气，扩散进入大气环境；发生火灾事故后消防事故水进入周边水体。</w:t>
                  </w:r>
                </w:p>
              </w:tc>
              <w:tc>
                <w:tcPr>
                  <w:tcW w:w="2003" w:type="dxa"/>
                  <w:tcBorders>
                    <w:tl2br w:val="nil"/>
                    <w:tr2bl w:val="nil"/>
                  </w:tcBorders>
                  <w:shd w:val="clear" w:color="auto" w:fill="auto"/>
                  <w:vAlign w:val="center"/>
                </w:tcPr>
                <w:p w14:paraId="4CA4B17E">
                  <w:pPr>
                    <w:keepNext w:val="0"/>
                    <w:keepLines w:val="0"/>
                    <w:widowControl/>
                    <w:suppressLineNumbers w:val="0"/>
                    <w:jc w:val="both"/>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对周边水、大气环境产生影响</w:t>
                  </w:r>
                </w:p>
              </w:tc>
            </w:tr>
          </w:tbl>
          <w:p w14:paraId="3839BE54">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4.7.3环境风险分析</w:t>
            </w:r>
          </w:p>
          <w:p w14:paraId="2704CF80">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（1）危险化学品泄漏影响分析</w:t>
            </w:r>
          </w:p>
          <w:p w14:paraId="0A51446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本项目若因储存不当或人员操作失误等原因，导致化学品泄漏并未及时收集处置，遇到降雨，危险化学品可能通过场区的雨水排放排入周边的地表水体，可能会对地表水环境及水生生态环境造成不利影响。</w:t>
            </w:r>
          </w:p>
          <w:p w14:paraId="7DA0E4BE">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（2）危险废物在收集、贮存、运送过程中的风险分析</w:t>
            </w:r>
          </w:p>
          <w:p w14:paraId="6242446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①危险废物贮存库泄漏事故</w:t>
            </w:r>
          </w:p>
          <w:p w14:paraId="42817F77">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本项目危险废物在收集、贮存、运输过程中，存在流失风险。危险废物中存在化学污染物等有害物质。如果不经分类收集等有效处理，或流失且不经及时处置，其携带的污染物经雨水和生物降解产生渗滤液，会对地表水和地下水造成影响。</w:t>
            </w:r>
          </w:p>
          <w:p w14:paraId="1CA625C4">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②危险废物的贮存和运送</w:t>
            </w:r>
          </w:p>
          <w:p w14:paraId="5FEB43A3">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本项目的贮存和运送都纳入危险废物的管理，禁止将其在非收集、非暂时贮存地点倾倒、堆放，禁止将危险废物混入其他废物和生活垃圾，禁止在内部运送过程中丢弃危险废物。</w:t>
            </w:r>
          </w:p>
          <w:p w14:paraId="7AFBDF79">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4.7.4环境风险防范措施</w:t>
            </w:r>
          </w:p>
          <w:p w14:paraId="7D750158">
            <w:pPr>
              <w:pStyle w:val="66"/>
              <w:rPr>
                <w:rFonts w:hint="eastAsia" w:ascii="Times New Roman" w:hAnsi="Times New Roman" w:cs="Times New Roman"/>
                <w:b/>
                <w:bCs/>
                <w:color w:val="000000" w:themeColor="text1"/>
                <w:sz w:val="24"/>
                <w:szCs w:val="18"/>
                <w:highlight w:val="none"/>
                <w:lang w:eastAsia="zh-CN"/>
                <w14:textFill>
                  <w14:solidFill>
                    <w14:schemeClr w14:val="tx1"/>
                  </w14:solidFill>
                </w14:textFill>
              </w:rPr>
            </w:pPr>
            <w:r>
              <w:rPr>
                <w:rFonts w:hint="eastAsia" w:cs="Times New Roman"/>
                <w:b/>
                <w:bCs/>
                <w:color w:val="000000" w:themeColor="text1"/>
                <w:sz w:val="24"/>
                <w:szCs w:val="18"/>
                <w:highlight w:val="none"/>
                <w:lang w:val="en-US" w:eastAsia="zh-CN"/>
                <w14:textFill>
                  <w14:solidFill>
                    <w14:schemeClr w14:val="tx1"/>
                  </w14:solidFill>
                </w14:textFill>
              </w:rPr>
              <w:t>一、</w:t>
            </w:r>
            <w:r>
              <w:rPr>
                <w:rFonts w:hint="eastAsia" w:ascii="Times New Roman" w:hAnsi="Times New Roman" w:cs="Times New Roman"/>
                <w:b/>
                <w:bCs/>
                <w:color w:val="000000" w:themeColor="text1"/>
                <w:sz w:val="24"/>
                <w:szCs w:val="18"/>
                <w:highlight w:val="none"/>
                <w:lang w:eastAsia="zh-CN"/>
                <w14:textFill>
                  <w14:solidFill>
                    <w14:schemeClr w14:val="tx1"/>
                  </w14:solidFill>
                </w14:textFill>
              </w:rPr>
              <w:t>危险化学品</w:t>
            </w:r>
            <w:r>
              <w:rPr>
                <w:rFonts w:hint="eastAsia" w:cs="Times New Roman"/>
                <w:b/>
                <w:bCs/>
                <w:color w:val="000000" w:themeColor="text1"/>
                <w:sz w:val="24"/>
                <w:szCs w:val="18"/>
                <w:highlight w:val="none"/>
                <w:lang w:val="en-US" w:eastAsia="zh-CN"/>
                <w14:textFill>
                  <w14:solidFill>
                    <w14:schemeClr w14:val="tx1"/>
                  </w14:solidFill>
                </w14:textFill>
              </w:rPr>
              <w:t>环境风险</w:t>
            </w:r>
            <w:r>
              <w:rPr>
                <w:rFonts w:hint="eastAsia" w:ascii="Times New Roman" w:hAnsi="Times New Roman" w:cs="Times New Roman"/>
                <w:b/>
                <w:bCs/>
                <w:color w:val="000000" w:themeColor="text1"/>
                <w:sz w:val="24"/>
                <w:szCs w:val="18"/>
                <w:highlight w:val="none"/>
                <w:lang w:eastAsia="zh-CN"/>
                <w14:textFill>
                  <w14:solidFill>
                    <w14:schemeClr w14:val="tx1"/>
                  </w14:solidFill>
                </w14:textFill>
              </w:rPr>
              <w:t>防范措施</w:t>
            </w:r>
          </w:p>
          <w:p w14:paraId="27157AE3">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危险化学品贮存、使用严格执行《危险化学品安全管理条例》，制定专项操作规程，对涉危化品作业职工开展岗前专项培训，考核合格后方可上岗。</w:t>
            </w:r>
          </w:p>
          <w:p w14:paraId="5BFBDC68">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厂区及危化品储存区（化学品仓、设备后机房等）严禁烟火，严格执行动火审批制度；储存区配备沙袋、吸油毡等堵漏材料，设置防爆型照明、通风设施，禁止使用易产生火花的机械设备和工具。</w:t>
            </w:r>
          </w:p>
          <w:p w14:paraId="0278B257">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危化品采用桶、瓶等密封性良好的专用储存容器，放置时做好防破损防护；在满足生产需求的前提下，尽可能减少有机易燃类危化品的贮存量，建立原料日常保管、使用台账，落实专人管理。</w:t>
            </w:r>
          </w:p>
          <w:p w14:paraId="14007FA1">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危化品存放位置地面采取重点防渗处理，厂区规划专用消防通道，储存区周边设置明显安全警示标识，做好防渗漏、防鼠等防护措施。</w:t>
            </w:r>
          </w:p>
          <w:p w14:paraId="5E167D77">
            <w:pPr>
              <w:pStyle w:val="66"/>
              <w:ind w:firstLine="420"/>
              <w:rPr>
                <w:rFonts w:hint="eastAsia"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eastAsia="zh-CN"/>
                <w14:textFill>
                  <w14:solidFill>
                    <w14:schemeClr w14:val="tx1"/>
                  </w14:solidFill>
                </w14:textFill>
              </w:rPr>
              <w:t>（</w:t>
            </w:r>
            <w:r>
              <w:rPr>
                <w:rFonts w:hint="eastAsia" w:cs="Times New Roman"/>
                <w:color w:val="000000" w:themeColor="text1"/>
                <w:sz w:val="24"/>
                <w:szCs w:val="18"/>
                <w:highlight w:val="none"/>
                <w:lang w:val="en-US" w:eastAsia="zh-CN"/>
                <w14:textFill>
                  <w14:solidFill>
                    <w14:schemeClr w14:val="tx1"/>
                  </w14:solidFill>
                </w14:textFill>
              </w:rPr>
              <w:t>5</w:t>
            </w:r>
            <w:r>
              <w:rPr>
                <w:rFonts w:hint="eastAsia" w:cs="Times New Roman"/>
                <w:color w:val="000000" w:themeColor="text1"/>
                <w:sz w:val="24"/>
                <w:szCs w:val="18"/>
                <w:highlight w:val="none"/>
                <w:lang w:eastAsia="zh-CN"/>
                <w14:textFill>
                  <w14:solidFill>
                    <w14:schemeClr w14:val="tx1"/>
                  </w14:solidFill>
                </w14:textFill>
              </w:rPr>
              <w:t>）为从源头杜绝泄漏扩散风险，针对项目液态化学品、危险废物废液全部配套耐腐蚀防泄漏托盘，具体要求如下：</w:t>
            </w:r>
          </w:p>
          <w:p w14:paraId="553F81A1">
            <w:pPr>
              <w:pStyle w:val="66"/>
              <w:ind w:firstLine="420"/>
              <w:rPr>
                <w:rFonts w:hint="eastAsia" w:cs="Times New Roman"/>
                <w:color w:val="000000" w:themeColor="text1"/>
                <w:sz w:val="24"/>
                <w:szCs w:val="18"/>
                <w:highlight w:val="none"/>
                <w:lang w:eastAsia="zh-CN"/>
                <w14:textFill>
                  <w14:solidFill>
                    <w14:schemeClr w14:val="tx1"/>
                  </w14:solidFill>
                </w14:textFill>
              </w:rPr>
            </w:pPr>
            <w:r>
              <w:rPr>
                <w:rFonts w:hint="default" w:cs="Times New Roman"/>
                <w:color w:val="000000" w:themeColor="text1"/>
                <w:sz w:val="24"/>
                <w:szCs w:val="18"/>
                <w:highlight w:val="none"/>
                <w:lang w:eastAsia="zh-CN"/>
                <w14:textFill>
                  <w14:solidFill>
                    <w14:schemeClr w14:val="tx1"/>
                  </w14:solidFill>
                </w14:textFill>
              </w:rPr>
              <w:t>①</w:t>
            </w:r>
            <w:r>
              <w:rPr>
                <w:rFonts w:hint="eastAsia" w:cs="Times New Roman"/>
                <w:color w:val="000000" w:themeColor="text1"/>
                <w:sz w:val="24"/>
                <w:szCs w:val="18"/>
                <w:highlight w:val="none"/>
                <w:lang w:val="en-US" w:eastAsia="zh-CN"/>
                <w14:textFill>
                  <w14:solidFill>
                    <w14:schemeClr w14:val="tx1"/>
                  </w14:solidFill>
                </w14:textFill>
              </w:rPr>
              <w:t>材质：</w:t>
            </w:r>
            <w:r>
              <w:rPr>
                <w:rFonts w:hint="eastAsia" w:cs="Times New Roman"/>
                <w:color w:val="000000" w:themeColor="text1"/>
                <w:sz w:val="24"/>
                <w:szCs w:val="18"/>
                <w:highlight w:val="none"/>
                <w:lang w:eastAsia="zh-CN"/>
                <w14:textFill>
                  <w14:solidFill>
                    <w14:schemeClr w14:val="tx1"/>
                  </w14:solidFill>
                </w14:textFill>
              </w:rPr>
              <w:t>采用PP/PVC耐酸碱防腐材质，适配强酸、强碱、有机溶剂腐蚀环境；</w:t>
            </w:r>
          </w:p>
          <w:p w14:paraId="530EAFFB">
            <w:pPr>
              <w:pStyle w:val="66"/>
              <w:ind w:firstLine="420"/>
              <w:rPr>
                <w:rFonts w:hint="eastAsia" w:cs="Times New Roman"/>
                <w:color w:val="000000" w:themeColor="text1"/>
                <w:sz w:val="24"/>
                <w:szCs w:val="18"/>
                <w:highlight w:val="none"/>
                <w:lang w:eastAsia="zh-CN"/>
                <w14:textFill>
                  <w14:solidFill>
                    <w14:schemeClr w14:val="tx1"/>
                  </w14:solidFill>
                </w14:textFill>
              </w:rPr>
            </w:pPr>
            <w:r>
              <w:rPr>
                <w:rFonts w:hint="default" w:cs="Times New Roman"/>
                <w:color w:val="000000" w:themeColor="text1"/>
                <w:sz w:val="24"/>
                <w:szCs w:val="18"/>
                <w:highlight w:val="none"/>
                <w:lang w:eastAsia="zh-CN"/>
                <w14:textFill>
                  <w14:solidFill>
                    <w14:schemeClr w14:val="tx1"/>
                  </w14:solidFill>
                </w14:textFill>
              </w:rPr>
              <w:t>②</w:t>
            </w:r>
            <w:r>
              <w:rPr>
                <w:rFonts w:hint="eastAsia" w:cs="Times New Roman"/>
                <w:color w:val="000000" w:themeColor="text1"/>
                <w:sz w:val="24"/>
                <w:szCs w:val="18"/>
                <w:highlight w:val="none"/>
                <w:lang w:val="en-US" w:eastAsia="zh-CN"/>
                <w14:textFill>
                  <w14:solidFill>
                    <w14:schemeClr w14:val="tx1"/>
                  </w14:solidFill>
                </w14:textFill>
              </w:rPr>
              <w:t>配置标准：</w:t>
            </w:r>
            <w:r>
              <w:rPr>
                <w:rFonts w:hint="eastAsia" w:cs="Times New Roman"/>
                <w:color w:val="000000" w:themeColor="text1"/>
                <w:sz w:val="24"/>
                <w:szCs w:val="18"/>
                <w:highlight w:val="none"/>
                <w:lang w:eastAsia="zh-CN"/>
                <w14:textFill>
                  <w14:solidFill>
                    <w14:schemeClr w14:val="tx1"/>
                  </w14:solidFill>
                </w14:textFill>
              </w:rPr>
              <w:t>单桶单托盘、分区集中放置，托盘有效容积≥单个包装容器最大容积，确保泄漏废液100%截留；</w:t>
            </w:r>
          </w:p>
          <w:p w14:paraId="6EC93E80">
            <w:pPr>
              <w:pStyle w:val="66"/>
              <w:ind w:firstLine="420"/>
              <w:rPr>
                <w:rFonts w:hint="eastAsia" w:cs="Times New Roman"/>
                <w:color w:val="000000" w:themeColor="text1"/>
                <w:sz w:val="24"/>
                <w:szCs w:val="18"/>
                <w:highlight w:val="none"/>
                <w:lang w:eastAsia="zh-CN"/>
                <w14:textFill>
                  <w14:solidFill>
                    <w14:schemeClr w14:val="tx1"/>
                  </w14:solidFill>
                </w14:textFill>
              </w:rPr>
            </w:pPr>
            <w:r>
              <w:rPr>
                <w:rFonts w:hint="default" w:cs="Times New Roman"/>
                <w:color w:val="000000" w:themeColor="text1"/>
                <w:sz w:val="24"/>
                <w:szCs w:val="18"/>
                <w:highlight w:val="none"/>
                <w:lang w:eastAsia="zh-CN"/>
                <w14:textFill>
                  <w14:solidFill>
                    <w14:schemeClr w14:val="tx1"/>
                  </w14:solidFill>
                </w14:textFill>
              </w:rPr>
              <w:t>③</w:t>
            </w:r>
            <w:r>
              <w:rPr>
                <w:rFonts w:hint="eastAsia" w:cs="Times New Roman"/>
                <w:color w:val="000000" w:themeColor="text1"/>
                <w:sz w:val="24"/>
                <w:szCs w:val="18"/>
                <w:highlight w:val="none"/>
                <w:lang w:val="en-US" w:eastAsia="zh-CN"/>
                <w14:textFill>
                  <w14:solidFill>
                    <w14:schemeClr w14:val="tx1"/>
                  </w14:solidFill>
                </w14:textFill>
              </w:rPr>
              <w:t>放置要求：</w:t>
            </w:r>
            <w:r>
              <w:rPr>
                <w:rFonts w:hint="eastAsia" w:cs="Times New Roman"/>
                <w:color w:val="000000" w:themeColor="text1"/>
                <w:sz w:val="24"/>
                <w:szCs w:val="18"/>
                <w:highlight w:val="none"/>
                <w:lang w:eastAsia="zh-CN"/>
                <w14:textFill>
                  <w14:solidFill>
                    <w14:schemeClr w14:val="tx1"/>
                  </w14:solidFill>
                </w14:textFill>
              </w:rPr>
              <w:t>化学品仓、危废暂存间内所有液态物料均置于托盘上方，严禁直接落地存放，托盘周边保持畅通，便于巡检与应急处置。</w:t>
            </w:r>
          </w:p>
          <w:p w14:paraId="4D98541B">
            <w:pPr>
              <w:pStyle w:val="66"/>
              <w:ind w:firstLine="420"/>
              <w:rPr>
                <w:rFonts w:hint="eastAsia"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eastAsia="zh-CN"/>
                <w14:textFill>
                  <w14:solidFill>
                    <w14:schemeClr w14:val="tx1"/>
                  </w14:solidFill>
                </w14:textFill>
              </w:rPr>
              <w:t>④日常管理：建立托盘巡检制度，每日检查托盘完整性、有无积液，发现泄漏立即启动收集处置，杜绝渗漏至地面</w:t>
            </w:r>
            <w:r>
              <w:rPr>
                <w:rFonts w:hint="eastAsia" w:cs="Times New Roman"/>
                <w:color w:val="000000" w:themeColor="text1"/>
                <w:sz w:val="24"/>
                <w:szCs w:val="18"/>
                <w:highlight w:val="none"/>
                <w:lang w:val="en-US" w:eastAsia="zh-CN"/>
                <w14:textFill>
                  <w14:solidFill>
                    <w14:schemeClr w14:val="tx1"/>
                  </w14:solidFill>
                </w14:textFill>
              </w:rPr>
              <w:t>及</w:t>
            </w:r>
            <w:r>
              <w:rPr>
                <w:rFonts w:hint="eastAsia" w:cs="Times New Roman"/>
                <w:color w:val="000000" w:themeColor="text1"/>
                <w:sz w:val="24"/>
                <w:szCs w:val="18"/>
                <w:highlight w:val="none"/>
                <w:lang w:eastAsia="zh-CN"/>
                <w14:textFill>
                  <w14:solidFill>
                    <w14:schemeClr w14:val="tx1"/>
                  </w14:solidFill>
                </w14:textFill>
              </w:rPr>
              <w:t>土壤。</w:t>
            </w:r>
          </w:p>
          <w:p w14:paraId="45746143">
            <w:pPr>
              <w:pStyle w:val="66"/>
              <w:ind w:firstLine="420"/>
              <w:rPr>
                <w:rFonts w:hint="eastAsia" w:ascii="Times New Roman" w:hAnsi="Times New Roman" w:cs="Times New Roman"/>
                <w:b/>
                <w:bCs/>
                <w:color w:val="000000" w:themeColor="text1"/>
                <w:sz w:val="24"/>
                <w:szCs w:val="18"/>
                <w:highlight w:val="none"/>
                <w:lang w:eastAsia="zh-CN"/>
                <w14:textFill>
                  <w14:solidFill>
                    <w14:schemeClr w14:val="tx1"/>
                  </w14:solidFill>
                </w14:textFill>
              </w:rPr>
            </w:pPr>
            <w:r>
              <w:rPr>
                <w:rFonts w:hint="eastAsia" w:cs="Times New Roman"/>
                <w:b/>
                <w:bCs/>
                <w:color w:val="000000" w:themeColor="text1"/>
                <w:sz w:val="24"/>
                <w:szCs w:val="18"/>
                <w:highlight w:val="none"/>
                <w:lang w:val="en-US" w:eastAsia="zh-CN"/>
                <w14:textFill>
                  <w14:solidFill>
                    <w14:schemeClr w14:val="tx1"/>
                  </w14:solidFill>
                </w14:textFill>
              </w:rPr>
              <w:t>二</w:t>
            </w:r>
            <w:r>
              <w:rPr>
                <w:rFonts w:hint="eastAsia" w:cs="Times New Roman"/>
                <w:b/>
                <w:bCs/>
                <w:color w:val="000000" w:themeColor="text1"/>
                <w:sz w:val="24"/>
                <w:szCs w:val="18"/>
                <w:highlight w:val="none"/>
                <w:lang w:eastAsia="zh-CN"/>
                <w14:textFill>
                  <w14:solidFill>
                    <w14:schemeClr w14:val="tx1"/>
                  </w14:solidFill>
                </w14:textFill>
              </w:rPr>
              <w:t>、</w:t>
            </w:r>
            <w:r>
              <w:rPr>
                <w:rFonts w:hint="eastAsia" w:ascii="Times New Roman" w:hAnsi="Times New Roman" w:cs="Times New Roman"/>
                <w:b/>
                <w:bCs/>
                <w:color w:val="000000" w:themeColor="text1"/>
                <w:sz w:val="24"/>
                <w:szCs w:val="18"/>
                <w:highlight w:val="none"/>
                <w:lang w:eastAsia="zh-CN"/>
                <w14:textFill>
                  <w14:solidFill>
                    <w14:schemeClr w14:val="tx1"/>
                  </w14:solidFill>
                </w14:textFill>
              </w:rPr>
              <w:t>危险废物</w:t>
            </w:r>
            <w:r>
              <w:rPr>
                <w:rFonts w:hint="eastAsia" w:ascii="Times New Roman" w:hAnsi="Times New Roman" w:cs="Times New Roman"/>
                <w:b/>
                <w:bCs/>
                <w:color w:val="000000" w:themeColor="text1"/>
                <w:sz w:val="24"/>
                <w:szCs w:val="18"/>
                <w:highlight w:val="none"/>
                <w:lang w:val="en-US" w:eastAsia="zh-CN"/>
                <w14:textFill>
                  <w14:solidFill>
                    <w14:schemeClr w14:val="tx1"/>
                  </w14:solidFill>
                </w14:textFill>
              </w:rPr>
              <w:t>环境风险</w:t>
            </w:r>
            <w:r>
              <w:rPr>
                <w:rFonts w:hint="eastAsia" w:ascii="Times New Roman" w:hAnsi="Times New Roman" w:cs="Times New Roman"/>
                <w:b/>
                <w:bCs/>
                <w:color w:val="000000" w:themeColor="text1"/>
                <w:sz w:val="24"/>
                <w:szCs w:val="18"/>
                <w:highlight w:val="none"/>
                <w:lang w:eastAsia="zh-CN"/>
                <w14:textFill>
                  <w14:solidFill>
                    <w14:schemeClr w14:val="tx1"/>
                  </w14:solidFill>
                </w14:textFill>
              </w:rPr>
              <w:t>防范措施</w:t>
            </w:r>
          </w:p>
          <w:p w14:paraId="3EDAB02F">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企业将危险废物管理纳入日常生产管理体系，落实专人专责，指定专职人员负责危险废物的统一收集、分类包装、规范贮存和转移处置全流程工作。</w:t>
            </w:r>
          </w:p>
          <w:p w14:paraId="2F670178">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险废物按《危险废物分类包装要求》分类收集、妥善包装，贮存容器及暂存设施需符合《危险废物贮存污染控制标准》（GB18597-2023）要求；危废暂存场所不得露天存放，四周设置导流沟，地面做防渗、围堰处理，并设置明显警示标识。</w:t>
            </w:r>
          </w:p>
          <w:p w14:paraId="3C2ECD34">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危险废物收集、贮存、转运及处置全过程严格执行转移联单制度，对危废种类、数量、转移去向等信息登记造册，妥善填写和保存转移联单。</w:t>
            </w:r>
          </w:p>
          <w:p w14:paraId="5527F9A7">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定期对危险废物包装容器、暂存设施设备进行检查、消毒和清洁，发现破损、渗漏等问题立即采取清理、更换措施；禁止将性质不相容的危险废物混合收集、贮存、运输和处置，禁止将危险废物混入非危险废物中贮存、处置。</w:t>
            </w:r>
          </w:p>
          <w:p w14:paraId="5FA9B22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（5）</w:t>
            </w:r>
            <w:r>
              <w:rPr>
                <w:rFonts w:hint="eastAsia" w:ascii="Times New Roman" w:hAnsi="Times New Roman" w:cs="Times New Roman"/>
                <w:color w:val="000000" w:themeColor="text1"/>
                <w:sz w:val="24"/>
                <w:szCs w:val="18"/>
                <w:highlight w:val="none"/>
                <w:lang w:eastAsia="zh-CN"/>
                <w14:textFill>
                  <w14:solidFill>
                    <w14:schemeClr w14:val="tx1"/>
                  </w14:solidFill>
                </w14:textFill>
              </w:rPr>
              <w:t>运输危险废物需根据废物特性，采用符合国家标准的包装物、容器和运输工具；若收集、贮存、运输等环节的设施、设备、容器转作他用，必须经过消除污染处理并检测合格。</w:t>
            </w:r>
          </w:p>
          <w:p w14:paraId="6495A11B">
            <w:pPr>
              <w:pStyle w:val="66"/>
              <w:ind w:firstLine="420"/>
              <w:rPr>
                <w:rFonts w:hint="eastAsia" w:ascii="Times New Roman" w:hAnsi="Times New Roman" w:cs="Times New Roman"/>
                <w:b/>
                <w:bCs/>
                <w:color w:val="000000" w:themeColor="text1"/>
                <w:sz w:val="24"/>
                <w:szCs w:val="18"/>
                <w:highlight w:val="none"/>
                <w:lang w:eastAsia="zh-CN"/>
                <w14:textFill>
                  <w14:solidFill>
                    <w14:schemeClr w14:val="tx1"/>
                  </w14:solidFill>
                </w14:textFill>
              </w:rPr>
            </w:pPr>
            <w:r>
              <w:rPr>
                <w:rFonts w:hint="eastAsia" w:cs="Times New Roman"/>
                <w:b/>
                <w:bCs/>
                <w:color w:val="000000" w:themeColor="text1"/>
                <w:sz w:val="24"/>
                <w:szCs w:val="18"/>
                <w:highlight w:val="none"/>
                <w:lang w:val="en-US" w:eastAsia="zh-CN"/>
                <w14:textFill>
                  <w14:solidFill>
                    <w14:schemeClr w14:val="tx1"/>
                  </w14:solidFill>
                </w14:textFill>
              </w:rPr>
              <w:t>三、</w:t>
            </w:r>
            <w:r>
              <w:rPr>
                <w:rFonts w:hint="eastAsia" w:ascii="Times New Roman" w:hAnsi="Times New Roman" w:cs="Times New Roman"/>
                <w:b/>
                <w:bCs/>
                <w:color w:val="000000" w:themeColor="text1"/>
                <w:sz w:val="24"/>
                <w:szCs w:val="18"/>
                <w:highlight w:val="none"/>
                <w:lang w:eastAsia="zh-CN"/>
                <w14:textFill>
                  <w14:solidFill>
                    <w14:schemeClr w14:val="tx1"/>
                  </w14:solidFill>
                </w14:textFill>
              </w:rPr>
              <w:t>常见风险事故防控措施</w:t>
            </w:r>
          </w:p>
          <w:p w14:paraId="78FFEFD4">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（一）泄漏风险防控</w:t>
            </w:r>
          </w:p>
          <w:p w14:paraId="4714D74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危化品储存区、危废暂存场所均按规范做重点防渗、导流沟等工程防护，从源头减少泄漏物渗透、扩散风险。</w:t>
            </w:r>
          </w:p>
          <w:p w14:paraId="07842563">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建立日常巡查制度，安排专人定期对危化品储存容器、危废包装及相关设施进行巡检，对存在泄漏迹象的部位及时采取封堵、加固等处理措施。</w:t>
            </w:r>
          </w:p>
          <w:p w14:paraId="4B2EA2F2">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涉危化品、危废作业人员配备防护服、橡胶手套、口罩、长靴等个人防护用具，作业时按规范穿戴，降低泄漏接触风险。</w:t>
            </w:r>
          </w:p>
          <w:p w14:paraId="71660776">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（二）火灾风险防控</w:t>
            </w:r>
          </w:p>
          <w:p w14:paraId="30FB56F4">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生产车间、危化品储存区、危废暂存场所按消防规范配置沙土、推车式灭火器等消防器材，同时配备防火防毒服、防毒护具等应急防护用品，并定期检查、维护，确保完好可用。</w:t>
            </w:r>
          </w:p>
          <w:p w14:paraId="2A1852C6">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严格加强火源管理，厂区涉危区域杜绝各类火种，严禁闲杂人员进入；作业人员熟练掌握设备操作技术和防火安全管理规定，杜绝违规操作引发火灾。</w:t>
            </w:r>
          </w:p>
          <w:p w14:paraId="0C58FE76">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制定完善的火灾防控应急预案，明确火灾发生时的人员疏散路线、内部通报机制和外部联动方案，同时明确应急大气监测要求，委托有资质单位开展应急监测。</w:t>
            </w:r>
          </w:p>
          <w:p w14:paraId="65421538">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b/>
                <w:bCs/>
                <w:color w:val="000000" w:themeColor="text1"/>
                <w:sz w:val="24"/>
                <w:szCs w:val="18"/>
                <w:highlight w:val="none"/>
                <w:lang w:eastAsia="zh-CN"/>
                <w14:textFill>
                  <w14:solidFill>
                    <w14:schemeClr w14:val="tx1"/>
                  </w14:solidFill>
                </w14:textFill>
              </w:rPr>
              <w:t>四、突发环境风险应急处置措施</w:t>
            </w:r>
          </w:p>
          <w:p w14:paraId="6B90DBDA">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（一）通用应急处置原则</w:t>
            </w:r>
          </w:p>
          <w:p w14:paraId="1109BD37">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发生危化品泄漏、危废散落、火灾等任何环境风险事故时，第一时间关闭厂区雨水排放总阀门，防止有毒有害物质、事故废水进入雨水管网造成外环境污染；同时立即启动紧急堵漏、防火等措施，对泄漏物、事故废水及时收集，严禁排入雨水和污水收集管网。</w:t>
            </w:r>
          </w:p>
          <w:p w14:paraId="5AB0C4A8">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（二）危险化学品泄漏应急处置</w:t>
            </w:r>
          </w:p>
          <w:p w14:paraId="7AD26C73">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泄漏发生后，作业人员佩戴好个人防护用具，对泄漏的化学品进行快速、规范收集，收集后的危化品泄漏物委托有资质单位进行专业处置。</w:t>
            </w:r>
          </w:p>
          <w:p w14:paraId="7599C76B">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若泄漏物造成地面、设施污染，及时对受污染区域进行无害化处理，必要时封锁污染区，防止污染范围扩大。</w:t>
            </w:r>
          </w:p>
          <w:p w14:paraId="52A9E6B2">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（三）危险废物突发事件应急处置</w:t>
            </w:r>
          </w:p>
          <w:p w14:paraId="7E57B8F0">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收集、转运过程中发生危废泄漏、溢出、散落时，现场运送员立即向企业管理人员和环保部门汇报，不得擅自处理。</w:t>
            </w:r>
          </w:p>
          <w:p w14:paraId="2F96F529">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企业危险废物管理</w:t>
            </w:r>
            <w:r>
              <w:rPr>
                <w:rFonts w:hint="eastAsia" w:cs="Times New Roman"/>
                <w:color w:val="000000" w:themeColor="text1"/>
                <w:sz w:val="24"/>
                <w:szCs w:val="18"/>
                <w:highlight w:val="none"/>
                <w:lang w:val="en-US" w:eastAsia="zh-CN"/>
                <w14:textFill>
                  <w14:solidFill>
                    <w14:schemeClr w14:val="tx1"/>
                  </w14:solidFill>
                </w14:textFill>
              </w:rPr>
              <w:t>人员</w:t>
            </w:r>
            <w:r>
              <w:rPr>
                <w:rFonts w:hint="eastAsia" w:ascii="Times New Roman" w:hAnsi="Times New Roman" w:cs="Times New Roman"/>
                <w:color w:val="000000" w:themeColor="text1"/>
                <w:sz w:val="24"/>
                <w:szCs w:val="18"/>
                <w:highlight w:val="none"/>
                <w:lang w:eastAsia="zh-CN"/>
                <w14:textFill>
                  <w14:solidFill>
                    <w14:schemeClr w14:val="tx1"/>
                  </w14:solidFill>
                </w14:textFill>
              </w:rPr>
              <w:t>第一时间组织调查，明确流失/泄漏危废的类别、数量、发生时间、影响范围及严重程度，并</w:t>
            </w:r>
            <w:r>
              <w:rPr>
                <w:rFonts w:hint="eastAsia" w:cs="Times New Roman"/>
                <w:color w:val="000000" w:themeColor="text1"/>
                <w:sz w:val="24"/>
                <w:szCs w:val="18"/>
                <w:highlight w:val="none"/>
                <w:lang w:val="en-US" w:eastAsia="zh-CN"/>
                <w14:textFill>
                  <w14:solidFill>
                    <w14:schemeClr w14:val="tx1"/>
                  </w14:solidFill>
                </w14:textFill>
              </w:rPr>
              <w:t>及时</w:t>
            </w:r>
            <w:r>
              <w:rPr>
                <w:rFonts w:hint="eastAsia" w:ascii="Times New Roman" w:hAnsi="Times New Roman" w:cs="Times New Roman"/>
                <w:color w:val="000000" w:themeColor="text1"/>
                <w:sz w:val="24"/>
                <w:szCs w:val="18"/>
                <w:highlight w:val="none"/>
                <w:lang w:eastAsia="zh-CN"/>
                <w14:textFill>
                  <w14:solidFill>
                    <w14:schemeClr w14:val="tx1"/>
                  </w14:solidFill>
                </w14:textFill>
              </w:rPr>
              <w:t>向相关行政主管部门报告。</w:t>
            </w:r>
          </w:p>
          <w:p w14:paraId="2FDD691E">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安排专人穿戴全套防护用品，对泄漏、散落的危废迅速收集、清理；对受污染的区域、物品进行无害化处置，必要时封锁污染区；清理使用的工具和防护用品需单独清洗，避免二次污染。</w:t>
            </w:r>
          </w:p>
          <w:p w14:paraId="4F4CD85F">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（四）火灾事故应急处置</w:t>
            </w:r>
          </w:p>
          <w:p w14:paraId="1A3C90B1">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火灾发生时立即启动消防应急预案，组织人员利用现场消防器材开展初期灭火，同时迅速将危险区域人员撤离至安全区，并及时向消防系统报警。</w:t>
            </w:r>
          </w:p>
          <w:p w14:paraId="06D48D01">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若火灾产生有毒有害气体，及时通知厂区下风向周边居民采取疏散、防护等措施；委托有资质单位开展应急大气监测，根据监测结果调整防控措施。</w:t>
            </w:r>
          </w:p>
          <w:p w14:paraId="56BEE572">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（五）应急组织与保障</w:t>
            </w:r>
          </w:p>
          <w:p w14:paraId="7CC46CE7">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企业建立公司-车间-班组三级应急组织机构，明确各级事故处理人员的职责、任务，组建专业抢险队伍，保障应急运输、物资、</w:t>
            </w:r>
            <w:r>
              <w:rPr>
                <w:rFonts w:hint="eastAsia" w:cs="Times New Roman"/>
                <w:color w:val="000000" w:themeColor="text1"/>
                <w:sz w:val="24"/>
                <w:szCs w:val="18"/>
                <w:highlight w:val="none"/>
                <w:lang w:eastAsia="zh-CN"/>
                <w14:textFill>
                  <w14:solidFill>
                    <w14:schemeClr w14:val="tx1"/>
                  </w14:solidFill>
                </w14:textFill>
              </w:rPr>
              <w:t>通信</w:t>
            </w:r>
            <w:r>
              <w:rPr>
                <w:rFonts w:hint="eastAsia" w:ascii="Times New Roman" w:hAnsi="Times New Roman" w:cs="Times New Roman"/>
                <w:color w:val="000000" w:themeColor="text1"/>
                <w:sz w:val="24"/>
                <w:szCs w:val="18"/>
                <w:highlight w:val="none"/>
                <w:lang w:eastAsia="zh-CN"/>
                <w14:textFill>
                  <w14:solidFill>
                    <w14:schemeClr w14:val="tx1"/>
                  </w14:solidFill>
                </w14:textFill>
              </w:rPr>
              <w:t>、宣传等工作，确保应急措施顺利实施。</w:t>
            </w:r>
          </w:p>
          <w:p w14:paraId="114C3B16">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成立专项应急救援小组，明确小组负责人及 24 小时联系电话，定期组织应急培训和演练，确保事故发生时能快速响应、规范处置。</w:t>
            </w:r>
          </w:p>
          <w:p w14:paraId="5F6D4483">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生产车间配备急救设备及药品，作业人员需掌握各类化学物质的危险性、健康毒害性及自救互救措施；企业医务室建立初期急救流程，对中毒、受伤人员及时开展初期处理后送医治疗。</w:t>
            </w:r>
          </w:p>
          <w:p w14:paraId="00BE9F32">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建立规范的紧急事故汇报程序，事故发生后按要求及时向环保、应急、消防等相关主管部门报告，做好事故调查及后续整改工作。</w:t>
            </w:r>
          </w:p>
          <w:p w14:paraId="178852BD">
            <w:pPr>
              <w:pStyle w:val="66"/>
              <w:ind w:firstLine="420"/>
              <w:rPr>
                <w:rFonts w:hint="default" w:ascii="Times New Roman" w:hAnsi="Times New Roman" w:cs="Times New Roman"/>
                <w:b/>
                <w:bCs/>
                <w:color w:val="000000" w:themeColor="text1"/>
                <w:sz w:val="24"/>
                <w:szCs w:val="18"/>
                <w:highlight w:val="none"/>
                <w:lang w:val="en-US" w:eastAsia="zh-CN"/>
                <w14:textFill>
                  <w14:solidFill>
                    <w14:schemeClr w14:val="tx1"/>
                  </w14:solidFill>
                </w14:textFill>
              </w:rPr>
            </w:pPr>
            <w:r>
              <w:rPr>
                <w:rFonts w:hint="eastAsia" w:cs="Times New Roman"/>
                <w:b/>
                <w:bCs/>
                <w:color w:val="000000" w:themeColor="text1"/>
                <w:sz w:val="24"/>
                <w:szCs w:val="18"/>
                <w:highlight w:val="none"/>
                <w:lang w:val="en-US" w:eastAsia="zh-CN"/>
                <w14:textFill>
                  <w14:solidFill>
                    <w14:schemeClr w14:val="tx1"/>
                  </w14:solidFill>
                </w14:textFill>
              </w:rPr>
              <w:t>五、事故应急池容积分析</w:t>
            </w:r>
          </w:p>
          <w:p w14:paraId="20554317">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根据《中华人民共和国水污染防治法》</w:t>
            </w:r>
            <w:r>
              <w:rPr>
                <w:rFonts w:hint="eastAsia" w:cs="Times New Roman"/>
                <w:color w:val="000000" w:themeColor="text1"/>
                <w:sz w:val="24"/>
                <w:szCs w:val="18"/>
                <w:highlight w:val="none"/>
                <w:lang w:eastAsia="zh-CN"/>
                <w14:textFill>
                  <w14:solidFill>
                    <w14:schemeClr w14:val="tx1"/>
                  </w14:solidFill>
                </w14:textFill>
              </w:rPr>
              <w:t>，</w:t>
            </w:r>
            <w:r>
              <w:rPr>
                <w:rFonts w:hint="eastAsia" w:ascii="Times New Roman" w:hAnsi="Times New Roman" w:cs="Times New Roman"/>
                <w:color w:val="000000" w:themeColor="text1"/>
                <w:sz w:val="24"/>
                <w:szCs w:val="18"/>
                <w:highlight w:val="none"/>
                <w:lang w:eastAsia="zh-CN"/>
                <w14:textFill>
                  <w14:solidFill>
                    <w14:schemeClr w14:val="tx1"/>
                  </w14:solidFill>
                </w14:textFill>
              </w:rPr>
              <w:t>生产、储存危险化学品的企业事业单位，应当采取措施，防止在处理安全生产事故过程中产生的可能严重污染水体的消防废水、废液直接排入水体。</w:t>
            </w:r>
          </w:p>
          <w:p w14:paraId="7921768B">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1、化学品</w:t>
            </w:r>
            <w:r>
              <w:rPr>
                <w:rFonts w:hint="eastAsia" w:cs="Times New Roman"/>
                <w:color w:val="000000" w:themeColor="text1"/>
                <w:sz w:val="24"/>
                <w:szCs w:val="18"/>
                <w:highlight w:val="none"/>
                <w:lang w:val="en-US" w:eastAsia="zh-CN"/>
                <w14:textFill>
                  <w14:solidFill>
                    <w14:schemeClr w14:val="tx1"/>
                  </w14:solidFill>
                </w14:textFill>
              </w:rPr>
              <w:t>间</w:t>
            </w:r>
            <w:r>
              <w:rPr>
                <w:rFonts w:hint="eastAsia" w:ascii="Times New Roman" w:hAnsi="Times New Roman" w:cs="Times New Roman"/>
                <w:color w:val="000000" w:themeColor="text1"/>
                <w:sz w:val="24"/>
                <w:szCs w:val="18"/>
                <w:highlight w:val="none"/>
                <w:lang w:eastAsia="zh-CN"/>
                <w14:textFill>
                  <w14:solidFill>
                    <w14:schemeClr w14:val="tx1"/>
                  </w14:solidFill>
                </w14:textFill>
              </w:rPr>
              <w:t>泄漏应急分析</w:t>
            </w:r>
          </w:p>
          <w:p w14:paraId="301263BA">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企业</w:t>
            </w:r>
            <w:r>
              <w:rPr>
                <w:rFonts w:hint="eastAsia" w:cs="Times New Roman"/>
                <w:color w:val="000000" w:themeColor="text1"/>
                <w:sz w:val="24"/>
                <w:szCs w:val="18"/>
                <w:highlight w:val="none"/>
                <w:lang w:val="en-US" w:eastAsia="zh-CN"/>
                <w14:textFill>
                  <w14:solidFill>
                    <w14:schemeClr w14:val="tx1"/>
                  </w14:solidFill>
                </w14:textFill>
              </w:rPr>
              <w:t>拟</w:t>
            </w:r>
            <w:r>
              <w:rPr>
                <w:rFonts w:hint="eastAsia" w:ascii="Times New Roman" w:hAnsi="Times New Roman" w:cs="Times New Roman"/>
                <w:color w:val="000000" w:themeColor="text1"/>
                <w:sz w:val="24"/>
                <w:szCs w:val="18"/>
                <w:highlight w:val="none"/>
                <w:lang w:eastAsia="zh-CN"/>
                <w14:textFill>
                  <w14:solidFill>
                    <w14:schemeClr w14:val="tx1"/>
                  </w14:solidFill>
                </w14:textFill>
              </w:rPr>
              <w:t>在</w:t>
            </w:r>
            <w:r>
              <w:rPr>
                <w:rFonts w:hint="eastAsia" w:cs="Times New Roman"/>
                <w:color w:val="000000" w:themeColor="text1"/>
                <w:sz w:val="24"/>
                <w:szCs w:val="18"/>
                <w:highlight w:val="none"/>
                <w:lang w:val="en-US" w:eastAsia="zh-CN"/>
                <w14:textFill>
                  <w14:solidFill>
                    <w14:schemeClr w14:val="tx1"/>
                  </w14:solidFill>
                </w14:textFill>
              </w:rPr>
              <w:t>化学品间四周设置边沟，容积约2.52m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cs="Times New Roman"/>
                <w:color w:val="000000" w:themeColor="text1"/>
                <w:sz w:val="24"/>
                <w:szCs w:val="18"/>
                <w:highlight w:val="none"/>
                <w:lang w:val="en-US" w:eastAsia="zh-CN"/>
                <w14:textFill>
                  <w14:solidFill>
                    <w14:schemeClr w14:val="tx1"/>
                  </w14:solidFill>
                </w14:textFill>
              </w:rPr>
              <w:t>。企业存放于化学品仓内的液态化学品包装规格为20L/桶，全部包装桶发生泄漏的概率极低。若单桶发生泄漏，化学品仓设置的边沟足以容纳泄漏的物料，泄漏物料不会溢流至化学品仓外。</w:t>
            </w:r>
          </w:p>
          <w:p w14:paraId="26B77A4A">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2</w:t>
            </w:r>
            <w:r>
              <w:rPr>
                <w:rFonts w:hint="default" w:cs="Times New Roman"/>
                <w:color w:val="000000" w:themeColor="text1"/>
                <w:sz w:val="24"/>
                <w:szCs w:val="18"/>
                <w:highlight w:val="none"/>
                <w:lang w:val="en-US" w:eastAsia="zh-CN"/>
                <w14:textFill>
                  <w14:solidFill>
                    <w14:schemeClr w14:val="tx1"/>
                  </w14:solidFill>
                </w14:textFill>
              </w:rPr>
              <w:t>、污水站故障应急分析</w:t>
            </w:r>
          </w:p>
          <w:p w14:paraId="64BF003F">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厂区</w:t>
            </w:r>
            <w:r>
              <w:rPr>
                <w:rFonts w:hint="eastAsia" w:cs="Times New Roman"/>
                <w:color w:val="000000" w:themeColor="text1"/>
                <w:sz w:val="24"/>
                <w:szCs w:val="18"/>
                <w:highlight w:val="none"/>
                <w:lang w:val="en-US" w:eastAsia="zh-CN"/>
                <w14:textFill>
                  <w14:solidFill>
                    <w14:schemeClr w14:val="tx1"/>
                  </w14:solidFill>
                </w14:textFill>
              </w:rPr>
              <w:t>60</w:t>
            </w:r>
            <w:r>
              <w:rPr>
                <w:rFonts w:hint="default" w:cs="Times New Roman"/>
                <w:color w:val="000000" w:themeColor="text1"/>
                <w:sz w:val="24"/>
                <w:szCs w:val="18"/>
                <w:highlight w:val="none"/>
                <w:lang w:val="en-US" w:eastAsia="zh-CN"/>
                <w14:textFill>
                  <w14:solidFill>
                    <w14:schemeClr w14:val="tx1"/>
                  </w14:solidFill>
                </w14:textFill>
              </w:rPr>
              <w:t>t/d污水站设置1座</w:t>
            </w:r>
            <w:r>
              <w:rPr>
                <w:rFonts w:hint="eastAsia" w:cs="Times New Roman"/>
                <w:color w:val="000000" w:themeColor="text1"/>
                <w:sz w:val="24"/>
                <w:szCs w:val="18"/>
                <w:highlight w:val="none"/>
                <w:lang w:val="en-US" w:eastAsia="zh-CN"/>
                <w14:textFill>
                  <w14:solidFill>
                    <w14:schemeClr w14:val="tx1"/>
                  </w14:solidFill>
                </w14:textFill>
              </w:rPr>
              <w:t>66</w:t>
            </w:r>
            <w:r>
              <w:rPr>
                <w:rFonts w:hint="default" w:cs="Times New Roman"/>
                <w:color w:val="000000" w:themeColor="text1"/>
                <w:sz w:val="24"/>
                <w:szCs w:val="18"/>
                <w:highlight w:val="none"/>
                <w:lang w:val="en-US" w:eastAsia="zh-CN"/>
                <w14:textFill>
                  <w14:solidFill>
                    <w14:schemeClr w14:val="tx1"/>
                  </w14:solidFill>
                </w14:textFill>
              </w:rPr>
              <w:t>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default" w:cs="Times New Roman"/>
                <w:color w:val="000000" w:themeColor="text1"/>
                <w:sz w:val="24"/>
                <w:szCs w:val="18"/>
                <w:highlight w:val="none"/>
                <w:lang w:val="en-US" w:eastAsia="zh-CN"/>
                <w14:textFill>
                  <w14:solidFill>
                    <w14:schemeClr w14:val="tx1"/>
                  </w14:solidFill>
                </w14:textFill>
              </w:rPr>
              <w:t>应急池。</w:t>
            </w:r>
            <w:r>
              <w:rPr>
                <w:rFonts w:hint="eastAsia" w:cs="Times New Roman"/>
                <w:color w:val="000000" w:themeColor="text1"/>
                <w:sz w:val="24"/>
                <w:szCs w:val="18"/>
                <w:highlight w:val="none"/>
                <w:lang w:val="en-US" w:eastAsia="zh-CN"/>
                <w14:textFill>
                  <w14:solidFill>
                    <w14:schemeClr w14:val="tx1"/>
                  </w14:solidFill>
                </w14:textFill>
              </w:rPr>
              <w:t>若</w:t>
            </w:r>
            <w:r>
              <w:rPr>
                <w:rFonts w:hint="default" w:cs="Times New Roman"/>
                <w:color w:val="000000" w:themeColor="text1"/>
                <w:sz w:val="24"/>
                <w:szCs w:val="18"/>
                <w:highlight w:val="none"/>
                <w:lang w:val="en-US" w:eastAsia="zh-CN"/>
                <w14:textFill>
                  <w14:solidFill>
                    <w14:schemeClr w14:val="tx1"/>
                  </w14:solidFill>
                </w14:textFill>
              </w:rPr>
              <w:t>污水站部分池体设备故障，可通过切换污水站应急池阀门，将流入故障池体的废水引流至应急池内，待故障排除后再将废水导入污水站处理。厂区污水站每年企业停工时，进行维护检修，故突发污水站全面故障概率极低，若该极低概率事件发生，企业停止产生废水的工段运行。综上分析，污水站配备的应急池可满足污水站故障情况下应急要求。</w:t>
            </w:r>
          </w:p>
          <w:p w14:paraId="45BDF10E">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、危险废物暂存间泄漏应急分析</w:t>
            </w:r>
          </w:p>
          <w:p w14:paraId="55FA7F0E">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危险废物暂存</w:t>
            </w:r>
            <w:r>
              <w:rPr>
                <w:rFonts w:hint="eastAsia" w:cs="Times New Roman"/>
                <w:color w:val="000000" w:themeColor="text1"/>
                <w:sz w:val="24"/>
                <w:szCs w:val="18"/>
                <w:highlight w:val="none"/>
                <w:lang w:val="en-US" w:eastAsia="zh-CN"/>
                <w14:textFill>
                  <w14:solidFill>
                    <w14:schemeClr w14:val="tx1"/>
                  </w14:solidFill>
                </w14:textFill>
              </w:rPr>
              <w:t>间</w:t>
            </w:r>
            <w:r>
              <w:rPr>
                <w:rFonts w:hint="eastAsia" w:ascii="Times New Roman" w:hAnsi="Times New Roman" w:cs="Times New Roman"/>
                <w:color w:val="000000" w:themeColor="text1"/>
                <w:sz w:val="24"/>
                <w:szCs w:val="18"/>
                <w:highlight w:val="none"/>
                <w:lang w:eastAsia="zh-CN"/>
                <w14:textFill>
                  <w14:solidFill>
                    <w14:schemeClr w14:val="tx1"/>
                  </w14:solidFill>
                </w14:textFill>
              </w:rPr>
              <w:t>内存放的危险废物最大储存容器为吨桶，暂存间设置边沟</w:t>
            </w:r>
            <w:r>
              <w:rPr>
                <w:rFonts w:hint="eastAsia" w:cs="Times New Roman"/>
                <w:color w:val="000000" w:themeColor="text1"/>
                <w:sz w:val="24"/>
                <w:szCs w:val="18"/>
                <w:highlight w:val="none"/>
                <w:lang w:val="en-US" w:eastAsia="zh-CN"/>
                <w14:textFill>
                  <w14:solidFill>
                    <w14:schemeClr w14:val="tx1"/>
                  </w14:solidFill>
                </w14:textFill>
              </w:rPr>
              <w:t>，容积约2.52m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。暂存间内全部吨桶同时泄漏概率极低，最大可信事故为单个吨桶泄漏，泄漏物料可截留至边沟内，危险废物暂存间设置的边沟可满足泄漏应急要求。</w:t>
            </w:r>
          </w:p>
          <w:p w14:paraId="70AFE1E2">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、消防事故应急事故水池容积分析</w:t>
            </w:r>
          </w:p>
          <w:p w14:paraId="47F9C823">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应急事故水池容积参照《石化企业水体环境风险防控技术要求》（Q/SH0729</w:t>
            </w:r>
            <w:r>
              <w:rPr>
                <w:rFonts w:hint="eastAsia" w:cs="Times New Roman"/>
                <w:color w:val="000000" w:themeColor="text1"/>
                <w:sz w:val="24"/>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18"/>
                <w:highlight w:val="none"/>
                <w:lang w:eastAsia="zh-CN"/>
                <w14:textFill>
                  <w14:solidFill>
                    <w14:schemeClr w14:val="tx1"/>
                  </w14:solidFill>
                </w14:textFill>
              </w:rPr>
              <w:t>2018）规定，公式如下：</w:t>
            </w:r>
          </w:p>
          <w:p w14:paraId="3397099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总</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)max+V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5</w:t>
            </w:r>
          </w:p>
          <w:p w14:paraId="3320D0C3">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式中：V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—收集系统范围内发生事故时的泄漏物料量；</w:t>
            </w:r>
          </w:p>
          <w:p w14:paraId="02E97369">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—发生事故的消防水量；</w:t>
            </w:r>
          </w:p>
          <w:p w14:paraId="5C6BF521">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—发生事故时可以转输到其他储存或处理设施的物料量；</w:t>
            </w:r>
          </w:p>
          <w:p w14:paraId="6C24C056">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—发生事故时必须进入该收集池的生产废水量；</w:t>
            </w:r>
          </w:p>
          <w:p w14:paraId="36AF0872">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5</w:t>
            </w:r>
            <w:r>
              <w:rPr>
                <w:rFonts w:hint="eastAsia" w:ascii="Times New Roman" w:hAnsi="Times New Roman" w:cs="Times New Roman"/>
                <w:color w:val="000000" w:themeColor="text1"/>
                <w:sz w:val="24"/>
                <w:szCs w:val="18"/>
                <w:highlight w:val="none"/>
                <w:lang w:eastAsia="zh-CN"/>
                <w14:textFill>
                  <w14:solidFill>
                    <w14:schemeClr w14:val="tx1"/>
                  </w14:solidFill>
                </w14:textFill>
              </w:rPr>
              <w:t>一发生事故时可能进入该收集系统的降雨量。V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5</w:t>
            </w:r>
            <w:r>
              <w:rPr>
                <w:rFonts w:hint="eastAsia" w:ascii="Times New Roman" w:hAnsi="Times New Roman" w:cs="Times New Roman"/>
                <w:color w:val="000000" w:themeColor="text1"/>
                <w:sz w:val="24"/>
                <w:szCs w:val="18"/>
                <w:highlight w:val="none"/>
                <w:lang w:eastAsia="zh-CN"/>
                <w14:textFill>
                  <w14:solidFill>
                    <w14:schemeClr w14:val="tx1"/>
                  </w14:solidFill>
                </w14:textFill>
              </w:rPr>
              <w:t>=10qF，其中q=qa/n，日平均降雨量；F：必须进入事故池的雨水汇水面积，ha。</w:t>
            </w:r>
          </w:p>
          <w:p w14:paraId="66049245">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（1）物料泄漏（V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63DFA907">
            <w:pPr>
              <w:pStyle w:val="66"/>
              <w:ind w:firstLine="420"/>
              <w:rPr>
                <w:rFonts w:hint="default" w:ascii="Times New Roman" w:hAnsi="Times New Roman" w:cs="Times New Roman"/>
                <w:color w:val="000000" w:themeColor="text1"/>
                <w:sz w:val="24"/>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生产车间内化学品物料以20L/桶存放，</w:t>
            </w:r>
            <w:r>
              <w:rPr>
                <w:rFonts w:hint="eastAsia" w:ascii="Times New Roman" w:hAnsi="Times New Roman" w:cs="Times New Roman"/>
                <w:color w:val="000000" w:themeColor="text1"/>
                <w:sz w:val="24"/>
                <w:szCs w:val="18"/>
                <w:highlight w:val="none"/>
                <w:lang w:val="en-US" w:eastAsia="zh-CN"/>
                <w14:textFill>
                  <w14:solidFill>
                    <w14:schemeClr w14:val="tx1"/>
                  </w14:solidFill>
                </w14:textFill>
              </w:rPr>
              <w:t>若单桶发生泄漏，化学品仓设置的边沟</w:t>
            </w:r>
            <w:r>
              <w:rPr>
                <w:rFonts w:hint="eastAsia" w:cs="Times New Roman"/>
                <w:color w:val="000000" w:themeColor="text1"/>
                <w:sz w:val="24"/>
                <w:szCs w:val="18"/>
                <w:highlight w:val="none"/>
                <w:lang w:val="en-US" w:eastAsia="zh-CN"/>
                <w14:textFill>
                  <w14:solidFill>
                    <w14:schemeClr w14:val="tx1"/>
                  </w14:solidFill>
                </w14:textFill>
              </w:rPr>
              <w:t>容积约2.52m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cs="Times New Roman"/>
                <w:color w:val="000000" w:themeColor="text1"/>
                <w:sz w:val="24"/>
                <w:szCs w:val="18"/>
                <w:highlight w:val="none"/>
                <w:lang w:eastAsia="zh-CN"/>
                <w14:textFill>
                  <w14:solidFill>
                    <w14:schemeClr w14:val="tx1"/>
                  </w14:solidFill>
                </w14:textFill>
              </w:rPr>
              <w:t>，</w:t>
            </w:r>
            <w:r>
              <w:rPr>
                <w:rFonts w:hint="eastAsia" w:ascii="Times New Roman" w:hAnsi="Times New Roman" w:cs="Times New Roman"/>
                <w:color w:val="000000" w:themeColor="text1"/>
                <w:sz w:val="24"/>
                <w:szCs w:val="18"/>
                <w:highlight w:val="none"/>
                <w:lang w:val="en-US" w:eastAsia="zh-CN"/>
                <w14:textFill>
                  <w14:solidFill>
                    <w14:schemeClr w14:val="tx1"/>
                  </w14:solidFill>
                </w14:textFill>
              </w:rPr>
              <w:t>足以容纳泄漏的物料，泄漏物料不会溢流至化学品仓外</w:t>
            </w:r>
            <w:r>
              <w:rPr>
                <w:rFonts w:hint="eastAsia" w:cs="Times New Roman"/>
                <w:color w:val="000000" w:themeColor="text1"/>
                <w:sz w:val="24"/>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危险废物暂存</w:t>
            </w:r>
            <w:r>
              <w:rPr>
                <w:rFonts w:hint="eastAsia" w:cs="Times New Roman"/>
                <w:color w:val="000000" w:themeColor="text1"/>
                <w:sz w:val="24"/>
                <w:szCs w:val="18"/>
                <w:highlight w:val="none"/>
                <w:lang w:val="en-US" w:eastAsia="zh-CN"/>
                <w14:textFill>
                  <w14:solidFill>
                    <w14:schemeClr w14:val="tx1"/>
                  </w14:solidFill>
                </w14:textFill>
              </w:rPr>
              <w:t>间</w:t>
            </w:r>
            <w:r>
              <w:rPr>
                <w:rFonts w:hint="eastAsia" w:ascii="Times New Roman" w:hAnsi="Times New Roman" w:cs="Times New Roman"/>
                <w:color w:val="000000" w:themeColor="text1"/>
                <w:sz w:val="24"/>
                <w:szCs w:val="18"/>
                <w:highlight w:val="none"/>
                <w:lang w:eastAsia="zh-CN"/>
                <w14:textFill>
                  <w14:solidFill>
                    <w14:schemeClr w14:val="tx1"/>
                  </w14:solidFill>
                </w14:textFill>
              </w:rPr>
              <w:t>内存放的危险废物最大储存容器为吨桶，暂存间</w:t>
            </w:r>
            <w:r>
              <w:rPr>
                <w:rFonts w:hint="eastAsia" w:cs="Times New Roman"/>
                <w:color w:val="000000" w:themeColor="text1"/>
                <w:sz w:val="24"/>
                <w:szCs w:val="18"/>
                <w:highlight w:val="none"/>
                <w:lang w:val="en-US" w:eastAsia="zh-CN"/>
                <w14:textFill>
                  <w14:solidFill>
                    <w14:schemeClr w14:val="tx1"/>
                  </w14:solidFill>
                </w14:textFill>
              </w:rPr>
              <w:t>外</w:t>
            </w:r>
            <w:r>
              <w:rPr>
                <w:rFonts w:hint="eastAsia" w:ascii="Times New Roman" w:hAnsi="Times New Roman" w:cs="Times New Roman"/>
                <w:color w:val="000000" w:themeColor="text1"/>
                <w:sz w:val="24"/>
                <w:szCs w:val="18"/>
                <w:highlight w:val="none"/>
                <w:lang w:eastAsia="zh-CN"/>
                <w14:textFill>
                  <w14:solidFill>
                    <w14:schemeClr w14:val="tx1"/>
                  </w14:solidFill>
                </w14:textFill>
              </w:rPr>
              <w:t>设置边沟</w:t>
            </w:r>
            <w:r>
              <w:rPr>
                <w:rFonts w:hint="eastAsia" w:cs="Times New Roman"/>
                <w:color w:val="000000" w:themeColor="text1"/>
                <w:sz w:val="24"/>
                <w:szCs w:val="18"/>
                <w:highlight w:val="none"/>
                <w:lang w:val="en-US" w:eastAsia="zh-CN"/>
                <w14:textFill>
                  <w14:solidFill>
                    <w14:schemeClr w14:val="tx1"/>
                  </w14:solidFill>
                </w14:textFill>
              </w:rPr>
              <w:t>，容积约2.52m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。暂存间内全部吨桶同时泄漏概率极低，最大可信事故为单个吨桶泄漏，泄漏物料可截留至边沟内，危险废物暂存间设置的边沟可满足泄漏应急要求。</w:t>
            </w:r>
            <w:r>
              <w:rPr>
                <w:rFonts w:hint="eastAsia" w:cs="Times New Roman"/>
                <w:color w:val="000000" w:themeColor="text1"/>
                <w:sz w:val="24"/>
                <w:szCs w:val="18"/>
                <w:highlight w:val="none"/>
                <w:lang w:val="en-US" w:eastAsia="zh-CN"/>
                <w14:textFill>
                  <w14:solidFill>
                    <w14:schemeClr w14:val="tx1"/>
                  </w14:solidFill>
                </w14:textFill>
              </w:rPr>
              <w:t>因此</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1</w:t>
            </w:r>
            <w:r>
              <w:rPr>
                <w:rFonts w:hint="eastAsia" w:cs="Times New Roman"/>
                <w:color w:val="000000" w:themeColor="text1"/>
                <w:sz w:val="24"/>
                <w:szCs w:val="18"/>
                <w:highlight w:val="none"/>
                <w:lang w:val="en-US" w:eastAsia="zh-CN"/>
                <w14:textFill>
                  <w14:solidFill>
                    <w14:schemeClr w14:val="tx1"/>
                  </w14:solidFill>
                </w14:textFill>
              </w:rPr>
              <w:t>=0</w:t>
            </w:r>
          </w:p>
          <w:p w14:paraId="76FBFBC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（2）发生事故的最大消防用水量（V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40853EDA">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根据车间消防设计，室内消防栓水量为</w:t>
            </w:r>
            <w:r>
              <w:rPr>
                <w:rFonts w:hint="eastAsia" w:cs="Times New Roman"/>
                <w:color w:val="000000" w:themeColor="text1"/>
                <w:sz w:val="24"/>
                <w:szCs w:val="18"/>
                <w:highlight w:val="none"/>
                <w:lang w:val="en-US" w:eastAsia="zh-CN"/>
                <w14:textFill>
                  <w14:solidFill>
                    <w14:schemeClr w14:val="tx1"/>
                  </w14:solidFill>
                </w14:textFill>
              </w:rPr>
              <w:t>20</w:t>
            </w:r>
            <w:r>
              <w:rPr>
                <w:rFonts w:hint="eastAsia" w:ascii="Times New Roman" w:hAnsi="Times New Roman" w:cs="Times New Roman"/>
                <w:color w:val="000000" w:themeColor="text1"/>
                <w:sz w:val="24"/>
                <w:szCs w:val="18"/>
                <w:highlight w:val="none"/>
                <w:lang w:eastAsia="zh-CN"/>
                <w14:textFill>
                  <w14:solidFill>
                    <w14:schemeClr w14:val="tx1"/>
                  </w14:solidFill>
                </w14:textFill>
              </w:rPr>
              <w:t>L/s；火灾延续时间按</w:t>
            </w:r>
            <w:r>
              <w:rPr>
                <w:rFonts w:hint="eastAsia" w:cs="Times New Roman"/>
                <w:color w:val="000000" w:themeColor="text1"/>
                <w:sz w:val="24"/>
                <w:szCs w:val="18"/>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h计算。假设一次火灾产生的消防废水量为消防废水用量。经计算，一次消防废水产生量为</w:t>
            </w:r>
            <w:r>
              <w:rPr>
                <w:rFonts w:hint="eastAsia" w:cs="Times New Roman"/>
                <w:color w:val="000000" w:themeColor="text1"/>
                <w:sz w:val="24"/>
                <w:szCs w:val="18"/>
                <w:highlight w:val="none"/>
                <w:lang w:val="en-US" w:eastAsia="zh-CN"/>
                <w14:textFill>
                  <w14:solidFill>
                    <w14:schemeClr w14:val="tx1"/>
                  </w14:solidFill>
                </w14:textFill>
              </w:rPr>
              <w:t>216</w:t>
            </w:r>
            <w:r>
              <w:rPr>
                <w:rFonts w:hint="eastAsia" w:ascii="Times New Roman" w:hAnsi="Times New Roman" w:cs="Times New Roman"/>
                <w:color w:val="000000" w:themeColor="text1"/>
                <w:sz w:val="24"/>
                <w:szCs w:val="18"/>
                <w:highlight w:val="none"/>
                <w:lang w:eastAsia="zh-CN"/>
                <w14:textFill>
                  <w14:solidFill>
                    <w14:schemeClr w14:val="tx1"/>
                  </w14:solidFill>
                </w14:textFill>
              </w:rPr>
              <w:t>m</w:t>
            </w:r>
            <w:r>
              <w:rPr>
                <w:rFonts w:hint="eastAsia" w:ascii="Times New Roman" w:hAnsi="Times New Roman" w:cs="Times New Roman"/>
                <w:color w:val="000000" w:themeColor="text1"/>
                <w:sz w:val="24"/>
                <w:szCs w:val="18"/>
                <w:highlight w:val="none"/>
                <w:vertAlign w:val="superscript"/>
                <w:lang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05712AE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（3）发生事故时可以转输到其他储存或处理设施的物料量（V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18510F4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=0m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3948222D">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（4）生产废水应急所需容积（V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1747845E">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发生事故时</w:t>
            </w:r>
            <w:r>
              <w:rPr>
                <w:rFonts w:hint="eastAsia" w:cs="Times New Roman"/>
                <w:color w:val="000000" w:themeColor="text1"/>
                <w:sz w:val="24"/>
                <w:szCs w:val="18"/>
                <w:highlight w:val="none"/>
                <w:lang w:val="en-US" w:eastAsia="zh-CN"/>
                <w14:textFill>
                  <w14:solidFill>
                    <w14:schemeClr w14:val="tx1"/>
                  </w14:solidFill>
                </w14:textFill>
              </w:rPr>
              <w:t>生产废水进入污水处理站的应急池</w:t>
            </w:r>
            <w:r>
              <w:rPr>
                <w:rFonts w:hint="eastAsia" w:ascii="Times New Roman" w:hAnsi="Times New Roman" w:cs="Times New Roman"/>
                <w:color w:val="000000" w:themeColor="text1"/>
                <w:sz w:val="24"/>
                <w:szCs w:val="18"/>
                <w:highlight w:val="none"/>
                <w:lang w:eastAsia="zh-CN"/>
                <w14:textFill>
                  <w14:solidFill>
                    <w14:schemeClr w14:val="tx1"/>
                  </w14:solidFill>
                </w14:textFill>
              </w:rPr>
              <w:t>，则V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=0m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3BB62F97">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（5）降雨量（V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5</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3EED32E2">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福州市年均降水量</w:t>
            </w:r>
            <w:r>
              <w:rPr>
                <w:rFonts w:hint="eastAsia" w:cs="Times New Roman"/>
                <w:color w:val="000000" w:themeColor="text1"/>
                <w:sz w:val="24"/>
                <w:szCs w:val="18"/>
                <w:highlight w:val="none"/>
                <w:lang w:val="en-US" w:eastAsia="zh-CN"/>
                <w14:textFill>
                  <w14:solidFill>
                    <w14:schemeClr w14:val="tx1"/>
                  </w14:solidFill>
                </w14:textFill>
              </w:rPr>
              <w:t>约</w:t>
            </w:r>
            <w:r>
              <w:rPr>
                <w:rFonts w:hint="eastAsia" w:ascii="Times New Roman" w:hAnsi="Times New Roman" w:cs="Times New Roman"/>
                <w:color w:val="000000" w:themeColor="text1"/>
                <w:sz w:val="24"/>
                <w:szCs w:val="18"/>
                <w:highlight w:val="none"/>
                <w:lang w:eastAsia="zh-CN"/>
                <w14:textFill>
                  <w14:solidFill>
                    <w14:schemeClr w14:val="tx1"/>
                  </w14:solidFill>
                </w14:textFill>
              </w:rPr>
              <w:t>取</w:t>
            </w:r>
            <w:r>
              <w:rPr>
                <w:rFonts w:hint="eastAsia" w:cs="Times New Roman"/>
                <w:color w:val="000000" w:themeColor="text1"/>
                <w:sz w:val="24"/>
                <w:szCs w:val="18"/>
                <w:highlight w:val="none"/>
                <w:lang w:val="en-US" w:eastAsia="zh-CN"/>
                <w14:textFill>
                  <w14:solidFill>
                    <w14:schemeClr w14:val="tx1"/>
                  </w14:solidFill>
                </w14:textFill>
              </w:rPr>
              <w:t>1342</w:t>
            </w:r>
            <w:r>
              <w:rPr>
                <w:rFonts w:hint="eastAsia" w:ascii="Times New Roman" w:hAnsi="Times New Roman" w:cs="Times New Roman"/>
                <w:color w:val="000000" w:themeColor="text1"/>
                <w:sz w:val="24"/>
                <w:szCs w:val="18"/>
                <w:highlight w:val="none"/>
                <w:lang w:eastAsia="zh-CN"/>
                <w14:textFill>
                  <w14:solidFill>
                    <w14:schemeClr w14:val="tx1"/>
                  </w14:solidFill>
                </w14:textFill>
              </w:rPr>
              <w:t>mm，年平均降雨天数取</w:t>
            </w:r>
            <w:r>
              <w:rPr>
                <w:rFonts w:hint="eastAsia" w:cs="Times New Roman"/>
                <w:color w:val="000000" w:themeColor="text1"/>
                <w:sz w:val="24"/>
                <w:szCs w:val="18"/>
                <w:highlight w:val="none"/>
                <w:lang w:val="en-US" w:eastAsia="zh-CN"/>
                <w14:textFill>
                  <w14:solidFill>
                    <w14:schemeClr w14:val="tx1"/>
                  </w14:solidFill>
                </w14:textFill>
              </w:rPr>
              <w:t>145</w:t>
            </w:r>
            <w:r>
              <w:rPr>
                <w:rFonts w:hint="eastAsia" w:ascii="Times New Roman" w:hAnsi="Times New Roman" w:cs="Times New Roman"/>
                <w:color w:val="000000" w:themeColor="text1"/>
                <w:sz w:val="24"/>
                <w:szCs w:val="18"/>
                <w:highlight w:val="none"/>
                <w:lang w:eastAsia="zh-CN"/>
                <w14:textFill>
                  <w14:solidFill>
                    <w14:schemeClr w14:val="tx1"/>
                  </w14:solidFill>
                </w14:textFill>
              </w:rPr>
              <w:t>天，则q为</w:t>
            </w:r>
            <w:r>
              <w:rPr>
                <w:rFonts w:hint="eastAsia" w:cs="Times New Roman"/>
                <w:color w:val="000000" w:themeColor="text1"/>
                <w:sz w:val="24"/>
                <w:szCs w:val="18"/>
                <w:highlight w:val="none"/>
                <w:lang w:val="en-US" w:eastAsia="zh-CN"/>
                <w14:textFill>
                  <w14:solidFill>
                    <w14:schemeClr w14:val="tx1"/>
                  </w14:solidFill>
                </w14:textFill>
              </w:rPr>
              <w:t>9.255</w:t>
            </w:r>
            <w:r>
              <w:rPr>
                <w:rFonts w:hint="eastAsia" w:ascii="Times New Roman" w:hAnsi="Times New Roman" w:cs="Times New Roman"/>
                <w:color w:val="000000" w:themeColor="text1"/>
                <w:sz w:val="24"/>
                <w:szCs w:val="18"/>
                <w:highlight w:val="none"/>
                <w:lang w:eastAsia="zh-CN"/>
                <w14:textFill>
                  <w14:solidFill>
                    <w14:schemeClr w14:val="tx1"/>
                  </w14:solidFill>
                </w14:textFill>
              </w:rPr>
              <w:t>mm/d，</w:t>
            </w:r>
            <w:r>
              <w:rPr>
                <w:rFonts w:hint="eastAsia" w:cs="Times New Roman"/>
                <w:color w:val="000000" w:themeColor="text1"/>
                <w:sz w:val="24"/>
                <w:szCs w:val="18"/>
                <w:highlight w:val="none"/>
                <w:lang w:val="en-US" w:eastAsia="zh-CN"/>
                <w14:textFill>
                  <w14:solidFill>
                    <w14:schemeClr w14:val="tx1"/>
                  </w14:solidFill>
                </w14:textFill>
              </w:rPr>
              <w:t>屋面的雨水通过雨水管道收集排入市政雨水管网，</w:t>
            </w:r>
            <w:r>
              <w:rPr>
                <w:rFonts w:hint="eastAsia" w:ascii="Times New Roman" w:hAnsi="Times New Roman" w:cs="Times New Roman"/>
                <w:color w:val="000000" w:themeColor="text1"/>
                <w:sz w:val="24"/>
                <w:szCs w:val="18"/>
                <w:highlight w:val="none"/>
                <w:lang w:eastAsia="zh-CN"/>
                <w14:textFill>
                  <w14:solidFill>
                    <w14:schemeClr w14:val="tx1"/>
                  </w14:solidFill>
                </w14:textFill>
              </w:rPr>
              <w:t>发生事故时可能进入该收集系统的降雨量</w:t>
            </w:r>
            <w:r>
              <w:rPr>
                <w:rFonts w:hint="eastAsia" w:cs="Times New Roman"/>
                <w:color w:val="000000" w:themeColor="text1"/>
                <w:sz w:val="24"/>
                <w:szCs w:val="18"/>
                <w:highlight w:val="none"/>
                <w:lang w:val="en-US" w:eastAsia="zh-CN"/>
                <w14:textFill>
                  <w14:solidFill>
                    <w14:schemeClr w14:val="tx1"/>
                  </w14:solidFill>
                </w14:textFill>
              </w:rPr>
              <w:t>为化学品间和危废间与室外边沟围成的汇水面积，约0.0034</w:t>
            </w:r>
            <w:r>
              <w:rPr>
                <w:rFonts w:hint="eastAsia" w:ascii="Times New Roman" w:hAnsi="Times New Roman" w:cs="Times New Roman"/>
                <w:color w:val="000000" w:themeColor="text1"/>
                <w:sz w:val="24"/>
                <w:szCs w:val="18"/>
                <w:highlight w:val="none"/>
                <w:lang w:eastAsia="zh-CN"/>
                <w14:textFill>
                  <w14:solidFill>
                    <w14:schemeClr w14:val="tx1"/>
                  </w14:solidFill>
                </w14:textFill>
              </w:rPr>
              <w:t>ha，则V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5</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r>
              <w:rPr>
                <w:rFonts w:hint="eastAsia" w:cs="Times New Roman"/>
                <w:color w:val="000000" w:themeColor="text1"/>
                <w:sz w:val="24"/>
                <w:szCs w:val="18"/>
                <w:highlight w:val="none"/>
                <w:lang w:val="en-US" w:eastAsia="zh-CN"/>
                <w14:textFill>
                  <w14:solidFill>
                    <w14:schemeClr w14:val="tx1"/>
                  </w14:solidFill>
                </w14:textFill>
              </w:rPr>
              <w:t>0.31</w:t>
            </w:r>
            <w:r>
              <w:rPr>
                <w:rFonts w:hint="eastAsia" w:ascii="Times New Roman" w:hAnsi="Times New Roman" w:cs="Times New Roman"/>
                <w:color w:val="000000" w:themeColor="text1"/>
                <w:sz w:val="24"/>
                <w:szCs w:val="18"/>
                <w:highlight w:val="none"/>
                <w:lang w:eastAsia="zh-CN"/>
                <w14:textFill>
                  <w14:solidFill>
                    <w14:schemeClr w14:val="tx1"/>
                  </w14:solidFill>
                </w14:textFill>
              </w:rPr>
              <w:t>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310638DB">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消防事故应急池V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总</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1</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2</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)max+V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4</w:t>
            </w:r>
            <w:r>
              <w:rPr>
                <w:rFonts w:hint="eastAsia" w:ascii="Times New Roman" w:hAnsi="Times New Roman" w:cs="Times New Roman"/>
                <w:color w:val="000000" w:themeColor="text1"/>
                <w:sz w:val="24"/>
                <w:szCs w:val="18"/>
                <w:highlight w:val="none"/>
                <w:lang w:eastAsia="zh-CN"/>
                <w14:textFill>
                  <w14:solidFill>
                    <w14:schemeClr w14:val="tx1"/>
                  </w14:solidFill>
                </w14:textFill>
              </w:rPr>
              <w:t>+V</w:t>
            </w:r>
            <w:r>
              <w:rPr>
                <w:rFonts w:hint="eastAsia" w:ascii="Times New Roman" w:hAnsi="Times New Roman" w:cs="Times New Roman"/>
                <w:color w:val="000000" w:themeColor="text1"/>
                <w:sz w:val="24"/>
                <w:szCs w:val="18"/>
                <w:highlight w:val="none"/>
                <w:vertAlign w:val="subscript"/>
                <w:lang w:eastAsia="zh-CN"/>
                <w14:textFill>
                  <w14:solidFill>
                    <w14:schemeClr w14:val="tx1"/>
                  </w14:solidFill>
                </w14:textFill>
              </w:rPr>
              <w:t>5</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r>
              <w:rPr>
                <w:rFonts w:hint="eastAsia" w:cs="Times New Roman"/>
                <w:color w:val="000000" w:themeColor="text1"/>
                <w:sz w:val="24"/>
                <w:szCs w:val="18"/>
                <w:highlight w:val="none"/>
                <w:lang w:val="en-US" w:eastAsia="zh-CN"/>
                <w14:textFill>
                  <w14:solidFill>
                    <w14:schemeClr w14:val="tx1"/>
                  </w14:solidFill>
                </w14:textFill>
              </w:rPr>
              <w:t>0</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r>
              <w:rPr>
                <w:rFonts w:hint="eastAsia" w:cs="Times New Roman"/>
                <w:color w:val="000000" w:themeColor="text1"/>
                <w:sz w:val="24"/>
                <w:szCs w:val="18"/>
                <w:highlight w:val="none"/>
                <w:lang w:val="en-US" w:eastAsia="zh-CN"/>
                <w14:textFill>
                  <w14:solidFill>
                    <w14:schemeClr w14:val="tx1"/>
                  </w14:solidFill>
                </w14:textFill>
              </w:rPr>
              <w:t>216</w:t>
            </w:r>
            <w:r>
              <w:rPr>
                <w:rFonts w:hint="eastAsia" w:ascii="Times New Roman" w:hAnsi="Times New Roman" w:cs="Times New Roman"/>
                <w:color w:val="000000" w:themeColor="text1"/>
                <w:sz w:val="24"/>
                <w:szCs w:val="18"/>
                <w:highlight w:val="none"/>
                <w:lang w:eastAsia="zh-CN"/>
                <w14:textFill>
                  <w14:solidFill>
                    <w14:schemeClr w14:val="tx1"/>
                  </w14:solidFill>
                </w14:textFill>
              </w:rPr>
              <w:t>-0）+</w:t>
            </w:r>
            <w:r>
              <w:rPr>
                <w:rFonts w:hint="eastAsia" w:cs="Times New Roman"/>
                <w:color w:val="000000" w:themeColor="text1"/>
                <w:sz w:val="24"/>
                <w:szCs w:val="18"/>
                <w:highlight w:val="none"/>
                <w:lang w:val="en-US" w:eastAsia="zh-CN"/>
                <w14:textFill>
                  <w14:solidFill>
                    <w14:schemeClr w14:val="tx1"/>
                  </w14:solidFill>
                </w14:textFill>
              </w:rPr>
              <w:t>0</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r>
              <w:rPr>
                <w:rFonts w:hint="eastAsia" w:cs="Times New Roman"/>
                <w:color w:val="000000" w:themeColor="text1"/>
                <w:sz w:val="24"/>
                <w:szCs w:val="18"/>
                <w:highlight w:val="none"/>
                <w:lang w:val="en-US" w:eastAsia="zh-CN"/>
                <w14:textFill>
                  <w14:solidFill>
                    <w14:schemeClr w14:val="tx1"/>
                  </w14:solidFill>
                </w14:textFill>
              </w:rPr>
              <w:t>0.31</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r>
              <w:rPr>
                <w:rFonts w:hint="eastAsia" w:cs="Times New Roman"/>
                <w:color w:val="000000" w:themeColor="text1"/>
                <w:sz w:val="24"/>
                <w:szCs w:val="18"/>
                <w:highlight w:val="none"/>
                <w:lang w:val="en-US" w:eastAsia="zh-CN"/>
                <w14:textFill>
                  <w14:solidFill>
                    <w14:schemeClr w14:val="tx1"/>
                  </w14:solidFill>
                </w14:textFill>
              </w:rPr>
              <w:t>216.31</w:t>
            </w:r>
            <w:r>
              <w:rPr>
                <w:rFonts w:hint="eastAsia" w:ascii="Times New Roman" w:hAnsi="Times New Roman" w:cs="Times New Roman"/>
                <w:color w:val="000000" w:themeColor="text1"/>
                <w:sz w:val="24"/>
                <w:szCs w:val="18"/>
                <w:highlight w:val="none"/>
                <w:lang w:eastAsia="zh-CN"/>
                <w14:textFill>
                  <w14:solidFill>
                    <w14:schemeClr w14:val="tx1"/>
                  </w14:solidFill>
                </w14:textFill>
              </w:rPr>
              <w:t>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p>
          <w:p w14:paraId="7AC08706">
            <w:pPr>
              <w:pStyle w:val="66"/>
              <w:ind w:firstLine="420"/>
              <w:rPr>
                <w:rFonts w:hint="eastAsia" w:ascii="Times New Roman" w:hAnsi="Times New Roman" w:cs="Times New Roman"/>
                <w:color w:val="000000" w:themeColor="text1"/>
                <w:sz w:val="24"/>
                <w:szCs w:val="18"/>
                <w:highlight w:val="none"/>
                <w:lang w:eastAsia="zh-CN"/>
                <w14:textFill>
                  <w14:solidFill>
                    <w14:schemeClr w14:val="tx1"/>
                  </w14:solidFill>
                </w14:textFill>
              </w:rPr>
            </w:pPr>
            <w:r>
              <w:rPr>
                <w:rFonts w:hint="eastAsia" w:cs="Times New Roman"/>
                <w:color w:val="000000" w:themeColor="text1"/>
                <w:sz w:val="24"/>
                <w:szCs w:val="18"/>
                <w:highlight w:val="none"/>
                <w:lang w:val="en-US" w:eastAsia="zh-CN"/>
                <w14:textFill>
                  <w14:solidFill>
                    <w14:schemeClr w14:val="tx1"/>
                  </w14:solidFill>
                </w14:textFill>
              </w:rPr>
              <w:t>因此</w:t>
            </w:r>
            <w:r>
              <w:rPr>
                <w:rFonts w:hint="eastAsia" w:ascii="Times New Roman" w:hAnsi="Times New Roman" w:cs="Times New Roman"/>
                <w:color w:val="000000" w:themeColor="text1"/>
                <w:sz w:val="24"/>
                <w:szCs w:val="18"/>
                <w:highlight w:val="none"/>
                <w:lang w:eastAsia="zh-CN"/>
                <w14:textFill>
                  <w14:solidFill>
                    <w14:schemeClr w14:val="tx1"/>
                  </w14:solidFill>
                </w14:textFill>
              </w:rPr>
              <w:t>，</w:t>
            </w:r>
            <w:r>
              <w:rPr>
                <w:rFonts w:hint="eastAsia" w:cs="Times New Roman"/>
                <w:color w:val="000000" w:themeColor="text1"/>
                <w:sz w:val="24"/>
                <w:szCs w:val="18"/>
                <w:highlight w:val="none"/>
                <w:lang w:val="en-US" w:eastAsia="zh-CN"/>
                <w14:textFill>
                  <w14:solidFill>
                    <w14:schemeClr w14:val="tx1"/>
                  </w14:solidFill>
                </w14:textFill>
              </w:rPr>
              <w:t>本次评价建议企业设置220</w:t>
            </w:r>
            <w:r>
              <w:rPr>
                <w:rFonts w:hint="eastAsia" w:ascii="Times New Roman" w:hAnsi="Times New Roman" w:cs="Times New Roman"/>
                <w:color w:val="000000" w:themeColor="text1"/>
                <w:sz w:val="24"/>
                <w:szCs w:val="18"/>
                <w:highlight w:val="none"/>
                <w:lang w:eastAsia="zh-CN"/>
                <w14:textFill>
                  <w14:solidFill>
                    <w14:schemeClr w14:val="tx1"/>
                  </w14:solidFill>
                </w14:textFill>
              </w:rPr>
              <w:t>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cs="Times New Roman"/>
                <w:color w:val="000000" w:themeColor="text1"/>
                <w:sz w:val="24"/>
                <w:szCs w:val="18"/>
                <w:highlight w:val="none"/>
                <w:lang w:val="en-US" w:eastAsia="zh-CN"/>
                <w14:textFill>
                  <w14:solidFill>
                    <w14:schemeClr w14:val="tx1"/>
                  </w14:solidFill>
                </w14:textFill>
              </w:rPr>
              <w:t>的</w:t>
            </w:r>
            <w:r>
              <w:rPr>
                <w:rFonts w:hint="eastAsia" w:ascii="Times New Roman" w:hAnsi="Times New Roman" w:cs="Times New Roman"/>
                <w:color w:val="000000" w:themeColor="text1"/>
                <w:sz w:val="24"/>
                <w:szCs w:val="18"/>
                <w:highlight w:val="none"/>
                <w:lang w:eastAsia="zh-CN"/>
                <w14:textFill>
                  <w14:solidFill>
                    <w14:schemeClr w14:val="tx1"/>
                  </w14:solidFill>
                </w14:textFill>
              </w:rPr>
              <w:t>应急池，可满足消防事故情况下厂区的应急需求。</w:t>
            </w:r>
          </w:p>
          <w:p w14:paraId="173B7FAE">
            <w:pPr>
              <w:pStyle w:val="66"/>
              <w:ind w:firstLine="420"/>
              <w:rPr>
                <w:rFonts w:hint="eastAsia" w:cs="Times New Roman"/>
                <w:color w:val="000000" w:themeColor="text1"/>
                <w:sz w:val="24"/>
                <w:szCs w:val="18"/>
                <w:highlight w:val="none"/>
                <w:lang w:val="en-US" w:eastAsia="zh-CN"/>
                <w14:textFill>
                  <w14:solidFill>
                    <w14:schemeClr w14:val="tx1"/>
                  </w14:solidFill>
                </w14:textFill>
              </w:rPr>
            </w:pPr>
            <w:r>
              <w:rPr>
                <w:rFonts w:hint="eastAsia" w:cs="Times New Roman"/>
                <w:b/>
                <w:bCs/>
                <w:color w:val="000000" w:themeColor="text1"/>
                <w:sz w:val="24"/>
                <w:szCs w:val="18"/>
                <w:highlight w:val="none"/>
                <w:lang w:val="en-US" w:eastAsia="zh-CN"/>
                <w14:textFill>
                  <w14:solidFill>
                    <w14:schemeClr w14:val="tx1"/>
                  </w14:solidFill>
                </w14:textFill>
              </w:rPr>
              <w:t>六、与园区环境事故应急设施的衔接</w:t>
            </w:r>
          </w:p>
          <w:p w14:paraId="5BB8F501">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为了阻断事故泄漏</w:t>
            </w:r>
            <w:r>
              <w:rPr>
                <w:rFonts w:hint="eastAsia" w:cs="Times New Roman"/>
                <w:color w:val="000000" w:themeColor="text1"/>
                <w:sz w:val="24"/>
                <w:szCs w:val="18"/>
                <w:highlight w:val="none"/>
                <w:lang w:val="en-US" w:eastAsia="zh-CN"/>
                <w14:textFill>
                  <w14:solidFill>
                    <w14:schemeClr w14:val="tx1"/>
                  </w14:solidFill>
                </w14:textFill>
              </w:rPr>
              <w:t>液体</w:t>
            </w:r>
            <w:r>
              <w:rPr>
                <w:rFonts w:hint="default" w:cs="Times New Roman"/>
                <w:color w:val="000000" w:themeColor="text1"/>
                <w:sz w:val="24"/>
                <w:szCs w:val="18"/>
                <w:highlight w:val="none"/>
                <w:lang w:val="en-US" w:eastAsia="zh-CN"/>
                <w14:textFill>
                  <w14:solidFill>
                    <w14:schemeClr w14:val="tx1"/>
                  </w14:solidFill>
                </w14:textFill>
              </w:rPr>
              <w:t>和消防废水进入外环境，本项目设置“单元→厂区→园区/区域”三级环境风险防控体系。</w:t>
            </w:r>
          </w:p>
          <w:p w14:paraId="24E2E352">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（1）一级防控措施</w:t>
            </w:r>
          </w:p>
          <w:p w14:paraId="671A7CF7">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第一级防控为仓储单元、生产单元</w:t>
            </w:r>
            <w:r>
              <w:rPr>
                <w:rFonts w:hint="eastAsia" w:cs="Times New Roman"/>
                <w:color w:val="000000" w:themeColor="text1"/>
                <w:sz w:val="24"/>
                <w:szCs w:val="18"/>
                <w:highlight w:val="none"/>
                <w:lang w:val="en-US" w:eastAsia="zh-CN"/>
                <w14:textFill>
                  <w14:solidFill>
                    <w14:schemeClr w14:val="tx1"/>
                  </w14:solidFill>
                </w14:textFill>
              </w:rPr>
              <w:t>。</w:t>
            </w:r>
          </w:p>
          <w:p w14:paraId="57B636CF">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企业</w:t>
            </w:r>
            <w:r>
              <w:rPr>
                <w:rFonts w:hint="eastAsia" w:cs="Times New Roman"/>
                <w:color w:val="000000" w:themeColor="text1"/>
                <w:sz w:val="24"/>
                <w:szCs w:val="18"/>
                <w:highlight w:val="none"/>
                <w:lang w:val="en-US" w:eastAsia="zh-CN"/>
                <w14:textFill>
                  <w14:solidFill>
                    <w14:schemeClr w14:val="tx1"/>
                  </w14:solidFill>
                </w14:textFill>
              </w:rPr>
              <w:t>拟</w:t>
            </w:r>
            <w:r>
              <w:rPr>
                <w:rFonts w:hint="eastAsia" w:ascii="Times New Roman" w:hAnsi="Times New Roman" w:cs="Times New Roman"/>
                <w:color w:val="000000" w:themeColor="text1"/>
                <w:sz w:val="24"/>
                <w:szCs w:val="18"/>
                <w:highlight w:val="none"/>
                <w:lang w:eastAsia="zh-CN"/>
                <w14:textFill>
                  <w14:solidFill>
                    <w14:schemeClr w14:val="tx1"/>
                  </w14:solidFill>
                </w14:textFill>
              </w:rPr>
              <w:t>在</w:t>
            </w:r>
            <w:r>
              <w:rPr>
                <w:rFonts w:hint="eastAsia" w:cs="Times New Roman"/>
                <w:color w:val="000000" w:themeColor="text1"/>
                <w:sz w:val="24"/>
                <w:szCs w:val="18"/>
                <w:highlight w:val="none"/>
                <w:lang w:val="en-US" w:eastAsia="zh-CN"/>
                <w14:textFill>
                  <w14:solidFill>
                    <w14:schemeClr w14:val="tx1"/>
                  </w14:solidFill>
                </w14:textFill>
              </w:rPr>
              <w:t>化学品间四周设置边沟，容积约2.52m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cs="Times New Roman"/>
                <w:color w:val="000000" w:themeColor="text1"/>
                <w:sz w:val="24"/>
                <w:szCs w:val="18"/>
                <w:highlight w:val="none"/>
                <w:lang w:val="en-US" w:eastAsia="zh-CN"/>
                <w14:textFill>
                  <w14:solidFill>
                    <w14:schemeClr w14:val="tx1"/>
                  </w14:solidFill>
                </w14:textFill>
              </w:rPr>
              <w:t>。企业存放于化学品仓内的液态化学品包装规格为20L/桶，全部包装桶发生泄漏的概率极低。若单桶发生泄漏，化学品仓设置的边沟足以容纳泄漏的物料，泄漏物料不会溢流至化学品仓外。</w:t>
            </w:r>
            <w:r>
              <w:rPr>
                <w:rFonts w:hint="eastAsia" w:ascii="Times New Roman" w:hAnsi="Times New Roman" w:cs="Times New Roman"/>
                <w:color w:val="000000" w:themeColor="text1"/>
                <w:sz w:val="24"/>
                <w:szCs w:val="18"/>
                <w:highlight w:val="none"/>
                <w:lang w:eastAsia="zh-CN"/>
                <w14:textFill>
                  <w14:solidFill>
                    <w14:schemeClr w14:val="tx1"/>
                  </w14:solidFill>
                </w14:textFill>
              </w:rPr>
              <w:t>危险废物暂存</w:t>
            </w:r>
            <w:r>
              <w:rPr>
                <w:rFonts w:hint="eastAsia" w:cs="Times New Roman"/>
                <w:color w:val="000000" w:themeColor="text1"/>
                <w:sz w:val="24"/>
                <w:szCs w:val="18"/>
                <w:highlight w:val="none"/>
                <w:lang w:val="en-US" w:eastAsia="zh-CN"/>
                <w14:textFill>
                  <w14:solidFill>
                    <w14:schemeClr w14:val="tx1"/>
                  </w14:solidFill>
                </w14:textFill>
              </w:rPr>
              <w:t>间</w:t>
            </w:r>
            <w:r>
              <w:rPr>
                <w:rFonts w:hint="eastAsia" w:ascii="Times New Roman" w:hAnsi="Times New Roman" w:cs="Times New Roman"/>
                <w:color w:val="000000" w:themeColor="text1"/>
                <w:sz w:val="24"/>
                <w:szCs w:val="18"/>
                <w:highlight w:val="none"/>
                <w:lang w:eastAsia="zh-CN"/>
                <w14:textFill>
                  <w14:solidFill>
                    <w14:schemeClr w14:val="tx1"/>
                  </w14:solidFill>
                </w14:textFill>
              </w:rPr>
              <w:t>内存放的危险废物最大储存容器为吨桶，暂存间设置边沟</w:t>
            </w:r>
            <w:r>
              <w:rPr>
                <w:rFonts w:hint="eastAsia" w:cs="Times New Roman"/>
                <w:color w:val="000000" w:themeColor="text1"/>
                <w:sz w:val="24"/>
                <w:szCs w:val="18"/>
                <w:highlight w:val="none"/>
                <w:lang w:val="en-US" w:eastAsia="zh-CN"/>
                <w14:textFill>
                  <w14:solidFill>
                    <w14:schemeClr w14:val="tx1"/>
                  </w14:solidFill>
                </w14:textFill>
              </w:rPr>
              <w:t>，容积约2.52m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18"/>
                <w:highlight w:val="none"/>
                <w:lang w:eastAsia="zh-CN"/>
                <w14:textFill>
                  <w14:solidFill>
                    <w14:schemeClr w14:val="tx1"/>
                  </w14:solidFill>
                </w14:textFill>
              </w:rPr>
              <w:t>。暂存间内全部吨桶同时泄漏概率极低，最大可信事故为单个吨桶泄漏，泄漏物料可截留至边沟内，危险废物暂存间设置的边沟可满足泄漏应急要求。</w:t>
            </w:r>
            <w:r>
              <w:rPr>
                <w:rFonts w:hint="eastAsia" w:cs="Times New Roman"/>
                <w:color w:val="000000" w:themeColor="text1"/>
                <w:sz w:val="24"/>
                <w:szCs w:val="18"/>
                <w:highlight w:val="none"/>
                <w:lang w:val="en-US" w:eastAsia="zh-CN"/>
                <w14:textFill>
                  <w14:solidFill>
                    <w14:schemeClr w14:val="tx1"/>
                  </w14:solidFill>
                </w14:textFill>
              </w:rPr>
              <w:t>上述</w:t>
            </w:r>
            <w:r>
              <w:rPr>
                <w:rFonts w:hint="default" w:cs="Times New Roman"/>
                <w:color w:val="000000" w:themeColor="text1"/>
                <w:sz w:val="24"/>
                <w:szCs w:val="18"/>
                <w:highlight w:val="none"/>
                <w:lang w:val="en-US" w:eastAsia="zh-CN"/>
                <w14:textFill>
                  <w14:solidFill>
                    <w14:schemeClr w14:val="tx1"/>
                  </w14:solidFill>
                </w14:textFill>
              </w:rPr>
              <w:t>为一级防控体系。</w:t>
            </w:r>
          </w:p>
          <w:p w14:paraId="51164521">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（2）二级防控措施</w:t>
            </w:r>
          </w:p>
          <w:p w14:paraId="6B790724">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第二级防控为</w:t>
            </w:r>
            <w:r>
              <w:rPr>
                <w:rFonts w:hint="eastAsia" w:cs="Times New Roman"/>
                <w:color w:val="000000" w:themeColor="text1"/>
                <w:sz w:val="24"/>
                <w:szCs w:val="18"/>
                <w:highlight w:val="none"/>
                <w:lang w:val="en-US" w:eastAsia="zh-CN"/>
                <w14:textFill>
                  <w14:solidFill>
                    <w14:schemeClr w14:val="tx1"/>
                  </w14:solidFill>
                </w14:textFill>
              </w:rPr>
              <w:t>污水站应急池和</w:t>
            </w:r>
            <w:r>
              <w:rPr>
                <w:rFonts w:hint="default" w:cs="Times New Roman"/>
                <w:color w:val="000000" w:themeColor="text1"/>
                <w:sz w:val="24"/>
                <w:szCs w:val="18"/>
                <w:highlight w:val="none"/>
                <w:lang w:val="en-US" w:eastAsia="zh-CN"/>
                <w14:textFill>
                  <w14:solidFill>
                    <w14:schemeClr w14:val="tx1"/>
                  </w14:solidFill>
                </w14:textFill>
              </w:rPr>
              <w:t>厂区事故应急池。</w:t>
            </w:r>
          </w:p>
          <w:p w14:paraId="7BBFDDE0">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厂区</w:t>
            </w:r>
            <w:r>
              <w:rPr>
                <w:rFonts w:hint="eastAsia" w:cs="Times New Roman"/>
                <w:color w:val="000000" w:themeColor="text1"/>
                <w:sz w:val="24"/>
                <w:szCs w:val="18"/>
                <w:highlight w:val="none"/>
                <w:lang w:val="en-US" w:eastAsia="zh-CN"/>
                <w14:textFill>
                  <w14:solidFill>
                    <w14:schemeClr w14:val="tx1"/>
                  </w14:solidFill>
                </w14:textFill>
              </w:rPr>
              <w:t>60</w:t>
            </w:r>
            <w:r>
              <w:rPr>
                <w:rFonts w:hint="default" w:cs="Times New Roman"/>
                <w:color w:val="000000" w:themeColor="text1"/>
                <w:sz w:val="24"/>
                <w:szCs w:val="18"/>
                <w:highlight w:val="none"/>
                <w:lang w:val="en-US" w:eastAsia="zh-CN"/>
                <w14:textFill>
                  <w14:solidFill>
                    <w14:schemeClr w14:val="tx1"/>
                  </w14:solidFill>
                </w14:textFill>
              </w:rPr>
              <w:t>t/d污水站设置1座</w:t>
            </w:r>
            <w:r>
              <w:rPr>
                <w:rFonts w:hint="eastAsia" w:cs="Times New Roman"/>
                <w:color w:val="000000" w:themeColor="text1"/>
                <w:sz w:val="24"/>
                <w:szCs w:val="18"/>
                <w:highlight w:val="none"/>
                <w:lang w:val="en-US" w:eastAsia="zh-CN"/>
                <w14:textFill>
                  <w14:solidFill>
                    <w14:schemeClr w14:val="tx1"/>
                  </w14:solidFill>
                </w14:textFill>
              </w:rPr>
              <w:t>66</w:t>
            </w:r>
            <w:r>
              <w:rPr>
                <w:rFonts w:hint="default" w:cs="Times New Roman"/>
                <w:color w:val="000000" w:themeColor="text1"/>
                <w:sz w:val="24"/>
                <w:szCs w:val="18"/>
                <w:highlight w:val="none"/>
                <w:lang w:val="en-US" w:eastAsia="zh-CN"/>
                <w14:textFill>
                  <w14:solidFill>
                    <w14:schemeClr w14:val="tx1"/>
                  </w14:solidFill>
                </w14:textFill>
              </w:rPr>
              <w:t>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default" w:cs="Times New Roman"/>
                <w:color w:val="000000" w:themeColor="text1"/>
                <w:sz w:val="24"/>
                <w:szCs w:val="18"/>
                <w:highlight w:val="none"/>
                <w:lang w:val="en-US" w:eastAsia="zh-CN"/>
                <w14:textFill>
                  <w14:solidFill>
                    <w14:schemeClr w14:val="tx1"/>
                  </w14:solidFill>
                </w14:textFill>
              </w:rPr>
              <w:t>应急池。</w:t>
            </w:r>
            <w:r>
              <w:rPr>
                <w:rFonts w:hint="eastAsia" w:cs="Times New Roman"/>
                <w:color w:val="000000" w:themeColor="text1"/>
                <w:sz w:val="24"/>
                <w:szCs w:val="18"/>
                <w:highlight w:val="none"/>
                <w:lang w:val="en-US" w:eastAsia="zh-CN"/>
                <w14:textFill>
                  <w14:solidFill>
                    <w14:schemeClr w14:val="tx1"/>
                  </w14:solidFill>
                </w14:textFill>
              </w:rPr>
              <w:t>若</w:t>
            </w:r>
            <w:r>
              <w:rPr>
                <w:rFonts w:hint="default" w:cs="Times New Roman"/>
                <w:color w:val="000000" w:themeColor="text1"/>
                <w:sz w:val="24"/>
                <w:szCs w:val="18"/>
                <w:highlight w:val="none"/>
                <w:lang w:val="en-US" w:eastAsia="zh-CN"/>
                <w14:textFill>
                  <w14:solidFill>
                    <w14:schemeClr w14:val="tx1"/>
                  </w14:solidFill>
                </w14:textFill>
              </w:rPr>
              <w:t>污水站部分池体设备故障，可通过切换污水站应急池阀门，将流入故障池体的废水引流至应急池内，待故障排除后再将废水导入污水站处理。厂区污水站每年企业停工时，进行维护检修，故突发污水站全面故障概率极低，若该极低概率事件发生，企业停止产生废水的工段运行。综上分析，污水站配备的应急池可满足污水站故障情况下应急要求</w:t>
            </w:r>
            <w:r>
              <w:rPr>
                <w:rFonts w:hint="eastAsia" w:cs="Times New Roman"/>
                <w:color w:val="000000" w:themeColor="text1"/>
                <w:sz w:val="24"/>
                <w:szCs w:val="18"/>
                <w:highlight w:val="none"/>
                <w:lang w:val="en-US" w:eastAsia="zh-CN"/>
                <w14:textFill>
                  <w14:solidFill>
                    <w14:schemeClr w14:val="tx1"/>
                  </w14:solidFill>
                </w14:textFill>
              </w:rPr>
              <w:t>。厂区设置一座220</w:t>
            </w:r>
            <w:r>
              <w:rPr>
                <w:rFonts w:hint="default" w:cs="Times New Roman"/>
                <w:color w:val="000000" w:themeColor="text1"/>
                <w:sz w:val="24"/>
                <w:szCs w:val="18"/>
                <w:highlight w:val="none"/>
                <w:lang w:val="en-US" w:eastAsia="zh-CN"/>
                <w14:textFill>
                  <w14:solidFill>
                    <w14:schemeClr w14:val="tx1"/>
                  </w14:solidFill>
                </w14:textFill>
              </w:rPr>
              <w:t>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default" w:cs="Times New Roman"/>
                <w:color w:val="000000" w:themeColor="text1"/>
                <w:sz w:val="24"/>
                <w:szCs w:val="18"/>
                <w:highlight w:val="none"/>
                <w:lang w:val="en-US" w:eastAsia="zh-CN"/>
                <w14:textFill>
                  <w14:solidFill>
                    <w14:schemeClr w14:val="tx1"/>
                  </w14:solidFill>
                </w14:textFill>
              </w:rPr>
              <w:t>应急池</w:t>
            </w:r>
            <w:r>
              <w:rPr>
                <w:rFonts w:hint="eastAsia" w:cs="Times New Roman"/>
                <w:color w:val="000000" w:themeColor="text1"/>
                <w:sz w:val="24"/>
                <w:szCs w:val="18"/>
                <w:highlight w:val="none"/>
                <w:lang w:val="en-US" w:eastAsia="zh-CN"/>
                <w14:textFill>
                  <w14:solidFill>
                    <w14:schemeClr w14:val="tx1"/>
                  </w14:solidFill>
                </w14:textFill>
              </w:rPr>
              <w:t>，应对在发生环境风险事故情况下，用于收集消防废水和发生事故期间的雨水等，</w:t>
            </w:r>
            <w:r>
              <w:rPr>
                <w:rFonts w:hint="default" w:cs="Times New Roman"/>
                <w:color w:val="000000" w:themeColor="text1"/>
                <w:sz w:val="24"/>
                <w:szCs w:val="18"/>
                <w:highlight w:val="none"/>
                <w:lang w:val="en-US" w:eastAsia="zh-CN"/>
                <w14:textFill>
                  <w14:solidFill>
                    <w14:schemeClr w14:val="tx1"/>
                  </w14:solidFill>
                </w14:textFill>
              </w:rPr>
              <w:t>防止消防废水通过雨水管网进入自然水体，为二级防控体系。</w:t>
            </w:r>
          </w:p>
          <w:p w14:paraId="052300D5">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（3）三级防控措施</w:t>
            </w:r>
          </w:p>
          <w:p w14:paraId="1C6EF446">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第三级防控为园区/区域应急设施。</w:t>
            </w:r>
          </w:p>
          <w:p w14:paraId="31EA4158">
            <w:pPr>
              <w:pStyle w:val="66"/>
              <w:ind w:firstLine="420"/>
              <w:rPr>
                <w:rFonts w:hint="default" w:cs="Times New Roman"/>
                <w:color w:val="000000" w:themeColor="text1"/>
                <w:sz w:val="24"/>
                <w:szCs w:val="18"/>
                <w:highlight w:val="none"/>
                <w:lang w:val="en-US" w:eastAsia="zh-CN"/>
                <w14:textFill>
                  <w14:solidFill>
                    <w14:schemeClr w14:val="tx1"/>
                  </w14:solidFill>
                </w14:textFill>
              </w:rPr>
            </w:pPr>
            <w:r>
              <w:rPr>
                <w:rFonts w:hint="default" w:cs="Times New Roman"/>
                <w:color w:val="000000" w:themeColor="text1"/>
                <w:sz w:val="24"/>
                <w:szCs w:val="18"/>
                <w:highlight w:val="none"/>
                <w:lang w:val="en-US" w:eastAsia="zh-CN"/>
                <w14:textFill>
                  <w14:solidFill>
                    <w14:schemeClr w14:val="tx1"/>
                  </w14:solidFill>
                </w14:textFill>
              </w:rPr>
              <w:t>若厂区内的二级防控无法满足收集事故废水时，则应上报上级管理部门和大学城污水处理厂，将事故应急池内的废水用槽车抽运至大学城污水处理厂的事故应急池。大学城污水处理厂的事故池作为本项目的第三级防线，防止事故废水流入周边水体。</w:t>
            </w:r>
          </w:p>
          <w:p w14:paraId="3BED0495">
            <w:pPr>
              <w:pStyle w:val="37"/>
              <w:rPr>
                <w:rFonts w:hint="default" w:eastAsia="黑体"/>
                <w:color w:val="000000" w:themeColor="text1"/>
                <w:sz w:val="24"/>
                <w:szCs w:val="21"/>
                <w:highlight w:val="none"/>
                <w:lang w:val="en-US" w:eastAsia="zh-CN"/>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4.7.5环境风险分析结论</w:t>
            </w:r>
          </w:p>
          <w:p w14:paraId="4D763BAF">
            <w:pPr>
              <w:pStyle w:val="66"/>
              <w:ind w:firstLine="420"/>
              <w:rPr>
                <w:rFonts w:hint="default" w:ascii="Times New Roman" w:hAnsi="Times New Roman" w:cs="Times New Roman"/>
                <w:color w:val="000000" w:themeColor="text1"/>
                <w:sz w:val="24"/>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18"/>
                <w:highlight w:val="none"/>
                <w:lang w:eastAsia="zh-CN"/>
                <w14:textFill>
                  <w14:solidFill>
                    <w14:schemeClr w14:val="tx1"/>
                  </w14:solidFill>
                </w14:textFill>
              </w:rPr>
              <w:t>综上所述，项目在确保安全生产、避免因安全生产事故引发的环境污染事件， 切实落实环评提出的环境风险防范措施，并加强环境管理的前提下，建设项目环境风险是可防控的。</w:t>
            </w:r>
          </w:p>
          <w:p w14:paraId="763780B2">
            <w:pPr>
              <w:pStyle w:val="37"/>
              <w:rPr>
                <w:rFonts w:hint="default" w:eastAsia="黑体"/>
                <w:color w:val="000000" w:themeColor="text1"/>
                <w:sz w:val="24"/>
                <w:szCs w:val="21"/>
                <w:highlight w:val="none"/>
                <w:lang w:val="en-US" w:eastAsia="zh-CN"/>
                <w14:textFill>
                  <w14:solidFill>
                    <w14:schemeClr w14:val="tx1"/>
                  </w14:solidFill>
                </w14:textFill>
              </w:rPr>
            </w:pPr>
            <w:r>
              <w:rPr>
                <w:color w:val="000000" w:themeColor="text1"/>
                <w:sz w:val="24"/>
                <w:szCs w:val="21"/>
                <w:highlight w:val="none"/>
                <w14:textFill>
                  <w14:solidFill>
                    <w14:schemeClr w14:val="tx1"/>
                  </w14:solidFill>
                </w14:textFill>
              </w:rPr>
              <w:t>4.</w:t>
            </w:r>
            <w:r>
              <w:rPr>
                <w:rFonts w:hint="eastAsia"/>
                <w:color w:val="000000" w:themeColor="text1"/>
                <w:sz w:val="24"/>
                <w:szCs w:val="21"/>
                <w:highlight w:val="none"/>
                <w:lang w:val="en-US" w:eastAsia="zh-CN"/>
                <w14:textFill>
                  <w14:solidFill>
                    <w14:schemeClr w14:val="tx1"/>
                  </w14:solidFill>
                </w14:textFill>
              </w:rPr>
              <w:t>8环保投资</w:t>
            </w:r>
          </w:p>
          <w:p w14:paraId="28B03009">
            <w:pPr>
              <w:pStyle w:val="66"/>
              <w:ind w:firstLine="420"/>
              <w:rPr>
                <w:rFonts w:hint="default"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本项目环保措施及投资估算情况如</w:t>
            </w:r>
            <w:r>
              <w:rPr>
                <w:rFonts w:hint="default" w:ascii="Times New Roman" w:hAnsi="Times New Roman" w:cs="Times New Roman"/>
                <w:color w:val="000000" w:themeColor="text1"/>
                <w:highlight w:val="none"/>
                <w:lang w:val="en-US" w:eastAsia="zh-CN"/>
                <w14:textFill>
                  <w14:solidFill>
                    <w14:schemeClr w14:val="tx1"/>
                  </w14:solidFill>
                </w14:textFill>
              </w:rPr>
              <w:t>下</w:t>
            </w:r>
            <w:r>
              <w:rPr>
                <w:rFonts w:hint="default" w:ascii="Times New Roman" w:hAnsi="Times New Roman" w:cs="Times New Roman"/>
                <w:color w:val="000000" w:themeColor="text1"/>
                <w:highlight w:val="none"/>
                <w14:textFill>
                  <w14:solidFill>
                    <w14:schemeClr w14:val="tx1"/>
                  </w14:solidFill>
                </w14:textFill>
              </w:rPr>
              <w:t>表所示。本次项目的环保投资经估算约</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万元，占该项目总投资（</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万元）的</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具体见表4.8-1。</w:t>
            </w:r>
          </w:p>
          <w:p w14:paraId="584319F7">
            <w:pPr>
              <w:pStyle w:val="10"/>
              <w:tabs>
                <w:tab w:val="right" w:leader="dot" w:pos="8296"/>
              </w:tabs>
              <w:jc w:val="center"/>
              <w:rPr>
                <w:rFonts w:hint="default" w:ascii="Times New Roman" w:hAnsi="Times New Roman" w:eastAsia="宋体" w:cs="宋体"/>
                <w:b/>
                <w:bCs w:val="0"/>
                <w:color w:val="000000" w:themeColor="text1"/>
                <w:kern w:val="2"/>
                <w:sz w:val="24"/>
                <w:szCs w:val="24"/>
                <w:highlight w:val="none"/>
                <w:lang w:val="zh-CN" w:eastAsia="zh-CN" w:bidi="ar-SA"/>
                <w14:textFill>
                  <w14:solidFill>
                    <w14:schemeClr w14:val="tx1"/>
                  </w14:solidFill>
                </w14:textFill>
              </w:rPr>
            </w:pPr>
            <w:r>
              <w:rPr>
                <w:rFonts w:hint="default"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t>表</w:t>
            </w:r>
            <w:r>
              <w:rPr>
                <w:rFonts w:hint="eastAsia"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t>4.8</w:t>
            </w:r>
            <w:r>
              <w:rPr>
                <w:rFonts w:hint="default" w:ascii="Times New Roman" w:hAnsi="Times New Roman" w:eastAsia="宋体" w:cs="宋体"/>
                <w:b/>
                <w:bCs w:val="0"/>
                <w:color w:val="000000" w:themeColor="text1"/>
                <w:kern w:val="2"/>
                <w:sz w:val="24"/>
                <w:szCs w:val="24"/>
                <w:highlight w:val="none"/>
                <w:lang w:val="en-US" w:eastAsia="zh-CN" w:bidi="ar-SA"/>
                <w14:textFill>
                  <w14:solidFill>
                    <w14:schemeClr w14:val="tx1"/>
                  </w14:solidFill>
                </w14:textFill>
              </w:rPr>
              <w:t xml:space="preserve">-1  </w:t>
            </w:r>
            <w:r>
              <w:rPr>
                <w:rFonts w:hint="default" w:ascii="Times New Roman" w:hAnsi="Times New Roman" w:eastAsia="宋体" w:cs="宋体"/>
                <w:b/>
                <w:bCs w:val="0"/>
                <w:color w:val="000000" w:themeColor="text1"/>
                <w:kern w:val="2"/>
                <w:sz w:val="24"/>
                <w:szCs w:val="24"/>
                <w:highlight w:val="none"/>
                <w:lang w:val="zh-CN" w:eastAsia="zh-CN" w:bidi="ar-SA"/>
                <w14:textFill>
                  <w14:solidFill>
                    <w14:schemeClr w14:val="tx1"/>
                  </w14:solidFill>
                </w14:textFill>
              </w:rPr>
              <w:t>环保措施及投资估算一览表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66"/>
              <w:gridCol w:w="1575"/>
              <w:gridCol w:w="3630"/>
              <w:gridCol w:w="954"/>
              <w:gridCol w:w="1095"/>
            </w:tblGrid>
            <w:tr w14:paraId="22B6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2441" w:type="dxa"/>
                  <w:gridSpan w:val="2"/>
                  <w:noWrap w:val="0"/>
                  <w:vAlign w:val="center"/>
                </w:tcPr>
                <w:p w14:paraId="7F0A745B">
                  <w:pPr>
                    <w:pStyle w:val="89"/>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污染源类别及排放源</w:t>
                  </w:r>
                </w:p>
              </w:tc>
              <w:tc>
                <w:tcPr>
                  <w:tcW w:w="3630" w:type="dxa"/>
                  <w:noWrap w:val="0"/>
                  <w:vAlign w:val="center"/>
                </w:tcPr>
                <w:p w14:paraId="3A5A20F8">
                  <w:pPr>
                    <w:pStyle w:val="89"/>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治理措施</w:t>
                  </w:r>
                </w:p>
              </w:tc>
              <w:tc>
                <w:tcPr>
                  <w:tcW w:w="954" w:type="dxa"/>
                  <w:noWrap w:val="0"/>
                  <w:vAlign w:val="center"/>
                </w:tcPr>
                <w:p w14:paraId="4DE3FDC7">
                  <w:pPr>
                    <w:pStyle w:val="89"/>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数量</w:t>
                  </w:r>
                </w:p>
              </w:tc>
              <w:tc>
                <w:tcPr>
                  <w:tcW w:w="1095" w:type="dxa"/>
                  <w:noWrap w:val="0"/>
                  <w:vAlign w:val="center"/>
                </w:tcPr>
                <w:p w14:paraId="6309C22A">
                  <w:pPr>
                    <w:pStyle w:val="89"/>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投资</w:t>
                  </w:r>
                </w:p>
                <w:p w14:paraId="0A3B668B">
                  <w:pPr>
                    <w:pStyle w:val="89"/>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（万元）</w:t>
                  </w:r>
                </w:p>
              </w:tc>
            </w:tr>
            <w:tr w14:paraId="1860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restart"/>
                  <w:noWrap w:val="0"/>
                  <w:vAlign w:val="center"/>
                </w:tcPr>
                <w:p w14:paraId="00D00E60">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废气</w:t>
                  </w:r>
                </w:p>
              </w:tc>
              <w:tc>
                <w:tcPr>
                  <w:tcW w:w="1575" w:type="dxa"/>
                  <w:noWrap w:val="0"/>
                  <w:vAlign w:val="center"/>
                </w:tcPr>
                <w:p w14:paraId="297F2251">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粉尘废气</w:t>
                  </w:r>
                </w:p>
              </w:tc>
              <w:tc>
                <w:tcPr>
                  <w:tcW w:w="3630" w:type="dxa"/>
                  <w:noWrap w:val="0"/>
                  <w:vAlign w:val="center"/>
                </w:tcPr>
                <w:p w14:paraId="28435384">
                  <w:pPr>
                    <w:pStyle w:val="89"/>
                    <w:jc w:val="center"/>
                    <w:rPr>
                      <w:rFonts w:hint="default" w:ascii="Times New Roman" w:hAnsi="Times New Roman" w:eastAsia="宋体" w:cs="Times New Roman"/>
                      <w:color w:val="000000" w:themeColor="text1"/>
                      <w:szCs w:val="22"/>
                      <w:highlight w:val="none"/>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粉尘废气治理（集气罩+布袋除尘器+ 28m排气筒）</w:t>
                  </w:r>
                </w:p>
              </w:tc>
              <w:tc>
                <w:tcPr>
                  <w:tcW w:w="954" w:type="dxa"/>
                  <w:noWrap w:val="0"/>
                  <w:vAlign w:val="center"/>
                </w:tcPr>
                <w:p w14:paraId="05440469">
                  <w:pPr>
                    <w:pStyle w:val="89"/>
                    <w:jc w:val="cente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1</w:t>
                  </w:r>
                </w:p>
              </w:tc>
              <w:tc>
                <w:tcPr>
                  <w:tcW w:w="1095" w:type="dxa"/>
                  <w:noWrap w:val="0"/>
                  <w:vAlign w:val="center"/>
                </w:tcPr>
                <w:p w14:paraId="397EE59D">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7046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continue"/>
                  <w:noWrap w:val="0"/>
                  <w:vAlign w:val="center"/>
                </w:tcPr>
                <w:p w14:paraId="16775BB1">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575" w:type="dxa"/>
                  <w:noWrap w:val="0"/>
                  <w:vAlign w:val="center"/>
                </w:tcPr>
                <w:p w14:paraId="1872C03C">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有机废气</w:t>
                  </w:r>
                </w:p>
              </w:tc>
              <w:tc>
                <w:tcPr>
                  <w:tcW w:w="3630" w:type="dxa"/>
                  <w:noWrap w:val="0"/>
                  <w:vAlign w:val="center"/>
                </w:tcPr>
                <w:p w14:paraId="20BE6C79">
                  <w:pPr>
                    <w:pStyle w:val="89"/>
                    <w:jc w:val="center"/>
                    <w:rPr>
                      <w:rFonts w:hint="default" w:ascii="Times New Roman" w:hAnsi="Times New Roman" w:eastAsia="宋体" w:cs="Times New Roman"/>
                      <w:color w:val="000000" w:themeColor="text1"/>
                      <w:szCs w:val="22"/>
                      <w:highlight w:val="none"/>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有机废气治理（集气罩+二级活性炭吸附+30m排气筒）</w:t>
                  </w:r>
                </w:p>
              </w:tc>
              <w:tc>
                <w:tcPr>
                  <w:tcW w:w="954" w:type="dxa"/>
                  <w:noWrap w:val="0"/>
                  <w:vAlign w:val="center"/>
                </w:tcPr>
                <w:p w14:paraId="53B1511D">
                  <w:pPr>
                    <w:pStyle w:val="89"/>
                    <w:jc w:val="cente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1</w:t>
                  </w:r>
                </w:p>
              </w:tc>
              <w:tc>
                <w:tcPr>
                  <w:tcW w:w="1095" w:type="dxa"/>
                  <w:noWrap w:val="0"/>
                  <w:vAlign w:val="center"/>
                </w:tcPr>
                <w:p w14:paraId="5B622D90">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2DA1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continue"/>
                  <w:noWrap w:val="0"/>
                  <w:vAlign w:val="center"/>
                </w:tcPr>
                <w:p w14:paraId="3A135B26">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575" w:type="dxa"/>
                  <w:noWrap w:val="0"/>
                  <w:vAlign w:val="center"/>
                </w:tcPr>
                <w:p w14:paraId="04FDC73C">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酸性废气</w:t>
                  </w:r>
                </w:p>
              </w:tc>
              <w:tc>
                <w:tcPr>
                  <w:tcW w:w="3630" w:type="dxa"/>
                  <w:noWrap w:val="0"/>
                  <w:vAlign w:val="center"/>
                </w:tcPr>
                <w:p w14:paraId="21858BBA">
                  <w:pPr>
                    <w:pStyle w:val="89"/>
                    <w:jc w:val="center"/>
                    <w:rPr>
                      <w:rFonts w:hint="default" w:ascii="Times New Roman" w:hAnsi="Times New Roman" w:eastAsia="宋体" w:cs="Times New Roman"/>
                      <w:color w:val="000000" w:themeColor="text1"/>
                      <w:szCs w:val="22"/>
                      <w:highlight w:val="none"/>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酸性废气治理（密闭集气管道+碱液喷淋塔+30m排气筒）</w:t>
                  </w:r>
                </w:p>
              </w:tc>
              <w:tc>
                <w:tcPr>
                  <w:tcW w:w="954" w:type="dxa"/>
                  <w:noWrap w:val="0"/>
                  <w:vAlign w:val="center"/>
                </w:tcPr>
                <w:p w14:paraId="3D892487">
                  <w:pPr>
                    <w:pStyle w:val="89"/>
                    <w:jc w:val="cente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1</w:t>
                  </w:r>
                </w:p>
              </w:tc>
              <w:tc>
                <w:tcPr>
                  <w:tcW w:w="1095" w:type="dxa"/>
                  <w:noWrap w:val="0"/>
                  <w:vAlign w:val="center"/>
                </w:tcPr>
                <w:p w14:paraId="52EB8A49">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44E3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continue"/>
                  <w:noWrap w:val="0"/>
                  <w:vAlign w:val="center"/>
                </w:tcPr>
                <w:p w14:paraId="2E56D2A0">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575" w:type="dxa"/>
                  <w:noWrap w:val="0"/>
                  <w:vAlign w:val="center"/>
                </w:tcPr>
                <w:p w14:paraId="1F6B0AD2">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碱性废气</w:t>
                  </w:r>
                </w:p>
              </w:tc>
              <w:tc>
                <w:tcPr>
                  <w:tcW w:w="3630" w:type="dxa"/>
                  <w:noWrap w:val="0"/>
                  <w:vAlign w:val="center"/>
                </w:tcPr>
                <w:p w14:paraId="31C1F87B">
                  <w:pPr>
                    <w:pStyle w:val="89"/>
                    <w:jc w:val="center"/>
                    <w:rPr>
                      <w:rFonts w:hint="default" w:ascii="Times New Roman" w:hAnsi="Times New Roman" w:eastAsia="宋体" w:cs="Times New Roman"/>
                      <w:color w:val="000000" w:themeColor="text1"/>
                      <w:szCs w:val="22"/>
                      <w:highlight w:val="none"/>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碱性废气治理（密闭集气管道+稀硫酸喷淋塔+30m排气筒）</w:t>
                  </w:r>
                </w:p>
              </w:tc>
              <w:tc>
                <w:tcPr>
                  <w:tcW w:w="954" w:type="dxa"/>
                  <w:noWrap w:val="0"/>
                  <w:vAlign w:val="center"/>
                </w:tcPr>
                <w:p w14:paraId="5CB6BA62">
                  <w:pPr>
                    <w:pStyle w:val="89"/>
                    <w:jc w:val="cente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1</w:t>
                  </w:r>
                </w:p>
              </w:tc>
              <w:tc>
                <w:tcPr>
                  <w:tcW w:w="1095" w:type="dxa"/>
                  <w:noWrap w:val="0"/>
                  <w:vAlign w:val="center"/>
                </w:tcPr>
                <w:p w14:paraId="561FB907">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16AB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continue"/>
                  <w:noWrap w:val="0"/>
                  <w:vAlign w:val="center"/>
                </w:tcPr>
                <w:p w14:paraId="69329370">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575" w:type="dxa"/>
                  <w:noWrap w:val="0"/>
                  <w:vAlign w:val="center"/>
                </w:tcPr>
                <w:p w14:paraId="103FAE18">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污水站恶臭</w:t>
                  </w:r>
                </w:p>
              </w:tc>
              <w:tc>
                <w:tcPr>
                  <w:tcW w:w="3630" w:type="dxa"/>
                  <w:noWrap w:val="0"/>
                  <w:vAlign w:val="center"/>
                </w:tcPr>
                <w:p w14:paraId="269BF1C7">
                  <w:pPr>
                    <w:pStyle w:val="89"/>
                    <w:jc w:val="center"/>
                    <w:rPr>
                      <w:rFonts w:hint="default" w:ascii="Times New Roman" w:hAnsi="Times New Roman" w:eastAsia="宋体" w:cs="Times New Roman"/>
                      <w:color w:val="000000" w:themeColor="text1"/>
                      <w:szCs w:val="22"/>
                      <w:highlight w:val="none"/>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污水处理站除臭剂等恶臭防控</w:t>
                  </w:r>
                </w:p>
              </w:tc>
              <w:tc>
                <w:tcPr>
                  <w:tcW w:w="954" w:type="dxa"/>
                  <w:noWrap w:val="0"/>
                  <w:vAlign w:val="center"/>
                </w:tcPr>
                <w:p w14:paraId="2AF1A811">
                  <w:pPr>
                    <w:pStyle w:val="89"/>
                    <w:jc w:val="cente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1</w:t>
                  </w:r>
                </w:p>
              </w:tc>
              <w:tc>
                <w:tcPr>
                  <w:tcW w:w="1095" w:type="dxa"/>
                  <w:noWrap w:val="0"/>
                  <w:vAlign w:val="center"/>
                </w:tcPr>
                <w:p w14:paraId="5FCA1408">
                  <w:pPr>
                    <w:pStyle w:val="89"/>
                    <w:jc w:val="cente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4432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restart"/>
                  <w:noWrap w:val="0"/>
                  <w:vAlign w:val="center"/>
                </w:tcPr>
                <w:p w14:paraId="003D0DD2">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废水</w:t>
                  </w:r>
                </w:p>
              </w:tc>
              <w:tc>
                <w:tcPr>
                  <w:tcW w:w="1575" w:type="dxa"/>
                  <w:noWrap w:val="0"/>
                  <w:vAlign w:val="center"/>
                </w:tcPr>
                <w:p w14:paraId="150DCA88">
                  <w:pPr>
                    <w:pStyle w:val="89"/>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生产废水</w:t>
                  </w:r>
                </w:p>
              </w:tc>
              <w:tc>
                <w:tcPr>
                  <w:tcW w:w="3630" w:type="dxa"/>
                  <w:noWrap w:val="0"/>
                  <w:vAlign w:val="center"/>
                </w:tcPr>
                <w:p w14:paraId="1FC0C76B">
                  <w:pPr>
                    <w:pStyle w:val="89"/>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含氟废水预处理系统</w:t>
                  </w:r>
                  <w:r>
                    <w:rPr>
                      <w:rFonts w:hint="eastAsia" w:ascii="Times New Roman" w:hAnsi="Times New Roman" w:cs="Times New Roman"/>
                      <w:color w:val="000000" w:themeColor="text1"/>
                      <w:highlight w:val="none"/>
                      <w:lang w:eastAsia="zh-CN"/>
                      <w14:textFill>
                        <w14:solidFill>
                          <w14:schemeClr w14:val="tx1"/>
                        </w14:solidFill>
                      </w14:textFill>
                    </w:rPr>
                    <w:t>、综合污水处理站</w:t>
                  </w:r>
                </w:p>
              </w:tc>
              <w:tc>
                <w:tcPr>
                  <w:tcW w:w="954" w:type="dxa"/>
                  <w:noWrap w:val="0"/>
                  <w:vAlign w:val="center"/>
                </w:tcPr>
                <w:p w14:paraId="200AF6C4">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p>
              </w:tc>
              <w:tc>
                <w:tcPr>
                  <w:tcW w:w="1095" w:type="dxa"/>
                  <w:noWrap w:val="0"/>
                  <w:vAlign w:val="center"/>
                </w:tcPr>
                <w:p w14:paraId="365C94BA">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502D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continue"/>
                  <w:noWrap w:val="0"/>
                  <w:vAlign w:val="center"/>
                </w:tcPr>
                <w:p w14:paraId="623BA7C3">
                  <w:pPr>
                    <w:pStyle w:val="89"/>
                    <w:jc w:val="center"/>
                    <w:rPr>
                      <w:rFonts w:hint="default" w:ascii="Times New Roman" w:hAnsi="Times New Roman" w:eastAsia="宋体" w:cs="Times New Roman"/>
                      <w:bCs/>
                      <w:color w:val="000000" w:themeColor="text1"/>
                      <w:highlight w:val="none"/>
                      <w14:textFill>
                        <w14:solidFill>
                          <w14:schemeClr w14:val="tx1"/>
                        </w14:solidFill>
                      </w14:textFill>
                    </w:rPr>
                  </w:pPr>
                </w:p>
              </w:tc>
              <w:tc>
                <w:tcPr>
                  <w:tcW w:w="1575" w:type="dxa"/>
                  <w:noWrap w:val="0"/>
                  <w:vAlign w:val="center"/>
                </w:tcPr>
                <w:p w14:paraId="2483C38C">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生活污水</w:t>
                  </w:r>
                </w:p>
              </w:tc>
              <w:tc>
                <w:tcPr>
                  <w:tcW w:w="3630" w:type="dxa"/>
                  <w:noWrap w:val="0"/>
                  <w:vAlign w:val="center"/>
                </w:tcPr>
                <w:p w14:paraId="4384C85C">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依托厂区现有</w:t>
                  </w:r>
                  <w:r>
                    <w:rPr>
                      <w:rFonts w:hint="eastAsia" w:cs="Times New Roman"/>
                      <w:color w:val="000000" w:themeColor="text1"/>
                      <w:highlight w:val="none"/>
                      <w:lang w:val="en-US" w:eastAsia="zh-CN"/>
                      <w14:textFill>
                        <w14:solidFill>
                          <w14:schemeClr w14:val="tx1"/>
                        </w14:solidFill>
                      </w14:textFill>
                    </w:rPr>
                    <w:t>隔油+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化粪池</w:t>
                  </w:r>
                </w:p>
              </w:tc>
              <w:tc>
                <w:tcPr>
                  <w:tcW w:w="954" w:type="dxa"/>
                  <w:noWrap w:val="0"/>
                  <w:vAlign w:val="center"/>
                </w:tcPr>
                <w:p w14:paraId="47E73BE2">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1095" w:type="dxa"/>
                  <w:noWrap w:val="0"/>
                  <w:vAlign w:val="center"/>
                </w:tcPr>
                <w:p w14:paraId="7B065E09">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2DEE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noWrap w:val="0"/>
                  <w:vAlign w:val="center"/>
                </w:tcPr>
                <w:p w14:paraId="3B4CA25E">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w:t>
                  </w:r>
                </w:p>
              </w:tc>
              <w:tc>
                <w:tcPr>
                  <w:tcW w:w="1575" w:type="dxa"/>
                  <w:noWrap w:val="0"/>
                  <w:vAlign w:val="center"/>
                </w:tcPr>
                <w:p w14:paraId="4EF3DD30">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主要产噪设备</w:t>
                  </w:r>
                </w:p>
              </w:tc>
              <w:tc>
                <w:tcPr>
                  <w:tcW w:w="3630" w:type="dxa"/>
                  <w:noWrap w:val="0"/>
                  <w:vAlign w:val="center"/>
                </w:tcPr>
                <w:p w14:paraId="05435A0B">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生产</w:t>
                  </w:r>
                  <w:r>
                    <w:rPr>
                      <w:rFonts w:hint="eastAsia" w:ascii="Times New Roman" w:hAnsi="Times New Roman" w:eastAsia="宋体" w:cs="Times New Roman"/>
                      <w:color w:val="000000" w:themeColor="text1"/>
                      <w:highlight w:val="none"/>
                      <w:lang w:eastAsia="zh-CN"/>
                      <w14:textFill>
                        <w14:solidFill>
                          <w14:schemeClr w14:val="tx1"/>
                        </w14:solidFill>
                      </w14:textFill>
                    </w:rPr>
                    <w:t>设备</w:t>
                  </w:r>
                  <w:r>
                    <w:rPr>
                      <w:rFonts w:hint="default" w:ascii="Times New Roman" w:hAnsi="Times New Roman" w:eastAsia="宋体" w:cs="Times New Roman"/>
                      <w:color w:val="000000" w:themeColor="text1"/>
                      <w:highlight w:val="none"/>
                      <w14:textFill>
                        <w14:solidFill>
                          <w14:schemeClr w14:val="tx1"/>
                        </w14:solidFill>
                      </w14:textFill>
                    </w:rPr>
                    <w:t>基础减震+管道软接</w:t>
                  </w:r>
                  <w:r>
                    <w:rPr>
                      <w:rFonts w:hint="eastAsia" w:ascii="Times New Roman" w:hAnsi="Times New Roman" w:eastAsia="宋体" w:cs="Times New Roman"/>
                      <w:color w:val="000000" w:themeColor="text1"/>
                      <w:highlight w:val="none"/>
                      <w:lang w:eastAsia="zh-CN"/>
                      <w14:textFill>
                        <w14:solidFill>
                          <w14:schemeClr w14:val="tx1"/>
                        </w14:solidFill>
                      </w14:textFill>
                    </w:rPr>
                    <w:t>，生产车间内侧墙面吸声、门窗隔声</w:t>
                  </w:r>
                </w:p>
              </w:tc>
              <w:tc>
                <w:tcPr>
                  <w:tcW w:w="954" w:type="dxa"/>
                  <w:noWrap w:val="0"/>
                  <w:vAlign w:val="center"/>
                </w:tcPr>
                <w:p w14:paraId="3255EF58">
                  <w:pPr>
                    <w:pStyle w:val="89"/>
                    <w:jc w:val="center"/>
                    <w:rPr>
                      <w:rFonts w:hint="eastAsia" w:ascii="Times New Roman" w:hAnsi="Times New Roman" w:eastAsia="宋体" w:cs="Times New Roman"/>
                      <w:bCs/>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p>
              </w:tc>
              <w:tc>
                <w:tcPr>
                  <w:tcW w:w="1095" w:type="dxa"/>
                  <w:noWrap w:val="0"/>
                  <w:vAlign w:val="center"/>
                </w:tcPr>
                <w:p w14:paraId="7DDDA464">
                  <w:pPr>
                    <w:pStyle w:val="89"/>
                    <w:jc w:val="center"/>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0756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restart"/>
                  <w:noWrap w:val="0"/>
                  <w:vAlign w:val="center"/>
                </w:tcPr>
                <w:p w14:paraId="0E71C636">
                  <w:pPr>
                    <w:pStyle w:val="89"/>
                    <w:jc w:val="center"/>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固废</w:t>
                  </w:r>
                </w:p>
              </w:tc>
              <w:tc>
                <w:tcPr>
                  <w:tcW w:w="1575" w:type="dxa"/>
                  <w:noWrap w:val="0"/>
                  <w:vAlign w:val="center"/>
                </w:tcPr>
                <w:p w14:paraId="1F6930F3">
                  <w:pPr>
                    <w:pStyle w:val="89"/>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一般工业固废</w:t>
                  </w:r>
                </w:p>
              </w:tc>
              <w:tc>
                <w:tcPr>
                  <w:tcW w:w="3630" w:type="dxa"/>
                  <w:noWrap w:val="0"/>
                  <w:vAlign w:val="center"/>
                </w:tcPr>
                <w:p w14:paraId="1D395574">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一般工业固废暂存间，包括</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土建、地面硬化、货架、包装袋及环保标识等</w:t>
                  </w:r>
                </w:p>
              </w:tc>
              <w:tc>
                <w:tcPr>
                  <w:tcW w:w="954" w:type="dxa"/>
                  <w:noWrap w:val="0"/>
                  <w:vAlign w:val="center"/>
                </w:tcPr>
                <w:p w14:paraId="793B6E9E">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1095" w:type="dxa"/>
                  <w:noWrap w:val="0"/>
                  <w:vAlign w:val="center"/>
                </w:tcPr>
                <w:p w14:paraId="70AC1179">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456C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66" w:type="dxa"/>
                  <w:vMerge w:val="continue"/>
                  <w:noWrap w:val="0"/>
                  <w:vAlign w:val="center"/>
                </w:tcPr>
                <w:p w14:paraId="5FCF6750">
                  <w:pPr>
                    <w:pStyle w:val="89"/>
                    <w:jc w:val="center"/>
                    <w:rPr>
                      <w:rFonts w:hint="default" w:ascii="Times New Roman" w:hAnsi="Times New Roman" w:eastAsia="宋体" w:cs="Times New Roman"/>
                      <w:bCs/>
                      <w:color w:val="000000" w:themeColor="text1"/>
                      <w:highlight w:val="none"/>
                      <w14:textFill>
                        <w14:solidFill>
                          <w14:schemeClr w14:val="tx1"/>
                        </w14:solidFill>
                      </w14:textFill>
                    </w:rPr>
                  </w:pPr>
                </w:p>
              </w:tc>
              <w:tc>
                <w:tcPr>
                  <w:tcW w:w="1575" w:type="dxa"/>
                  <w:noWrap w:val="0"/>
                  <w:vAlign w:val="center"/>
                </w:tcPr>
                <w:p w14:paraId="45393EE0">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w:t>
                  </w:r>
                </w:p>
              </w:tc>
              <w:tc>
                <w:tcPr>
                  <w:tcW w:w="3630" w:type="dxa"/>
                  <w:noWrap w:val="0"/>
                  <w:vAlign w:val="center"/>
                </w:tcPr>
                <w:p w14:paraId="1FC5C8DE">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危险废物暂存间</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包括</w:t>
                  </w:r>
                  <w:r>
                    <w:rPr>
                      <w:rFonts w:hint="eastAsia" w:ascii="Times New Roman" w:hAnsi="Times New Roman" w:eastAsia="宋体" w:cs="Times New Roman"/>
                      <w:color w:val="000000" w:themeColor="text1"/>
                      <w:highlight w:val="none"/>
                      <w:lang w:eastAsia="zh-CN"/>
                      <w14:textFill>
                        <w14:solidFill>
                          <w14:schemeClr w14:val="tx1"/>
                        </w14:solidFill>
                      </w14:textFill>
                    </w:rPr>
                    <w:t>建、分区隔断、防风防雨防晒、防渗层施工、各类贮存容器、分类包装器材及防泄漏辅材、电子台账系统、危险废物警告标志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等</w:t>
                  </w:r>
                </w:p>
              </w:tc>
              <w:tc>
                <w:tcPr>
                  <w:tcW w:w="954" w:type="dxa"/>
                  <w:noWrap w:val="0"/>
                  <w:vAlign w:val="center"/>
                </w:tcPr>
                <w:p w14:paraId="003FE769">
                  <w:pPr>
                    <w:pStyle w:val="89"/>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p>
              </w:tc>
              <w:tc>
                <w:tcPr>
                  <w:tcW w:w="1095" w:type="dxa"/>
                  <w:noWrap w:val="0"/>
                  <w:vAlign w:val="center"/>
                </w:tcPr>
                <w:p w14:paraId="18816D08">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1714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441" w:type="dxa"/>
                  <w:gridSpan w:val="2"/>
                  <w:vMerge w:val="restart"/>
                  <w:noWrap w:val="0"/>
                  <w:vAlign w:val="center"/>
                </w:tcPr>
                <w:p w14:paraId="20C9CE15">
                  <w:pPr>
                    <w:pStyle w:val="89"/>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风险防范措施</w:t>
                  </w:r>
                </w:p>
              </w:tc>
              <w:tc>
                <w:tcPr>
                  <w:tcW w:w="3630" w:type="dxa"/>
                  <w:noWrap w:val="0"/>
                  <w:vAlign w:val="center"/>
                </w:tcPr>
                <w:p w14:paraId="3BB7CA78">
                  <w:pPr>
                    <w:pStyle w:val="89"/>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消防应急器材、个人防护用具</w:t>
                  </w:r>
                </w:p>
              </w:tc>
              <w:tc>
                <w:tcPr>
                  <w:tcW w:w="954" w:type="dxa"/>
                  <w:noWrap w:val="0"/>
                  <w:vAlign w:val="center"/>
                </w:tcPr>
                <w:p w14:paraId="3C5851CB">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1095" w:type="dxa"/>
                  <w:noWrap w:val="0"/>
                  <w:vAlign w:val="center"/>
                </w:tcPr>
                <w:p w14:paraId="77304D6E">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0FDE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441" w:type="dxa"/>
                  <w:gridSpan w:val="2"/>
                  <w:vMerge w:val="continue"/>
                  <w:noWrap w:val="0"/>
                  <w:vAlign w:val="center"/>
                </w:tcPr>
                <w:p w14:paraId="7A0B6D07">
                  <w:pPr>
                    <w:pStyle w:val="89"/>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3630" w:type="dxa"/>
                  <w:noWrap w:val="0"/>
                  <w:vAlign w:val="center"/>
                </w:tcPr>
                <w:p w14:paraId="3A4F06CF">
                  <w:pPr>
                    <w:pStyle w:val="89"/>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事故应急池</w:t>
                  </w:r>
                </w:p>
              </w:tc>
              <w:tc>
                <w:tcPr>
                  <w:tcW w:w="954" w:type="dxa"/>
                  <w:noWrap w:val="0"/>
                  <w:vAlign w:val="center"/>
                </w:tcPr>
                <w:p w14:paraId="7799A434">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1095" w:type="dxa"/>
                  <w:noWrap w:val="0"/>
                  <w:vAlign w:val="center"/>
                </w:tcPr>
                <w:p w14:paraId="5C4C36C5">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5865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441" w:type="dxa"/>
                  <w:gridSpan w:val="2"/>
                  <w:vMerge w:val="continue"/>
                  <w:noWrap w:val="0"/>
                  <w:vAlign w:val="center"/>
                </w:tcPr>
                <w:p w14:paraId="796B7B79">
                  <w:pPr>
                    <w:pStyle w:val="8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3630" w:type="dxa"/>
                  <w:noWrap w:val="0"/>
                  <w:vAlign w:val="center"/>
                </w:tcPr>
                <w:p w14:paraId="32765C71">
                  <w:pPr>
                    <w:pStyle w:val="89"/>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边沟、厂区雨水阀门及截流设施</w:t>
                  </w:r>
                </w:p>
              </w:tc>
              <w:tc>
                <w:tcPr>
                  <w:tcW w:w="954" w:type="dxa"/>
                  <w:noWrap w:val="0"/>
                  <w:vAlign w:val="center"/>
                </w:tcPr>
                <w:p w14:paraId="7208BABB">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1095" w:type="dxa"/>
                  <w:noWrap w:val="0"/>
                  <w:vAlign w:val="center"/>
                </w:tcPr>
                <w:p w14:paraId="5708C4D1">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7FF1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441" w:type="dxa"/>
                  <w:gridSpan w:val="2"/>
                  <w:vMerge w:val="continue"/>
                  <w:noWrap w:val="0"/>
                  <w:vAlign w:val="center"/>
                </w:tcPr>
                <w:p w14:paraId="3DC0F405">
                  <w:pPr>
                    <w:pStyle w:val="89"/>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3630" w:type="dxa"/>
                  <w:noWrap w:val="0"/>
                  <w:vAlign w:val="center"/>
                </w:tcPr>
                <w:p w14:paraId="700D0DAE">
                  <w:pPr>
                    <w:pStyle w:val="89"/>
                    <w:jc w:val="center"/>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应急组织机构监理、应急预案编制</w:t>
                  </w:r>
                </w:p>
              </w:tc>
              <w:tc>
                <w:tcPr>
                  <w:tcW w:w="954" w:type="dxa"/>
                  <w:noWrap w:val="0"/>
                  <w:vAlign w:val="center"/>
                </w:tcPr>
                <w:p w14:paraId="022B2C82">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1095" w:type="dxa"/>
                  <w:noWrap w:val="0"/>
                  <w:vAlign w:val="center"/>
                </w:tcPr>
                <w:p w14:paraId="2E58DD4A">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r w14:paraId="31AA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25" w:type="dxa"/>
                  <w:gridSpan w:val="4"/>
                  <w:noWrap w:val="0"/>
                  <w:vAlign w:val="center"/>
                </w:tcPr>
                <w:p w14:paraId="47AD3CAB">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合计</w:t>
                  </w:r>
                </w:p>
              </w:tc>
              <w:tc>
                <w:tcPr>
                  <w:tcW w:w="1095" w:type="dxa"/>
                  <w:noWrap w:val="0"/>
                  <w:vAlign w:val="center"/>
                </w:tcPr>
                <w:p w14:paraId="6F267CC9">
                  <w:pPr>
                    <w:pStyle w:val="89"/>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w:t>
                  </w:r>
                </w:p>
              </w:tc>
            </w:tr>
          </w:tbl>
          <w:p w14:paraId="332426BA">
            <w:pPr>
              <w:pStyle w:val="37"/>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t>4.</w:t>
            </w:r>
            <w:r>
              <w:rPr>
                <w:rFonts w:hint="eastAsia"/>
                <w:color w:val="000000" w:themeColor="text1"/>
                <w:sz w:val="24"/>
                <w:szCs w:val="21"/>
                <w:highlight w:val="none"/>
                <w:lang w:val="en-US" w:eastAsia="zh-CN"/>
                <w14:textFill>
                  <w14:solidFill>
                    <w14:schemeClr w14:val="tx1"/>
                  </w14:solidFill>
                </w14:textFill>
              </w:rPr>
              <w:t>9</w:t>
            </w:r>
            <w:r>
              <w:rPr>
                <w:color w:val="000000" w:themeColor="text1"/>
                <w:sz w:val="24"/>
                <w:szCs w:val="21"/>
                <w:highlight w:val="none"/>
                <w14:textFill>
                  <w14:solidFill>
                    <w14:schemeClr w14:val="tx1"/>
                  </w14:solidFill>
                </w14:textFill>
              </w:rPr>
              <w:t>自行监测计划</w:t>
            </w:r>
          </w:p>
          <w:p w14:paraId="043C67B7">
            <w:pPr>
              <w:pStyle w:val="66"/>
              <w:ind w:firstLine="420"/>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为切实控制本工程治理设施的有效运行和污染物达标排放，落实排放总量控制制度，本环评根据《建设项目环境保护管理条例》第八条的规定，对建设项目提出环境监测计划建议。</w:t>
            </w:r>
          </w:p>
          <w:p w14:paraId="6A634C0C">
            <w:pPr>
              <w:pStyle w:val="66"/>
              <w:ind w:firstLine="420"/>
              <w:rPr>
                <w:rFonts w:hint="eastAsia"/>
                <w:color w:val="000000" w:themeColor="text1"/>
                <w:sz w:val="24"/>
                <w:szCs w:val="32"/>
                <w:highlight w:val="none"/>
                <w:lang w:val="en-US" w:eastAsia="zh-CN"/>
                <w14:textFill>
                  <w14:solidFill>
                    <w14:schemeClr w14:val="tx1"/>
                  </w14:solidFill>
                </w14:textFill>
              </w:rPr>
            </w:pPr>
            <w:r>
              <w:rPr>
                <w:color w:val="000000" w:themeColor="text1"/>
                <w:sz w:val="24"/>
                <w:szCs w:val="32"/>
                <w:highlight w:val="none"/>
                <w14:textFill>
                  <w14:solidFill>
                    <w14:schemeClr w14:val="tx1"/>
                  </w14:solidFill>
                </w14:textFill>
              </w:rPr>
              <w:t>根据</w:t>
            </w:r>
            <w:r>
              <w:rPr>
                <w:rFonts w:hint="eastAsia"/>
                <w:color w:val="000000" w:themeColor="text1"/>
                <w:sz w:val="24"/>
                <w:szCs w:val="32"/>
                <w:highlight w:val="none"/>
                <w14:textFill>
                  <w14:solidFill>
                    <w14:schemeClr w14:val="tx1"/>
                  </w14:solidFill>
                </w14:textFill>
              </w:rPr>
              <w:t>《排污许可证申请与核发技术规范  电子工业》( HJ 1031-2019）</w:t>
            </w:r>
            <w:r>
              <w:rPr>
                <w:rFonts w:hint="eastAsia"/>
                <w:color w:val="000000" w:themeColor="text1"/>
                <w:sz w:val="24"/>
                <w:szCs w:val="32"/>
                <w:highlight w:val="none"/>
                <w:lang w:eastAsia="zh-CN"/>
                <w14:textFill>
                  <w14:solidFill>
                    <w14:schemeClr w14:val="tx1"/>
                  </w14:solidFill>
                </w14:textFill>
              </w:rPr>
              <w:t>、排污单位自行监测技术指南 电子工业（HJ 1253—2022）、</w:t>
            </w:r>
            <w:r>
              <w:rPr>
                <w:color w:val="000000" w:themeColor="text1"/>
                <w:sz w:val="24"/>
                <w:szCs w:val="32"/>
                <w:highlight w:val="none"/>
                <w14:textFill>
                  <w14:solidFill>
                    <w14:schemeClr w14:val="tx1"/>
                  </w14:solidFill>
                </w14:textFill>
              </w:rPr>
              <w:t xml:space="preserve">《排污单位自行监测技术指南 </w:t>
            </w:r>
            <w:r>
              <w:rPr>
                <w:rFonts w:hint="eastAsia"/>
                <w:color w:val="000000" w:themeColor="text1"/>
                <w:sz w:val="24"/>
                <w:szCs w:val="32"/>
                <w:highlight w:val="none"/>
                <w:lang w:val="en-US" w:eastAsia="zh-CN"/>
                <w14:textFill>
                  <w14:solidFill>
                    <w14:schemeClr w14:val="tx1"/>
                  </w14:solidFill>
                </w14:textFill>
              </w:rPr>
              <w:t>总则</w:t>
            </w:r>
            <w:r>
              <w:rPr>
                <w:color w:val="000000" w:themeColor="text1"/>
                <w:sz w:val="24"/>
                <w:szCs w:val="32"/>
                <w:highlight w:val="none"/>
                <w14:textFill>
                  <w14:solidFill>
                    <w14:schemeClr w14:val="tx1"/>
                  </w14:solidFill>
                </w14:textFill>
              </w:rPr>
              <w:t>》（HJ8</w:t>
            </w:r>
            <w:r>
              <w:rPr>
                <w:rFonts w:hint="eastAsia"/>
                <w:color w:val="000000" w:themeColor="text1"/>
                <w:sz w:val="24"/>
                <w:szCs w:val="32"/>
                <w:highlight w:val="none"/>
                <w:lang w:val="en-US" w:eastAsia="zh-CN"/>
                <w14:textFill>
                  <w14:solidFill>
                    <w14:schemeClr w14:val="tx1"/>
                  </w14:solidFill>
                </w14:textFill>
              </w:rPr>
              <w:t>19</w:t>
            </w:r>
            <w:r>
              <w:rPr>
                <w:color w:val="000000" w:themeColor="text1"/>
                <w:sz w:val="24"/>
                <w:szCs w:val="32"/>
                <w:highlight w:val="none"/>
                <w14:textFill>
                  <w14:solidFill>
                    <w14:schemeClr w14:val="tx1"/>
                  </w14:solidFill>
                </w14:textFill>
              </w:rPr>
              <w:t>-2017），</w:t>
            </w:r>
            <w:r>
              <w:rPr>
                <w:rFonts w:hint="eastAsia"/>
                <w:color w:val="000000" w:themeColor="text1"/>
                <w:sz w:val="24"/>
                <w:szCs w:val="32"/>
                <w:highlight w:val="none"/>
                <w14:textFill>
                  <w14:solidFill>
                    <w14:schemeClr w14:val="tx1"/>
                  </w14:solidFill>
                </w14:textFill>
              </w:rPr>
              <w:t>本项目实施后，</w:t>
            </w:r>
            <w:r>
              <w:rPr>
                <w:rFonts w:hint="eastAsia"/>
                <w:b w:val="0"/>
                <w:bCs/>
                <w:color w:val="000000" w:themeColor="text1"/>
                <w:sz w:val="24"/>
                <w:szCs w:val="32"/>
                <w:highlight w:val="none"/>
                <w14:textFill>
                  <w14:solidFill>
                    <w14:schemeClr w14:val="tx1"/>
                  </w14:solidFill>
                </w14:textFill>
              </w:rPr>
              <w:t>全厂运营期环境监测计划</w:t>
            </w:r>
            <w:r>
              <w:rPr>
                <w:b w:val="0"/>
                <w:bCs/>
                <w:color w:val="000000" w:themeColor="text1"/>
                <w:sz w:val="24"/>
                <w:szCs w:val="32"/>
                <w:highlight w:val="none"/>
                <w14:textFill>
                  <w14:solidFill>
                    <w14:schemeClr w14:val="tx1"/>
                  </w14:solidFill>
                </w14:textFill>
              </w:rPr>
              <w:t>见</w:t>
            </w:r>
            <w:r>
              <w:rPr>
                <w:rFonts w:hint="eastAsia"/>
                <w:b w:val="0"/>
                <w:bCs/>
                <w:color w:val="000000" w:themeColor="text1"/>
                <w:sz w:val="24"/>
                <w:szCs w:val="32"/>
                <w:highlight w:val="none"/>
                <w14:textFill>
                  <w14:solidFill>
                    <w14:schemeClr w14:val="tx1"/>
                  </w14:solidFill>
                </w14:textFill>
              </w:rPr>
              <w:t>下</w:t>
            </w:r>
            <w:r>
              <w:rPr>
                <w:b w:val="0"/>
                <w:bCs/>
                <w:color w:val="000000" w:themeColor="text1"/>
                <w:sz w:val="24"/>
                <w:szCs w:val="32"/>
                <w:highlight w:val="none"/>
                <w14:textFill>
                  <w14:solidFill>
                    <w14:schemeClr w14:val="tx1"/>
                  </w14:solidFill>
                </w14:textFill>
              </w:rPr>
              <w:t>表</w:t>
            </w:r>
            <w:r>
              <w:rPr>
                <w:rFonts w:hint="eastAsia"/>
                <w:color w:val="000000" w:themeColor="text1"/>
                <w:sz w:val="24"/>
                <w:szCs w:val="32"/>
                <w:highlight w:val="none"/>
                <w:lang w:val="en-US" w:eastAsia="zh-CN"/>
                <w14:textFill>
                  <w14:solidFill>
                    <w14:schemeClr w14:val="tx1"/>
                  </w14:solidFill>
                </w14:textFill>
              </w:rPr>
              <w:t>。</w:t>
            </w:r>
          </w:p>
          <w:p w14:paraId="7D09FAF8">
            <w:pPr>
              <w:pStyle w:val="69"/>
              <w:spacing w:line="360" w:lineRule="auto"/>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表 </w:t>
            </w:r>
            <w:r>
              <w:rPr>
                <w:rFonts w:hint="eastAsia" w:eastAsia="宋体" w:cs="宋体"/>
                <w:b/>
                <w:color w:val="000000" w:themeColor="text1"/>
                <w:kern w:val="2"/>
                <w:sz w:val="24"/>
                <w:szCs w:val="24"/>
                <w:highlight w:val="none"/>
                <w:lang w:val="en-US" w:eastAsia="zh-CN" w:bidi="ar-SA"/>
                <w14:textFill>
                  <w14:solidFill>
                    <w14:schemeClr w14:val="tx1"/>
                  </w14:solidFill>
                </w14:textFill>
              </w:rPr>
              <w:t>4.9-1</w:t>
            </w:r>
            <w:r>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 xml:space="preserve">  本项目运营期监测计划</w:t>
            </w:r>
          </w:p>
          <w:tbl>
            <w:tblPr>
              <w:tblStyle w:val="3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710"/>
              <w:gridCol w:w="2250"/>
              <w:gridCol w:w="1107"/>
              <w:gridCol w:w="1108"/>
              <w:gridCol w:w="1087"/>
            </w:tblGrid>
            <w:tr w14:paraId="54F6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27" w:type="pct"/>
                  <w:vMerge w:val="restart"/>
                  <w:tcBorders>
                    <w:tl2br w:val="nil"/>
                    <w:tr2bl w:val="nil"/>
                  </w:tcBorders>
                  <w:vAlign w:val="center"/>
                </w:tcPr>
                <w:p w14:paraId="6CA69D76">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监测内容</w:t>
                  </w:r>
                </w:p>
              </w:tc>
              <w:tc>
                <w:tcPr>
                  <w:tcW w:w="1053" w:type="pct"/>
                  <w:vMerge w:val="restart"/>
                  <w:tcBorders>
                    <w:tl2br w:val="nil"/>
                    <w:tr2bl w:val="nil"/>
                  </w:tcBorders>
                  <w:vAlign w:val="center"/>
                </w:tcPr>
                <w:p w14:paraId="69FA0BE2">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监测位置</w:t>
                  </w:r>
                </w:p>
              </w:tc>
              <w:tc>
                <w:tcPr>
                  <w:tcW w:w="1385" w:type="pct"/>
                  <w:vMerge w:val="restart"/>
                  <w:tcBorders>
                    <w:tl2br w:val="nil"/>
                    <w:tr2bl w:val="nil"/>
                  </w:tcBorders>
                  <w:vAlign w:val="center"/>
                </w:tcPr>
                <w:p w14:paraId="66B0E2BA">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监测项目</w:t>
                  </w:r>
                </w:p>
              </w:tc>
              <w:tc>
                <w:tcPr>
                  <w:tcW w:w="1364" w:type="pct"/>
                  <w:gridSpan w:val="2"/>
                  <w:tcBorders>
                    <w:tl2br w:val="nil"/>
                    <w:tr2bl w:val="nil"/>
                  </w:tcBorders>
                  <w:vAlign w:val="center"/>
                </w:tcPr>
                <w:p w14:paraId="5BFF1EAE">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监测频率</w:t>
                  </w:r>
                </w:p>
              </w:tc>
              <w:tc>
                <w:tcPr>
                  <w:tcW w:w="669" w:type="pct"/>
                  <w:vMerge w:val="restart"/>
                  <w:tcBorders>
                    <w:tl2br w:val="nil"/>
                    <w:tr2bl w:val="nil"/>
                  </w:tcBorders>
                  <w:vAlign w:val="center"/>
                </w:tcPr>
                <w:p w14:paraId="70D1547D">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监测单位</w:t>
                  </w:r>
                </w:p>
              </w:tc>
            </w:tr>
            <w:tr w14:paraId="4964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27" w:type="pct"/>
                  <w:vMerge w:val="continue"/>
                  <w:tcBorders>
                    <w:tl2br w:val="nil"/>
                    <w:tr2bl w:val="nil"/>
                  </w:tcBorders>
                  <w:vAlign w:val="center"/>
                </w:tcPr>
                <w:p w14:paraId="5F7D1681">
                  <w:pPr>
                    <w:pStyle w:val="110"/>
                    <w:rPr>
                      <w:color w:val="000000" w:themeColor="text1"/>
                      <w:highlight w:val="none"/>
                      <w14:textFill>
                        <w14:solidFill>
                          <w14:schemeClr w14:val="tx1"/>
                        </w14:solidFill>
                      </w14:textFill>
                    </w:rPr>
                  </w:pPr>
                </w:p>
              </w:tc>
              <w:tc>
                <w:tcPr>
                  <w:tcW w:w="1053" w:type="pct"/>
                  <w:vMerge w:val="continue"/>
                  <w:tcBorders>
                    <w:tl2br w:val="nil"/>
                    <w:tr2bl w:val="nil"/>
                  </w:tcBorders>
                  <w:vAlign w:val="center"/>
                </w:tcPr>
                <w:p w14:paraId="14219BBC">
                  <w:pPr>
                    <w:pStyle w:val="110"/>
                    <w:rPr>
                      <w:color w:val="000000" w:themeColor="text1"/>
                      <w:highlight w:val="none"/>
                      <w14:textFill>
                        <w14:solidFill>
                          <w14:schemeClr w14:val="tx1"/>
                        </w14:solidFill>
                      </w14:textFill>
                    </w:rPr>
                  </w:pPr>
                </w:p>
              </w:tc>
              <w:tc>
                <w:tcPr>
                  <w:tcW w:w="1385" w:type="pct"/>
                  <w:vMerge w:val="continue"/>
                  <w:tcBorders>
                    <w:tl2br w:val="nil"/>
                    <w:tr2bl w:val="nil"/>
                  </w:tcBorders>
                  <w:vAlign w:val="center"/>
                </w:tcPr>
                <w:p w14:paraId="6ABCA1EC">
                  <w:pPr>
                    <w:pStyle w:val="110"/>
                    <w:rPr>
                      <w:color w:val="000000" w:themeColor="text1"/>
                      <w:highlight w:val="none"/>
                      <w14:textFill>
                        <w14:solidFill>
                          <w14:schemeClr w14:val="tx1"/>
                        </w14:solidFill>
                      </w14:textFill>
                    </w:rPr>
                  </w:pPr>
                </w:p>
              </w:tc>
              <w:tc>
                <w:tcPr>
                  <w:tcW w:w="681" w:type="pct"/>
                  <w:tcBorders>
                    <w:tl2br w:val="nil"/>
                    <w:tr2bl w:val="nil"/>
                  </w:tcBorders>
                  <w:vAlign w:val="center"/>
                </w:tcPr>
                <w:p w14:paraId="5E6C62BF">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重点排污单位</w:t>
                  </w:r>
                </w:p>
              </w:tc>
              <w:tc>
                <w:tcPr>
                  <w:tcW w:w="682" w:type="pct"/>
                  <w:tcBorders>
                    <w:tl2br w:val="nil"/>
                    <w:tr2bl w:val="nil"/>
                  </w:tcBorders>
                  <w:vAlign w:val="center"/>
                </w:tcPr>
                <w:p w14:paraId="67306B45">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非重点排污单位</w:t>
                  </w:r>
                </w:p>
              </w:tc>
              <w:tc>
                <w:tcPr>
                  <w:tcW w:w="669" w:type="pct"/>
                  <w:vMerge w:val="continue"/>
                  <w:tcBorders>
                    <w:tl2br w:val="nil"/>
                    <w:tr2bl w:val="nil"/>
                  </w:tcBorders>
                  <w:vAlign w:val="center"/>
                </w:tcPr>
                <w:p w14:paraId="577CEA82">
                  <w:pPr>
                    <w:pStyle w:val="110"/>
                    <w:rPr>
                      <w:color w:val="000000" w:themeColor="text1"/>
                      <w:highlight w:val="none"/>
                      <w14:textFill>
                        <w14:solidFill>
                          <w14:schemeClr w14:val="tx1"/>
                        </w14:solidFill>
                      </w14:textFill>
                    </w:rPr>
                  </w:pPr>
                </w:p>
              </w:tc>
            </w:tr>
            <w:tr w14:paraId="476C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restart"/>
                  <w:tcBorders>
                    <w:tl2br w:val="nil"/>
                    <w:tr2bl w:val="nil"/>
                  </w:tcBorders>
                  <w:vAlign w:val="center"/>
                </w:tcPr>
                <w:p w14:paraId="5AECC318">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w:t>
                  </w:r>
                </w:p>
              </w:tc>
              <w:tc>
                <w:tcPr>
                  <w:tcW w:w="1053" w:type="pct"/>
                  <w:tcBorders>
                    <w:tl2br w:val="nil"/>
                    <w:tr2bl w:val="nil"/>
                  </w:tcBorders>
                  <w:vAlign w:val="center"/>
                </w:tcPr>
                <w:p w14:paraId="7168FC14">
                  <w:pPr>
                    <w:pStyle w:val="11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粉尘废气排放口</w:t>
                  </w:r>
                </w:p>
              </w:tc>
              <w:tc>
                <w:tcPr>
                  <w:tcW w:w="1385" w:type="pct"/>
                  <w:tcBorders>
                    <w:tl2br w:val="nil"/>
                    <w:tr2bl w:val="nil"/>
                  </w:tcBorders>
                  <w:vAlign w:val="center"/>
                </w:tcPr>
                <w:p w14:paraId="45DA5E09">
                  <w:pPr>
                    <w:pStyle w:val="11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681" w:type="pct"/>
                  <w:tcBorders>
                    <w:tl2br w:val="nil"/>
                    <w:tr2bl w:val="nil"/>
                  </w:tcBorders>
                  <w:vAlign w:val="center"/>
                </w:tcPr>
                <w:p w14:paraId="7BB8B977">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w:t>
                  </w:r>
                  <w:r>
                    <w:rPr>
                      <w:rFonts w:hint="eastAsia"/>
                      <w:color w:val="000000" w:themeColor="text1"/>
                      <w:highlight w:val="none"/>
                      <w:lang w:val="en-US" w:eastAsia="zh-CN"/>
                      <w14:textFill>
                        <w14:solidFill>
                          <w14:schemeClr w14:val="tx1"/>
                        </w14:solidFill>
                      </w14:textFill>
                    </w:rPr>
                    <w:t>半</w:t>
                  </w:r>
                  <w:r>
                    <w:rPr>
                      <w:color w:val="000000" w:themeColor="text1"/>
                      <w:highlight w:val="none"/>
                      <w14:textFill>
                        <w14:solidFill>
                          <w14:schemeClr w14:val="tx1"/>
                        </w14:solidFill>
                      </w14:textFill>
                    </w:rPr>
                    <w:t>年</w:t>
                  </w:r>
                </w:p>
              </w:tc>
              <w:tc>
                <w:tcPr>
                  <w:tcW w:w="682" w:type="pct"/>
                  <w:tcBorders>
                    <w:tl2br w:val="nil"/>
                    <w:tr2bl w:val="nil"/>
                  </w:tcBorders>
                  <w:vAlign w:val="center"/>
                </w:tcPr>
                <w:p w14:paraId="2CF22469">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1次/年</w:t>
                  </w:r>
                </w:p>
              </w:tc>
              <w:tc>
                <w:tcPr>
                  <w:tcW w:w="669" w:type="pct"/>
                  <w:vMerge w:val="restart"/>
                  <w:tcBorders>
                    <w:tl2br w:val="nil"/>
                    <w:tr2bl w:val="nil"/>
                  </w:tcBorders>
                  <w:vAlign w:val="center"/>
                </w:tcPr>
                <w:p w14:paraId="2C33BC50">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委托有资质单位</w:t>
                  </w:r>
                </w:p>
              </w:tc>
            </w:tr>
            <w:tr w14:paraId="4DB2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tcBorders>
                    <w:tl2br w:val="nil"/>
                    <w:tr2bl w:val="nil"/>
                  </w:tcBorders>
                  <w:vAlign w:val="center"/>
                </w:tcPr>
                <w:p w14:paraId="1B1C0AB8">
                  <w:pPr>
                    <w:pStyle w:val="110"/>
                    <w:rPr>
                      <w:color w:val="000000" w:themeColor="text1"/>
                      <w:highlight w:val="none"/>
                      <w14:textFill>
                        <w14:solidFill>
                          <w14:schemeClr w14:val="tx1"/>
                        </w14:solidFill>
                      </w14:textFill>
                    </w:rPr>
                  </w:pPr>
                </w:p>
              </w:tc>
              <w:tc>
                <w:tcPr>
                  <w:tcW w:w="1053" w:type="pct"/>
                  <w:tcBorders>
                    <w:tl2br w:val="nil"/>
                    <w:tr2bl w:val="nil"/>
                  </w:tcBorders>
                  <w:vAlign w:val="center"/>
                </w:tcPr>
                <w:p w14:paraId="45CF0864">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酸性废气</w:t>
                  </w:r>
                  <w:r>
                    <w:rPr>
                      <w:rFonts w:hint="eastAsia"/>
                      <w:color w:val="000000" w:themeColor="text1"/>
                      <w:highlight w:val="none"/>
                      <w:lang w:val="en-US" w:eastAsia="zh-CN"/>
                      <w14:textFill>
                        <w14:solidFill>
                          <w14:schemeClr w14:val="tx1"/>
                        </w14:solidFill>
                      </w14:textFill>
                    </w:rPr>
                    <w:t>排放口</w:t>
                  </w:r>
                </w:p>
              </w:tc>
              <w:tc>
                <w:tcPr>
                  <w:tcW w:w="1385" w:type="pct"/>
                  <w:tcBorders>
                    <w:tl2br w:val="nil"/>
                    <w:tr2bl w:val="nil"/>
                  </w:tcBorders>
                  <w:vAlign w:val="center"/>
                </w:tcPr>
                <w:p w14:paraId="2FFB159D">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氮氧化物、氟化物、硫酸雾、氯化氢</w:t>
                  </w:r>
                </w:p>
              </w:tc>
              <w:tc>
                <w:tcPr>
                  <w:tcW w:w="681" w:type="pct"/>
                  <w:tcBorders>
                    <w:tl2br w:val="nil"/>
                    <w:tr2bl w:val="nil"/>
                  </w:tcBorders>
                  <w:vAlign w:val="center"/>
                </w:tcPr>
                <w:p w14:paraId="687378D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w:t>
                  </w:r>
                  <w:r>
                    <w:rPr>
                      <w:rFonts w:hint="eastAsia"/>
                      <w:color w:val="000000" w:themeColor="text1"/>
                      <w:highlight w:val="none"/>
                      <w:lang w:val="en-US" w:eastAsia="zh-CN"/>
                      <w14:textFill>
                        <w14:solidFill>
                          <w14:schemeClr w14:val="tx1"/>
                        </w14:solidFill>
                      </w14:textFill>
                    </w:rPr>
                    <w:t>半</w:t>
                  </w:r>
                  <w:r>
                    <w:rPr>
                      <w:color w:val="000000" w:themeColor="text1"/>
                      <w:highlight w:val="none"/>
                      <w14:textFill>
                        <w14:solidFill>
                          <w14:schemeClr w14:val="tx1"/>
                        </w14:solidFill>
                      </w14:textFill>
                    </w:rPr>
                    <w:t>年</w:t>
                  </w:r>
                </w:p>
              </w:tc>
              <w:tc>
                <w:tcPr>
                  <w:tcW w:w="682" w:type="pct"/>
                  <w:tcBorders>
                    <w:tl2br w:val="nil"/>
                    <w:tr2bl w:val="nil"/>
                  </w:tcBorders>
                  <w:vAlign w:val="center"/>
                </w:tcPr>
                <w:p w14:paraId="52DC72A0">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1次/年</w:t>
                  </w:r>
                </w:p>
              </w:tc>
              <w:tc>
                <w:tcPr>
                  <w:tcW w:w="669" w:type="pct"/>
                  <w:vMerge w:val="continue"/>
                  <w:tcBorders>
                    <w:tl2br w:val="nil"/>
                    <w:tr2bl w:val="nil"/>
                  </w:tcBorders>
                  <w:vAlign w:val="center"/>
                </w:tcPr>
                <w:p w14:paraId="12FF0D4C">
                  <w:pPr>
                    <w:pStyle w:val="110"/>
                    <w:rPr>
                      <w:color w:val="000000" w:themeColor="text1"/>
                      <w:highlight w:val="none"/>
                      <w14:textFill>
                        <w14:solidFill>
                          <w14:schemeClr w14:val="tx1"/>
                        </w14:solidFill>
                      </w14:textFill>
                    </w:rPr>
                  </w:pPr>
                </w:p>
              </w:tc>
            </w:tr>
            <w:tr w14:paraId="106B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tcBorders>
                    <w:tl2br w:val="nil"/>
                    <w:tr2bl w:val="nil"/>
                  </w:tcBorders>
                  <w:vAlign w:val="center"/>
                </w:tcPr>
                <w:p w14:paraId="648267F7">
                  <w:pPr>
                    <w:pStyle w:val="110"/>
                    <w:rPr>
                      <w:color w:val="000000" w:themeColor="text1"/>
                      <w:highlight w:val="none"/>
                      <w14:textFill>
                        <w14:solidFill>
                          <w14:schemeClr w14:val="tx1"/>
                        </w14:solidFill>
                      </w14:textFill>
                    </w:rPr>
                  </w:pPr>
                </w:p>
              </w:tc>
              <w:tc>
                <w:tcPr>
                  <w:tcW w:w="1053" w:type="pct"/>
                  <w:tcBorders>
                    <w:tl2br w:val="nil"/>
                    <w:tr2bl w:val="nil"/>
                  </w:tcBorders>
                  <w:vAlign w:val="center"/>
                </w:tcPr>
                <w:p w14:paraId="5E5F877D">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有机废气</w:t>
                  </w:r>
                  <w:r>
                    <w:rPr>
                      <w:rFonts w:hint="eastAsia"/>
                      <w:color w:val="000000" w:themeColor="text1"/>
                      <w:highlight w:val="none"/>
                      <w:lang w:val="en-US" w:eastAsia="zh-CN"/>
                      <w14:textFill>
                        <w14:solidFill>
                          <w14:schemeClr w14:val="tx1"/>
                        </w14:solidFill>
                      </w14:textFill>
                    </w:rPr>
                    <w:t>排放口</w:t>
                  </w:r>
                </w:p>
              </w:tc>
              <w:tc>
                <w:tcPr>
                  <w:tcW w:w="1385" w:type="pct"/>
                  <w:tcBorders>
                    <w:tl2br w:val="nil"/>
                    <w:tr2bl w:val="nil"/>
                  </w:tcBorders>
                  <w:vAlign w:val="center"/>
                </w:tcPr>
                <w:p w14:paraId="60FF0448">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非甲烷总烃</w:t>
                  </w:r>
                </w:p>
              </w:tc>
              <w:tc>
                <w:tcPr>
                  <w:tcW w:w="681" w:type="pct"/>
                  <w:tcBorders>
                    <w:tl2br w:val="nil"/>
                    <w:tr2bl w:val="nil"/>
                  </w:tcBorders>
                  <w:vAlign w:val="center"/>
                </w:tcPr>
                <w:p w14:paraId="2CAB255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w:t>
                  </w:r>
                  <w:r>
                    <w:rPr>
                      <w:rFonts w:hint="eastAsia"/>
                      <w:color w:val="000000" w:themeColor="text1"/>
                      <w:highlight w:val="none"/>
                      <w:lang w:val="en-US" w:eastAsia="zh-CN"/>
                      <w14:textFill>
                        <w14:solidFill>
                          <w14:schemeClr w14:val="tx1"/>
                        </w14:solidFill>
                      </w14:textFill>
                    </w:rPr>
                    <w:t>半</w:t>
                  </w:r>
                  <w:r>
                    <w:rPr>
                      <w:color w:val="000000" w:themeColor="text1"/>
                      <w:highlight w:val="none"/>
                      <w14:textFill>
                        <w14:solidFill>
                          <w14:schemeClr w14:val="tx1"/>
                        </w14:solidFill>
                      </w14:textFill>
                    </w:rPr>
                    <w:t>年</w:t>
                  </w:r>
                </w:p>
              </w:tc>
              <w:tc>
                <w:tcPr>
                  <w:tcW w:w="682" w:type="pct"/>
                  <w:tcBorders>
                    <w:tl2br w:val="nil"/>
                    <w:tr2bl w:val="nil"/>
                  </w:tcBorders>
                  <w:vAlign w:val="center"/>
                </w:tcPr>
                <w:p w14:paraId="1FBDFB85">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1次/年</w:t>
                  </w:r>
                </w:p>
              </w:tc>
              <w:tc>
                <w:tcPr>
                  <w:tcW w:w="669" w:type="pct"/>
                  <w:vMerge w:val="continue"/>
                  <w:tcBorders>
                    <w:tl2br w:val="nil"/>
                    <w:tr2bl w:val="nil"/>
                  </w:tcBorders>
                  <w:vAlign w:val="center"/>
                </w:tcPr>
                <w:p w14:paraId="24C60E12">
                  <w:pPr>
                    <w:pStyle w:val="110"/>
                    <w:rPr>
                      <w:color w:val="000000" w:themeColor="text1"/>
                      <w:highlight w:val="none"/>
                      <w14:textFill>
                        <w14:solidFill>
                          <w14:schemeClr w14:val="tx1"/>
                        </w14:solidFill>
                      </w14:textFill>
                    </w:rPr>
                  </w:pPr>
                </w:p>
              </w:tc>
            </w:tr>
            <w:tr w14:paraId="606F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tcBorders>
                    <w:tl2br w:val="nil"/>
                    <w:tr2bl w:val="nil"/>
                  </w:tcBorders>
                  <w:vAlign w:val="center"/>
                </w:tcPr>
                <w:p w14:paraId="43E3B644">
                  <w:pPr>
                    <w:pStyle w:val="110"/>
                    <w:rPr>
                      <w:color w:val="000000" w:themeColor="text1"/>
                      <w:highlight w:val="none"/>
                      <w14:textFill>
                        <w14:solidFill>
                          <w14:schemeClr w14:val="tx1"/>
                        </w14:solidFill>
                      </w14:textFill>
                    </w:rPr>
                  </w:pPr>
                </w:p>
              </w:tc>
              <w:tc>
                <w:tcPr>
                  <w:tcW w:w="1053" w:type="pct"/>
                  <w:tcBorders>
                    <w:tl2br w:val="nil"/>
                    <w:tr2bl w:val="nil"/>
                  </w:tcBorders>
                  <w:vAlign w:val="center"/>
                </w:tcPr>
                <w:p w14:paraId="01A87A89">
                  <w:pPr>
                    <w:pStyle w:val="11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碱性</w:t>
                  </w:r>
                  <w:r>
                    <w:rPr>
                      <w:color w:val="000000" w:themeColor="text1"/>
                      <w:highlight w:val="none"/>
                      <w14:textFill>
                        <w14:solidFill>
                          <w14:schemeClr w14:val="tx1"/>
                        </w14:solidFill>
                      </w14:textFill>
                    </w:rPr>
                    <w:t>废气</w:t>
                  </w:r>
                  <w:r>
                    <w:rPr>
                      <w:rFonts w:hint="eastAsia"/>
                      <w:color w:val="000000" w:themeColor="text1"/>
                      <w:highlight w:val="none"/>
                      <w:lang w:val="en-US" w:eastAsia="zh-CN"/>
                      <w14:textFill>
                        <w14:solidFill>
                          <w14:schemeClr w14:val="tx1"/>
                        </w14:solidFill>
                      </w14:textFill>
                    </w:rPr>
                    <w:t>排放口</w:t>
                  </w:r>
                </w:p>
              </w:tc>
              <w:tc>
                <w:tcPr>
                  <w:tcW w:w="1385" w:type="pct"/>
                  <w:tcBorders>
                    <w:tl2br w:val="nil"/>
                    <w:tr2bl w:val="nil"/>
                  </w:tcBorders>
                  <w:vAlign w:val="center"/>
                </w:tcPr>
                <w:p w14:paraId="7B91FA6B">
                  <w:pPr>
                    <w:pStyle w:val="11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TMAH</w:t>
                  </w:r>
                </w:p>
              </w:tc>
              <w:tc>
                <w:tcPr>
                  <w:tcW w:w="681" w:type="pct"/>
                  <w:tcBorders>
                    <w:tl2br w:val="nil"/>
                    <w:tr2bl w:val="nil"/>
                  </w:tcBorders>
                  <w:vAlign w:val="center"/>
                </w:tcPr>
                <w:p w14:paraId="18EF059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w:t>
                  </w:r>
                  <w:r>
                    <w:rPr>
                      <w:rFonts w:hint="eastAsia"/>
                      <w:color w:val="000000" w:themeColor="text1"/>
                      <w:highlight w:val="none"/>
                      <w:lang w:val="en-US" w:eastAsia="zh-CN"/>
                      <w14:textFill>
                        <w14:solidFill>
                          <w14:schemeClr w14:val="tx1"/>
                        </w14:solidFill>
                      </w14:textFill>
                    </w:rPr>
                    <w:t>半</w:t>
                  </w:r>
                  <w:r>
                    <w:rPr>
                      <w:color w:val="000000" w:themeColor="text1"/>
                      <w:highlight w:val="none"/>
                      <w14:textFill>
                        <w14:solidFill>
                          <w14:schemeClr w14:val="tx1"/>
                        </w14:solidFill>
                      </w14:textFill>
                    </w:rPr>
                    <w:t>年</w:t>
                  </w:r>
                </w:p>
              </w:tc>
              <w:tc>
                <w:tcPr>
                  <w:tcW w:w="682" w:type="pct"/>
                  <w:tcBorders>
                    <w:tl2br w:val="nil"/>
                    <w:tr2bl w:val="nil"/>
                  </w:tcBorders>
                  <w:vAlign w:val="center"/>
                </w:tcPr>
                <w:p w14:paraId="22F98354">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1次/年</w:t>
                  </w:r>
                </w:p>
              </w:tc>
              <w:tc>
                <w:tcPr>
                  <w:tcW w:w="669" w:type="pct"/>
                  <w:vMerge w:val="continue"/>
                  <w:tcBorders>
                    <w:tl2br w:val="nil"/>
                    <w:tr2bl w:val="nil"/>
                  </w:tcBorders>
                  <w:vAlign w:val="center"/>
                </w:tcPr>
                <w:p w14:paraId="1EC5EB26">
                  <w:pPr>
                    <w:pStyle w:val="110"/>
                    <w:rPr>
                      <w:color w:val="000000" w:themeColor="text1"/>
                      <w:highlight w:val="none"/>
                      <w14:textFill>
                        <w14:solidFill>
                          <w14:schemeClr w14:val="tx1"/>
                        </w14:solidFill>
                      </w14:textFill>
                    </w:rPr>
                  </w:pPr>
                </w:p>
              </w:tc>
            </w:tr>
            <w:tr w14:paraId="75A8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tcBorders>
                    <w:tl2br w:val="nil"/>
                    <w:tr2bl w:val="nil"/>
                  </w:tcBorders>
                  <w:vAlign w:val="center"/>
                </w:tcPr>
                <w:p w14:paraId="7D17F25E">
                  <w:pPr>
                    <w:pStyle w:val="110"/>
                    <w:rPr>
                      <w:color w:val="000000" w:themeColor="text1"/>
                      <w:highlight w:val="none"/>
                      <w14:textFill>
                        <w14:solidFill>
                          <w14:schemeClr w14:val="tx1"/>
                        </w14:solidFill>
                      </w14:textFill>
                    </w:rPr>
                  </w:pPr>
                </w:p>
              </w:tc>
              <w:tc>
                <w:tcPr>
                  <w:tcW w:w="1053" w:type="pct"/>
                  <w:tcBorders>
                    <w:tl2br w:val="nil"/>
                    <w:tr2bl w:val="nil"/>
                  </w:tcBorders>
                  <w:vAlign w:val="center"/>
                </w:tcPr>
                <w:p w14:paraId="40237336">
                  <w:pPr>
                    <w:pStyle w:val="11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厂界</w:t>
                  </w:r>
                </w:p>
              </w:tc>
              <w:tc>
                <w:tcPr>
                  <w:tcW w:w="1385" w:type="pct"/>
                  <w:tcBorders>
                    <w:tl2br w:val="nil"/>
                    <w:tr2bl w:val="nil"/>
                  </w:tcBorders>
                  <w:vAlign w:val="center"/>
                </w:tcPr>
                <w:p w14:paraId="50703749">
                  <w:pPr>
                    <w:pStyle w:val="11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r>
                    <w:rPr>
                      <w:color w:val="000000" w:themeColor="text1"/>
                      <w:highlight w:val="none"/>
                      <w14:textFill>
                        <w14:solidFill>
                          <w14:schemeClr w14:val="tx1"/>
                        </w14:solidFill>
                      </w14:textFill>
                    </w:rPr>
                    <w:t>氮氧化物、氟化物、硫酸雾、氯化氢</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非甲烷总烃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氨</w:t>
                  </w:r>
                  <w:r>
                    <w:rPr>
                      <w:rFonts w:hint="eastAsia"/>
                      <w:color w:val="000000" w:themeColor="text1"/>
                      <w:highlight w:val="none"/>
                      <w:lang w:eastAsia="zh-CN"/>
                      <w14:textFill>
                        <w14:solidFill>
                          <w14:schemeClr w14:val="tx1"/>
                        </w14:solidFill>
                      </w14:textFill>
                    </w:rPr>
                    <w:t>、</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硫化氢、臭气浓度</w:t>
                  </w:r>
                </w:p>
              </w:tc>
              <w:tc>
                <w:tcPr>
                  <w:tcW w:w="681" w:type="pct"/>
                  <w:tcBorders>
                    <w:tl2br w:val="nil"/>
                    <w:tr2bl w:val="nil"/>
                  </w:tcBorders>
                  <w:vAlign w:val="center"/>
                </w:tcPr>
                <w:p w14:paraId="0C299FC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w:t>
                  </w:r>
                  <w:r>
                    <w:rPr>
                      <w:rFonts w:hint="eastAsia"/>
                      <w:color w:val="000000" w:themeColor="text1"/>
                      <w:highlight w:val="none"/>
                      <w:lang w:val="en-US" w:eastAsia="zh-CN"/>
                      <w14:textFill>
                        <w14:solidFill>
                          <w14:schemeClr w14:val="tx1"/>
                        </w14:solidFill>
                      </w14:textFill>
                    </w:rPr>
                    <w:t>半</w:t>
                  </w:r>
                  <w:r>
                    <w:rPr>
                      <w:color w:val="000000" w:themeColor="text1"/>
                      <w:highlight w:val="none"/>
                      <w14:textFill>
                        <w14:solidFill>
                          <w14:schemeClr w14:val="tx1"/>
                        </w14:solidFill>
                      </w14:textFill>
                    </w:rPr>
                    <w:t>年</w:t>
                  </w:r>
                </w:p>
              </w:tc>
              <w:tc>
                <w:tcPr>
                  <w:tcW w:w="682" w:type="pct"/>
                  <w:tcBorders>
                    <w:tl2br w:val="nil"/>
                    <w:tr2bl w:val="nil"/>
                  </w:tcBorders>
                  <w:vAlign w:val="center"/>
                </w:tcPr>
                <w:p w14:paraId="5E1B43EA">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1次/年</w:t>
                  </w:r>
                </w:p>
              </w:tc>
              <w:tc>
                <w:tcPr>
                  <w:tcW w:w="669" w:type="pct"/>
                  <w:vMerge w:val="continue"/>
                  <w:tcBorders>
                    <w:tl2br w:val="nil"/>
                    <w:tr2bl w:val="nil"/>
                  </w:tcBorders>
                  <w:vAlign w:val="center"/>
                </w:tcPr>
                <w:p w14:paraId="43799A67">
                  <w:pPr>
                    <w:pStyle w:val="110"/>
                    <w:rPr>
                      <w:color w:val="000000" w:themeColor="text1"/>
                      <w:highlight w:val="none"/>
                      <w14:textFill>
                        <w14:solidFill>
                          <w14:schemeClr w14:val="tx1"/>
                        </w14:solidFill>
                      </w14:textFill>
                    </w:rPr>
                  </w:pPr>
                </w:p>
              </w:tc>
            </w:tr>
            <w:tr w14:paraId="7BBA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27" w:type="pct"/>
                  <w:vMerge w:val="restart"/>
                  <w:tcBorders>
                    <w:tl2br w:val="nil"/>
                    <w:tr2bl w:val="nil"/>
                  </w:tcBorders>
                  <w:vAlign w:val="center"/>
                </w:tcPr>
                <w:p w14:paraId="02DDBA88">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w:t>
                  </w:r>
                </w:p>
              </w:tc>
              <w:tc>
                <w:tcPr>
                  <w:tcW w:w="1053" w:type="pct"/>
                  <w:vMerge w:val="restart"/>
                  <w:tcBorders>
                    <w:tl2br w:val="nil"/>
                    <w:tr2bl w:val="nil"/>
                  </w:tcBorders>
                  <w:vAlign w:val="center"/>
                </w:tcPr>
                <w:p w14:paraId="49216100">
                  <w:pPr>
                    <w:pStyle w:val="11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生产废水</w:t>
                  </w:r>
                  <w:r>
                    <w:rPr>
                      <w:rFonts w:hint="eastAsia"/>
                      <w:color w:val="000000" w:themeColor="text1"/>
                      <w:highlight w:val="none"/>
                      <w:lang w:val="en-US" w:eastAsia="zh-CN"/>
                      <w14:textFill>
                        <w14:solidFill>
                          <w14:schemeClr w14:val="tx1"/>
                        </w14:solidFill>
                      </w14:textFill>
                    </w:rPr>
                    <w:t>排放口</w:t>
                  </w:r>
                </w:p>
              </w:tc>
              <w:tc>
                <w:tcPr>
                  <w:tcW w:w="1385" w:type="pct"/>
                  <w:tcBorders>
                    <w:tl2br w:val="nil"/>
                    <w:tr2bl w:val="nil"/>
                  </w:tcBorders>
                  <w:vAlign w:val="center"/>
                </w:tcPr>
                <w:p w14:paraId="7C3ACBB0">
                  <w:pPr>
                    <w:pStyle w:val="110"/>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流量、</w:t>
                  </w:r>
                  <w:r>
                    <w:rPr>
                      <w:rFonts w:hint="eastAsia"/>
                      <w:color w:val="000000" w:themeColor="text1"/>
                      <w:highlight w:val="none"/>
                      <w:lang w:val="en-US" w:eastAsia="zh-CN"/>
                      <w14:textFill>
                        <w14:solidFill>
                          <w14:schemeClr w14:val="tx1"/>
                        </w14:solidFill>
                      </w14:textFill>
                    </w:rPr>
                    <w:t>pH</w:t>
                  </w:r>
                  <w:r>
                    <w:rPr>
                      <w:color w:val="000000" w:themeColor="text1"/>
                      <w:highlight w:val="none"/>
                      <w14:textFill>
                        <w14:solidFill>
                          <w14:schemeClr w14:val="tx1"/>
                        </w14:solidFill>
                      </w14:textFill>
                    </w:rPr>
                    <w:t>、COD、NH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681" w:type="pct"/>
                  <w:tcBorders>
                    <w:tl2br w:val="nil"/>
                    <w:tr2bl w:val="nil"/>
                  </w:tcBorders>
                  <w:vAlign w:val="center"/>
                </w:tcPr>
                <w:p w14:paraId="4291E6F7">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自动监测</w:t>
                  </w:r>
                </w:p>
              </w:tc>
              <w:tc>
                <w:tcPr>
                  <w:tcW w:w="682" w:type="pct"/>
                  <w:tcBorders>
                    <w:tl2br w:val="nil"/>
                    <w:tr2bl w:val="nil"/>
                  </w:tcBorders>
                  <w:vAlign w:val="center"/>
                </w:tcPr>
                <w:p w14:paraId="27DBC546">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1次/年</w:t>
                  </w:r>
                </w:p>
              </w:tc>
              <w:tc>
                <w:tcPr>
                  <w:tcW w:w="669" w:type="pct"/>
                  <w:vMerge w:val="continue"/>
                  <w:tcBorders>
                    <w:tl2br w:val="nil"/>
                    <w:tr2bl w:val="nil"/>
                  </w:tcBorders>
                  <w:vAlign w:val="center"/>
                </w:tcPr>
                <w:p w14:paraId="001A7B22">
                  <w:pPr>
                    <w:pStyle w:val="110"/>
                    <w:rPr>
                      <w:color w:val="000000" w:themeColor="text1"/>
                      <w:highlight w:val="none"/>
                      <w14:textFill>
                        <w14:solidFill>
                          <w14:schemeClr w14:val="tx1"/>
                        </w14:solidFill>
                      </w14:textFill>
                    </w:rPr>
                  </w:pPr>
                </w:p>
              </w:tc>
            </w:tr>
            <w:tr w14:paraId="79FE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27" w:type="pct"/>
                  <w:vMerge w:val="continue"/>
                  <w:tcBorders>
                    <w:tl2br w:val="nil"/>
                    <w:tr2bl w:val="nil"/>
                  </w:tcBorders>
                  <w:vAlign w:val="center"/>
                </w:tcPr>
                <w:p w14:paraId="189CB224">
                  <w:pPr>
                    <w:pStyle w:val="110"/>
                    <w:rPr>
                      <w:color w:val="000000" w:themeColor="text1"/>
                      <w:highlight w:val="none"/>
                      <w14:textFill>
                        <w14:solidFill>
                          <w14:schemeClr w14:val="tx1"/>
                        </w14:solidFill>
                      </w14:textFill>
                    </w:rPr>
                  </w:pPr>
                </w:p>
              </w:tc>
              <w:tc>
                <w:tcPr>
                  <w:tcW w:w="1053" w:type="pct"/>
                  <w:vMerge w:val="continue"/>
                  <w:tcBorders>
                    <w:tl2br w:val="nil"/>
                    <w:tr2bl w:val="nil"/>
                  </w:tcBorders>
                  <w:vAlign w:val="center"/>
                </w:tcPr>
                <w:p w14:paraId="28973A24">
                  <w:pPr>
                    <w:pStyle w:val="110"/>
                    <w:rPr>
                      <w:color w:val="000000" w:themeColor="text1"/>
                      <w:highlight w:val="none"/>
                      <w14:textFill>
                        <w14:solidFill>
                          <w14:schemeClr w14:val="tx1"/>
                        </w14:solidFill>
                      </w14:textFill>
                    </w:rPr>
                  </w:pPr>
                </w:p>
              </w:tc>
              <w:tc>
                <w:tcPr>
                  <w:tcW w:w="1385" w:type="pct"/>
                  <w:tcBorders>
                    <w:tl2br w:val="nil"/>
                    <w:tr2bl w:val="nil"/>
                  </w:tcBorders>
                  <w:vAlign w:val="center"/>
                </w:tcPr>
                <w:p w14:paraId="442ED1D5">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悬浮物、石油类、总氮、总磷、</w:t>
                  </w:r>
                  <w:r>
                    <w:rPr>
                      <w:rFonts w:hint="eastAsia"/>
                      <w:color w:val="000000" w:themeColor="text1"/>
                      <w:highlight w:val="none"/>
                      <w14:textFill>
                        <w14:solidFill>
                          <w14:schemeClr w14:val="tx1"/>
                        </w14:solidFill>
                      </w14:textFill>
                    </w:rPr>
                    <w:t>阴离子表面活性剂、</w:t>
                  </w:r>
                  <w:r>
                    <w:rPr>
                      <w:color w:val="000000" w:themeColor="text1"/>
                      <w:highlight w:val="none"/>
                      <w14:textFill>
                        <w14:solidFill>
                          <w14:schemeClr w14:val="tx1"/>
                        </w14:solidFill>
                      </w14:textFill>
                    </w:rPr>
                    <w:t>氟化物</w:t>
                  </w:r>
                </w:p>
              </w:tc>
              <w:tc>
                <w:tcPr>
                  <w:tcW w:w="1107" w:type="dxa"/>
                  <w:tcBorders>
                    <w:tl2br w:val="nil"/>
                    <w:tr2bl w:val="nil"/>
                  </w:tcBorders>
                  <w:vAlign w:val="center"/>
                </w:tcPr>
                <w:p w14:paraId="02637AE9">
                  <w:pPr>
                    <w:jc w:val="center"/>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1次/</w:t>
                  </w:r>
                  <w:r>
                    <w:rPr>
                      <w:rFonts w:hint="eastAsia"/>
                      <w:color w:val="000000" w:themeColor="text1"/>
                      <w:highlight w:val="none"/>
                      <w:lang w:val="en-US" w:eastAsia="zh-CN"/>
                      <w14:textFill>
                        <w14:solidFill>
                          <w14:schemeClr w14:val="tx1"/>
                        </w14:solidFill>
                      </w14:textFill>
                    </w:rPr>
                    <w:t>月</w:t>
                  </w:r>
                </w:p>
              </w:tc>
              <w:tc>
                <w:tcPr>
                  <w:tcW w:w="1108" w:type="dxa"/>
                  <w:tcBorders>
                    <w:tl2br w:val="nil"/>
                    <w:tr2bl w:val="nil"/>
                  </w:tcBorders>
                  <w:vAlign w:val="center"/>
                </w:tcPr>
                <w:p w14:paraId="5D2A9A75">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1次/年</w:t>
                  </w:r>
                </w:p>
              </w:tc>
              <w:tc>
                <w:tcPr>
                  <w:tcW w:w="669" w:type="pct"/>
                  <w:vMerge w:val="continue"/>
                  <w:tcBorders>
                    <w:tl2br w:val="nil"/>
                    <w:tr2bl w:val="nil"/>
                  </w:tcBorders>
                  <w:vAlign w:val="center"/>
                </w:tcPr>
                <w:p w14:paraId="2F6C37A4">
                  <w:pPr>
                    <w:pStyle w:val="110"/>
                    <w:rPr>
                      <w:color w:val="000000" w:themeColor="text1"/>
                      <w:highlight w:val="none"/>
                      <w14:textFill>
                        <w14:solidFill>
                          <w14:schemeClr w14:val="tx1"/>
                        </w14:solidFill>
                      </w14:textFill>
                    </w:rPr>
                  </w:pPr>
                </w:p>
              </w:tc>
            </w:tr>
            <w:tr w14:paraId="1386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Borders>
                    <w:tl2br w:val="nil"/>
                    <w:tr2bl w:val="nil"/>
                  </w:tcBorders>
                  <w:vAlign w:val="center"/>
                </w:tcPr>
                <w:p w14:paraId="51B43100">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1053" w:type="pct"/>
                  <w:tcBorders>
                    <w:tl2br w:val="nil"/>
                    <w:tr2bl w:val="nil"/>
                  </w:tcBorders>
                  <w:vAlign w:val="center"/>
                </w:tcPr>
                <w:p w14:paraId="7DA0E2A7">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东、西、南、北厂界外1m</w:t>
                  </w:r>
                </w:p>
              </w:tc>
              <w:tc>
                <w:tcPr>
                  <w:tcW w:w="1385" w:type="pct"/>
                  <w:tcBorders>
                    <w:tl2br w:val="nil"/>
                    <w:tr2bl w:val="nil"/>
                  </w:tcBorders>
                  <w:vAlign w:val="center"/>
                </w:tcPr>
                <w:p w14:paraId="5C2B81C3">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等效连续A声级</w:t>
                  </w:r>
                </w:p>
              </w:tc>
              <w:tc>
                <w:tcPr>
                  <w:tcW w:w="681" w:type="pct"/>
                  <w:tcBorders>
                    <w:tl2br w:val="nil"/>
                    <w:tr2bl w:val="nil"/>
                  </w:tcBorders>
                  <w:vAlign w:val="center"/>
                </w:tcPr>
                <w:p w14:paraId="4A5D7BE5">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1次/季</w:t>
                  </w:r>
                </w:p>
              </w:tc>
              <w:tc>
                <w:tcPr>
                  <w:tcW w:w="682" w:type="pct"/>
                  <w:tcBorders>
                    <w:tl2br w:val="nil"/>
                    <w:tr2bl w:val="nil"/>
                  </w:tcBorders>
                  <w:vAlign w:val="center"/>
                </w:tcPr>
                <w:p w14:paraId="23622AE5">
                  <w:pPr>
                    <w:pStyle w:val="1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1次/季</w:t>
                  </w:r>
                </w:p>
              </w:tc>
              <w:tc>
                <w:tcPr>
                  <w:tcW w:w="669" w:type="pct"/>
                  <w:vMerge w:val="continue"/>
                  <w:tcBorders>
                    <w:tl2br w:val="nil"/>
                    <w:tr2bl w:val="nil"/>
                  </w:tcBorders>
                  <w:vAlign w:val="center"/>
                </w:tcPr>
                <w:p w14:paraId="630B2A43">
                  <w:pPr>
                    <w:pStyle w:val="110"/>
                    <w:rPr>
                      <w:color w:val="000000" w:themeColor="text1"/>
                      <w:highlight w:val="none"/>
                      <w14:textFill>
                        <w14:solidFill>
                          <w14:schemeClr w14:val="tx1"/>
                        </w14:solidFill>
                      </w14:textFill>
                    </w:rPr>
                  </w:pPr>
                </w:p>
              </w:tc>
            </w:tr>
          </w:tbl>
          <w:p w14:paraId="0D871D6E">
            <w:pPr>
              <w:pStyle w:val="66"/>
              <w:ind w:firstLine="42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注：目前企业不在福州市2025年环境监管重点单位名录内，后续企业根据福州市生态环境每年发布的环境监管重点单位名录确定企业是否为重点排污单位，从而确定监测频率。</w:t>
            </w:r>
          </w:p>
          <w:p w14:paraId="6C9B2B8E">
            <w:pPr>
              <w:pStyle w:val="37"/>
              <w:rPr>
                <w:rFonts w:hint="default"/>
                <w:color w:val="000000" w:themeColor="text1"/>
                <w:sz w:val="24"/>
                <w:szCs w:val="21"/>
                <w:highlight w:val="none"/>
                <w:lang w:val="en-US"/>
                <w14:textFill>
                  <w14:solidFill>
                    <w14:schemeClr w14:val="tx1"/>
                  </w14:solidFill>
                </w14:textFill>
              </w:rPr>
            </w:pPr>
            <w:r>
              <w:rPr>
                <w:color w:val="000000" w:themeColor="text1"/>
                <w:sz w:val="24"/>
                <w:szCs w:val="21"/>
                <w:highlight w:val="none"/>
                <w14:textFill>
                  <w14:solidFill>
                    <w14:schemeClr w14:val="tx1"/>
                  </w14:solidFill>
                </w14:textFill>
              </w:rPr>
              <w:t>4.</w:t>
            </w:r>
            <w:r>
              <w:rPr>
                <w:rFonts w:hint="eastAsia"/>
                <w:color w:val="000000" w:themeColor="text1"/>
                <w:sz w:val="24"/>
                <w:szCs w:val="21"/>
                <w:highlight w:val="none"/>
                <w:lang w:val="en-US" w:eastAsia="zh-CN"/>
                <w14:textFill>
                  <w14:solidFill>
                    <w14:schemeClr w14:val="tx1"/>
                  </w14:solidFill>
                </w14:textFill>
              </w:rPr>
              <w:t>10“三本账”分析</w:t>
            </w:r>
          </w:p>
          <w:p w14:paraId="37A29AB8">
            <w:pPr>
              <w:pStyle w:val="66"/>
              <w:ind w:firstLine="420"/>
              <w:rPr>
                <w:rFonts w:hint="eastAsia"/>
                <w:color w:val="000000" w:themeColor="text1"/>
                <w:sz w:val="24"/>
                <w:szCs w:val="32"/>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本项目建成后，建设单位主要污染物排放“三本账”统计情况见下表。</w:t>
            </w:r>
          </w:p>
          <w:p w14:paraId="324860B5">
            <w:pPr>
              <w:pStyle w:val="69"/>
              <w:spacing w:line="360" w:lineRule="auto"/>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表4.</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1  本项目建成后建设单位主要污染物排放“三本账”</w:t>
            </w:r>
            <w:r>
              <w:rPr>
                <w:rFonts w:hint="default" w:ascii="Times New Roman" w:hAnsi="Times New Roman" w:eastAsia="宋体" w:cs="宋体"/>
                <w:b/>
                <w:color w:val="000000" w:themeColor="text1"/>
                <w:kern w:val="2"/>
                <w:sz w:val="24"/>
                <w:szCs w:val="24"/>
                <w:highlight w:val="none"/>
                <w:lang w:val="en-US" w:eastAsia="zh-CN" w:bidi="ar-SA"/>
                <w14:textFill>
                  <w14:solidFill>
                    <w14:schemeClr w14:val="tx1"/>
                  </w14:solidFill>
                </w14:textFill>
              </w:rPr>
              <w:t>统计表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350"/>
              <w:gridCol w:w="1170"/>
              <w:gridCol w:w="1335"/>
              <w:gridCol w:w="945"/>
              <w:gridCol w:w="1470"/>
              <w:gridCol w:w="1156"/>
            </w:tblGrid>
            <w:tr w14:paraId="1812F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84" w:type="dxa"/>
                  <w:tcBorders>
                    <w:tl2br w:val="single" w:color="auto" w:sz="4" w:space="0"/>
                  </w:tcBorders>
                  <w:tcMar>
                    <w:left w:w="28" w:type="dxa"/>
                    <w:right w:w="28" w:type="dxa"/>
                  </w:tcMar>
                  <w:vAlign w:val="center"/>
                </w:tcPr>
                <w:p w14:paraId="2455754D">
                  <w:pPr>
                    <w:pStyle w:val="57"/>
                    <w:spacing w:beforeLines="0" w:afterLines="0" w:line="240" w:lineRule="auto"/>
                    <w:jc w:val="right"/>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项目</w:t>
                  </w:r>
                </w:p>
                <w:p w14:paraId="2C5D7AC0">
                  <w:pPr>
                    <w:pStyle w:val="57"/>
                    <w:spacing w:beforeLines="0" w:afterLines="0" w:line="240" w:lineRule="auto"/>
                    <w:jc w:val="left"/>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分类</w:t>
                  </w:r>
                </w:p>
              </w:tc>
              <w:tc>
                <w:tcPr>
                  <w:tcW w:w="1350" w:type="dxa"/>
                  <w:tcMar>
                    <w:left w:w="28" w:type="dxa"/>
                    <w:right w:w="28" w:type="dxa"/>
                  </w:tcMar>
                  <w:vAlign w:val="center"/>
                </w:tcPr>
                <w:p w14:paraId="7D31703D">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污染物名称</w:t>
                  </w:r>
                </w:p>
              </w:tc>
              <w:tc>
                <w:tcPr>
                  <w:tcW w:w="1170" w:type="dxa"/>
                  <w:tcMar>
                    <w:left w:w="28" w:type="dxa"/>
                    <w:right w:w="28" w:type="dxa"/>
                  </w:tcMar>
                  <w:vAlign w:val="center"/>
                </w:tcPr>
                <w:p w14:paraId="51A7324D">
                  <w:pPr>
                    <w:pStyle w:val="57"/>
                    <w:spacing w:beforeLines="0" w:afterLines="0" w:line="240" w:lineRule="auto"/>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现有工程排放量（固体废物产生量）</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21"/>
                      <w:sz w:val="21"/>
                      <w:szCs w:val="21"/>
                      <w:highlight w:val="none"/>
                      <w:lang w:val="en-US" w:eastAsia="zh-CN"/>
                      <w14:textFill>
                        <w14:solidFill>
                          <w14:schemeClr w14:val="tx1"/>
                        </w14:solidFill>
                      </w14:textFill>
                    </w:rPr>
                    <w:t>t/a</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p>
              </w:tc>
              <w:tc>
                <w:tcPr>
                  <w:tcW w:w="1335" w:type="dxa"/>
                  <w:tcMar>
                    <w:left w:w="28" w:type="dxa"/>
                    <w:right w:w="28" w:type="dxa"/>
                  </w:tcMar>
                  <w:vAlign w:val="center"/>
                </w:tcPr>
                <w:p w14:paraId="73D2D432">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本项目排放量（固体废物产生量）</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21"/>
                      <w:sz w:val="21"/>
                      <w:szCs w:val="21"/>
                      <w:highlight w:val="none"/>
                      <w:lang w:val="en-US" w:eastAsia="zh-CN"/>
                      <w14:textFill>
                        <w14:solidFill>
                          <w14:schemeClr w14:val="tx1"/>
                        </w14:solidFill>
                      </w14:textFill>
                    </w:rPr>
                    <w:t>t/a</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p>
              </w:tc>
              <w:tc>
                <w:tcPr>
                  <w:tcW w:w="945" w:type="dxa"/>
                  <w:tcMar>
                    <w:left w:w="28" w:type="dxa"/>
                    <w:right w:w="28" w:type="dxa"/>
                  </w:tcMar>
                  <w:vAlign w:val="center"/>
                </w:tcPr>
                <w:p w14:paraId="433788A0">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以新带老削减量</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21"/>
                      <w:sz w:val="21"/>
                      <w:szCs w:val="21"/>
                      <w:highlight w:val="none"/>
                      <w:lang w:val="en-US" w:eastAsia="zh-CN"/>
                      <w14:textFill>
                        <w14:solidFill>
                          <w14:schemeClr w14:val="tx1"/>
                        </w14:solidFill>
                      </w14:textFill>
                    </w:rPr>
                    <w:t>t/a</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p>
              </w:tc>
              <w:tc>
                <w:tcPr>
                  <w:tcW w:w="1470" w:type="dxa"/>
                  <w:tcMar>
                    <w:left w:w="28" w:type="dxa"/>
                    <w:right w:w="28" w:type="dxa"/>
                  </w:tcMar>
                  <w:vAlign w:val="center"/>
                </w:tcPr>
                <w:p w14:paraId="73948527">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本项目建成后全厂排放量（固体废物产生量）</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21"/>
                      <w:sz w:val="21"/>
                      <w:szCs w:val="21"/>
                      <w:highlight w:val="none"/>
                      <w:lang w:val="en-US" w:eastAsia="zh-CN"/>
                      <w14:textFill>
                        <w14:solidFill>
                          <w14:schemeClr w14:val="tx1"/>
                        </w14:solidFill>
                      </w14:textFill>
                    </w:rPr>
                    <w:t>t/a</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p>
              </w:tc>
              <w:tc>
                <w:tcPr>
                  <w:tcW w:w="1156" w:type="dxa"/>
                  <w:tcMar>
                    <w:left w:w="28" w:type="dxa"/>
                    <w:right w:w="28" w:type="dxa"/>
                  </w:tcMar>
                  <w:vAlign w:val="center"/>
                </w:tcPr>
                <w:p w14:paraId="02B400B2">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pacing w:val="0"/>
                      <w:kern w:val="21"/>
                      <w:sz w:val="21"/>
                      <w:szCs w:val="21"/>
                      <w:highlight w:val="none"/>
                      <w:lang w:val="en-US" w:eastAsia="zh-CN"/>
                      <w14:textFill>
                        <w14:solidFill>
                          <w14:schemeClr w14:val="tx1"/>
                        </w14:solidFill>
                      </w14:textFill>
                    </w:rPr>
                    <w:t>增减</w:t>
                  </w: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量</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21"/>
                      <w:sz w:val="21"/>
                      <w:szCs w:val="21"/>
                      <w:highlight w:val="none"/>
                      <w:lang w:val="en-US" w:eastAsia="zh-CN"/>
                      <w14:textFill>
                        <w14:solidFill>
                          <w14:schemeClr w14:val="tx1"/>
                        </w14:solidFill>
                      </w14:textFill>
                    </w:rPr>
                    <w:t>t/a</w:t>
                  </w:r>
                  <w:r>
                    <w:rPr>
                      <w:rFonts w:hint="eastAsia"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p>
              </w:tc>
            </w:tr>
            <w:tr w14:paraId="6D1F9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restart"/>
                  <w:vAlign w:val="center"/>
                </w:tcPr>
                <w:p w14:paraId="4E372867">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废气</w:t>
                  </w:r>
                </w:p>
              </w:tc>
              <w:tc>
                <w:tcPr>
                  <w:tcW w:w="1350" w:type="dxa"/>
                  <w:vAlign w:val="center"/>
                </w:tcPr>
                <w:p w14:paraId="185EF3FB">
                  <w:pPr>
                    <w:widowControl/>
                    <w:jc w:val="cente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颗粒物</w:t>
                  </w:r>
                </w:p>
              </w:tc>
              <w:tc>
                <w:tcPr>
                  <w:tcW w:w="1170" w:type="dxa"/>
                  <w:vAlign w:val="center"/>
                </w:tcPr>
                <w:p w14:paraId="3399928E">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0.0541</w:t>
                  </w:r>
                </w:p>
              </w:tc>
              <w:tc>
                <w:tcPr>
                  <w:tcW w:w="1335" w:type="dxa"/>
                  <w:vAlign w:val="center"/>
                </w:tcPr>
                <w:p w14:paraId="339FD890">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0.0009</w:t>
                  </w:r>
                </w:p>
              </w:tc>
              <w:tc>
                <w:tcPr>
                  <w:tcW w:w="945" w:type="dxa"/>
                  <w:vAlign w:val="center"/>
                </w:tcPr>
                <w:p w14:paraId="36796287">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585013F0">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0.0550</w:t>
                  </w:r>
                </w:p>
              </w:tc>
              <w:tc>
                <w:tcPr>
                  <w:tcW w:w="1156" w:type="dxa"/>
                  <w:vAlign w:val="center"/>
                </w:tcPr>
                <w:p w14:paraId="3805EDB4">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+0.0009</w:t>
                  </w:r>
                </w:p>
              </w:tc>
            </w:tr>
            <w:tr w14:paraId="35520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3FA956B9">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32A3FD52">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非甲烷总烃</w:t>
                  </w:r>
                </w:p>
              </w:tc>
              <w:tc>
                <w:tcPr>
                  <w:tcW w:w="1170" w:type="dxa"/>
                  <w:vAlign w:val="center"/>
                </w:tcPr>
                <w:p w14:paraId="09BF9716">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0.3322</w:t>
                  </w:r>
                </w:p>
              </w:tc>
              <w:tc>
                <w:tcPr>
                  <w:tcW w:w="1335" w:type="dxa"/>
                  <w:vAlign w:val="center"/>
                </w:tcPr>
                <w:p w14:paraId="103F4D68">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1.6273</w:t>
                  </w:r>
                </w:p>
              </w:tc>
              <w:tc>
                <w:tcPr>
                  <w:tcW w:w="945" w:type="dxa"/>
                  <w:vAlign w:val="center"/>
                </w:tcPr>
                <w:p w14:paraId="73F2D917">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6C4A2DD8">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1.9595</w:t>
                  </w:r>
                </w:p>
              </w:tc>
              <w:tc>
                <w:tcPr>
                  <w:tcW w:w="1156" w:type="dxa"/>
                  <w:vAlign w:val="center"/>
                </w:tcPr>
                <w:p w14:paraId="4355433F">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+1.6273</w:t>
                  </w:r>
                </w:p>
              </w:tc>
            </w:tr>
            <w:tr w14:paraId="513AA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50935ED7">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01D1125A">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硫酸雾</w:t>
                  </w:r>
                </w:p>
              </w:tc>
              <w:tc>
                <w:tcPr>
                  <w:tcW w:w="1170" w:type="dxa"/>
                  <w:vAlign w:val="center"/>
                </w:tcPr>
                <w:p w14:paraId="159DBD85">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335" w:type="dxa"/>
                  <w:vAlign w:val="center"/>
                </w:tcPr>
                <w:p w14:paraId="06FA45E2">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0.0019</w:t>
                  </w:r>
                </w:p>
              </w:tc>
              <w:tc>
                <w:tcPr>
                  <w:tcW w:w="945" w:type="dxa"/>
                  <w:vAlign w:val="center"/>
                </w:tcPr>
                <w:p w14:paraId="75E7C65B">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5869A566">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0.0019</w:t>
                  </w:r>
                </w:p>
              </w:tc>
              <w:tc>
                <w:tcPr>
                  <w:tcW w:w="1156" w:type="dxa"/>
                  <w:vAlign w:val="center"/>
                </w:tcPr>
                <w:p w14:paraId="70028FA9">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+0.0019</w:t>
                  </w:r>
                </w:p>
              </w:tc>
            </w:tr>
            <w:tr w14:paraId="6CE34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08E352C6">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51BE5CED">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硝酸雾（以NOx计）</w:t>
                  </w:r>
                </w:p>
              </w:tc>
              <w:tc>
                <w:tcPr>
                  <w:tcW w:w="1170" w:type="dxa"/>
                  <w:vAlign w:val="center"/>
                </w:tcPr>
                <w:p w14:paraId="3282E88B">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335" w:type="dxa"/>
                  <w:vAlign w:val="center"/>
                </w:tcPr>
                <w:p w14:paraId="0072FD11">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0.0001</w:t>
                  </w:r>
                </w:p>
              </w:tc>
              <w:tc>
                <w:tcPr>
                  <w:tcW w:w="945" w:type="dxa"/>
                  <w:vAlign w:val="center"/>
                </w:tcPr>
                <w:p w14:paraId="484F3A3D">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25F3B59B">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0.0001</w:t>
                  </w:r>
                </w:p>
              </w:tc>
              <w:tc>
                <w:tcPr>
                  <w:tcW w:w="1156" w:type="dxa"/>
                  <w:vAlign w:val="center"/>
                </w:tcPr>
                <w:p w14:paraId="02486F0B">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+0.0001</w:t>
                  </w:r>
                </w:p>
              </w:tc>
            </w:tr>
            <w:tr w14:paraId="785ED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7C1E6467">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554E8BCD">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氟化物</w:t>
                  </w:r>
                </w:p>
              </w:tc>
              <w:tc>
                <w:tcPr>
                  <w:tcW w:w="1170" w:type="dxa"/>
                  <w:vAlign w:val="center"/>
                </w:tcPr>
                <w:p w14:paraId="46E4CE6D">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335" w:type="dxa"/>
                  <w:vAlign w:val="center"/>
                </w:tcPr>
                <w:p w14:paraId="4F22BA55">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0.0008</w:t>
                  </w:r>
                </w:p>
              </w:tc>
              <w:tc>
                <w:tcPr>
                  <w:tcW w:w="945" w:type="dxa"/>
                  <w:vAlign w:val="center"/>
                </w:tcPr>
                <w:p w14:paraId="28DBB3CC">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05BDDFA7">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0.0008</w:t>
                  </w:r>
                </w:p>
              </w:tc>
              <w:tc>
                <w:tcPr>
                  <w:tcW w:w="1156" w:type="dxa"/>
                  <w:vAlign w:val="center"/>
                </w:tcPr>
                <w:p w14:paraId="46B28B9E">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+0.0008</w:t>
                  </w:r>
                </w:p>
              </w:tc>
            </w:tr>
            <w:tr w14:paraId="60D4F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2A764F80">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16101D0C">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氯化氢</w:t>
                  </w:r>
                </w:p>
              </w:tc>
              <w:tc>
                <w:tcPr>
                  <w:tcW w:w="1170" w:type="dxa"/>
                  <w:vAlign w:val="center"/>
                </w:tcPr>
                <w:p w14:paraId="3A801F00">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335" w:type="dxa"/>
                  <w:vAlign w:val="center"/>
                </w:tcPr>
                <w:p w14:paraId="124B0CB8">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0.000021</w:t>
                  </w:r>
                </w:p>
              </w:tc>
              <w:tc>
                <w:tcPr>
                  <w:tcW w:w="945" w:type="dxa"/>
                  <w:vAlign w:val="center"/>
                </w:tcPr>
                <w:p w14:paraId="2883D097">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55A8263C">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0.000021</w:t>
                  </w:r>
                </w:p>
              </w:tc>
              <w:tc>
                <w:tcPr>
                  <w:tcW w:w="1156" w:type="dxa"/>
                  <w:vAlign w:val="center"/>
                </w:tcPr>
                <w:p w14:paraId="7F15BD8D">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+0.000021</w:t>
                  </w:r>
                </w:p>
              </w:tc>
            </w:tr>
            <w:tr w14:paraId="38B1C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35DD104D">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75CE2B57">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TMAH</w:t>
                  </w:r>
                </w:p>
              </w:tc>
              <w:tc>
                <w:tcPr>
                  <w:tcW w:w="1170" w:type="dxa"/>
                  <w:vAlign w:val="center"/>
                </w:tcPr>
                <w:p w14:paraId="21F449C2">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335" w:type="dxa"/>
                  <w:vAlign w:val="center"/>
                </w:tcPr>
                <w:p w14:paraId="250C5E53">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0.0002</w:t>
                  </w:r>
                </w:p>
              </w:tc>
              <w:tc>
                <w:tcPr>
                  <w:tcW w:w="945" w:type="dxa"/>
                  <w:vAlign w:val="center"/>
                </w:tcPr>
                <w:p w14:paraId="5C2A8C71">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020B9F26">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0.0002</w:t>
                  </w:r>
                </w:p>
              </w:tc>
              <w:tc>
                <w:tcPr>
                  <w:tcW w:w="1156" w:type="dxa"/>
                  <w:vAlign w:val="center"/>
                </w:tcPr>
                <w:p w14:paraId="0D7A4804">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+0.0002</w:t>
                  </w:r>
                </w:p>
              </w:tc>
            </w:tr>
            <w:tr w14:paraId="2FB97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restart"/>
                  <w:vAlign w:val="center"/>
                </w:tcPr>
                <w:p w14:paraId="0BE1C347">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废水</w:t>
                  </w:r>
                </w:p>
              </w:tc>
              <w:tc>
                <w:tcPr>
                  <w:tcW w:w="1350" w:type="dxa"/>
                  <w:vAlign w:val="center"/>
                </w:tcPr>
                <w:p w14:paraId="1E5E394F">
                  <w:pPr>
                    <w:jc w:val="cente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废水量</w:t>
                  </w:r>
                </w:p>
              </w:tc>
              <w:tc>
                <w:tcPr>
                  <w:tcW w:w="1170" w:type="dxa"/>
                  <w:vAlign w:val="center"/>
                </w:tcPr>
                <w:p w14:paraId="04FB806F">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3780</w:t>
                  </w:r>
                </w:p>
              </w:tc>
              <w:tc>
                <w:tcPr>
                  <w:tcW w:w="1335" w:type="dxa"/>
                  <w:vAlign w:val="center"/>
                </w:tcPr>
                <w:p w14:paraId="344896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8460</w:t>
                  </w:r>
                </w:p>
              </w:tc>
              <w:tc>
                <w:tcPr>
                  <w:tcW w:w="945" w:type="dxa"/>
                  <w:vAlign w:val="center"/>
                </w:tcPr>
                <w:p w14:paraId="524D118E">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2FF5E9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12240</w:t>
                  </w:r>
                </w:p>
              </w:tc>
              <w:tc>
                <w:tcPr>
                  <w:tcW w:w="1156" w:type="dxa"/>
                  <w:vAlign w:val="center"/>
                </w:tcPr>
                <w:p w14:paraId="493D83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+8460</w:t>
                  </w:r>
                </w:p>
              </w:tc>
            </w:tr>
            <w:tr w14:paraId="3265C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625B4B0A">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2E2D1030">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COD</w:t>
                  </w:r>
                </w:p>
              </w:tc>
              <w:tc>
                <w:tcPr>
                  <w:tcW w:w="1170" w:type="dxa"/>
                  <w:vAlign w:val="center"/>
                </w:tcPr>
                <w:p w14:paraId="7F237C6F">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0.189</w:t>
                  </w:r>
                </w:p>
              </w:tc>
              <w:tc>
                <w:tcPr>
                  <w:tcW w:w="1335" w:type="dxa"/>
                  <w:vAlign w:val="center"/>
                </w:tcPr>
                <w:p w14:paraId="073C9687">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0.5456</w:t>
                  </w:r>
                </w:p>
              </w:tc>
              <w:tc>
                <w:tcPr>
                  <w:tcW w:w="945" w:type="dxa"/>
                  <w:vAlign w:val="center"/>
                </w:tcPr>
                <w:p w14:paraId="3769AF3E">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0374120B">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0.7346</w:t>
                  </w:r>
                </w:p>
              </w:tc>
              <w:tc>
                <w:tcPr>
                  <w:tcW w:w="1156" w:type="dxa"/>
                  <w:vAlign w:val="center"/>
                </w:tcPr>
                <w:p w14:paraId="042D757B">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+0.5456</w:t>
                  </w:r>
                </w:p>
              </w:tc>
            </w:tr>
            <w:tr w14:paraId="07DE5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11E0D540">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76CCED2F">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NH</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w:t>
                  </w:r>
                </w:p>
              </w:tc>
              <w:tc>
                <w:tcPr>
                  <w:tcW w:w="1170" w:type="dxa"/>
                  <w:vAlign w:val="center"/>
                </w:tcPr>
                <w:p w14:paraId="1EFB401E">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0.019</w:t>
                  </w:r>
                </w:p>
              </w:tc>
              <w:tc>
                <w:tcPr>
                  <w:tcW w:w="1335" w:type="dxa"/>
                  <w:vAlign w:val="center"/>
                </w:tcPr>
                <w:p w14:paraId="3858DB4D">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0.1355</w:t>
                  </w:r>
                </w:p>
              </w:tc>
              <w:tc>
                <w:tcPr>
                  <w:tcW w:w="945" w:type="dxa"/>
                  <w:vAlign w:val="center"/>
                </w:tcPr>
                <w:p w14:paraId="4184AAC9">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184083CD">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0.1545</w:t>
                  </w:r>
                </w:p>
              </w:tc>
              <w:tc>
                <w:tcPr>
                  <w:tcW w:w="1156" w:type="dxa"/>
                  <w:vAlign w:val="center"/>
                </w:tcPr>
                <w:p w14:paraId="3EA4431E">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+0.1355</w:t>
                  </w:r>
                </w:p>
              </w:tc>
            </w:tr>
            <w:tr w14:paraId="7B553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restart"/>
                  <w:vAlign w:val="center"/>
                </w:tcPr>
                <w:p w14:paraId="6B58A641">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一般工业</w:t>
                  </w:r>
                </w:p>
                <w:p w14:paraId="2E945626">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固体废物</w:t>
                  </w:r>
                </w:p>
              </w:tc>
              <w:tc>
                <w:tcPr>
                  <w:tcW w:w="1350" w:type="dxa"/>
                  <w:vAlign w:val="center"/>
                </w:tcPr>
                <w:p w14:paraId="709A59EA">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不合格产品</w:t>
                  </w:r>
                </w:p>
              </w:tc>
              <w:tc>
                <w:tcPr>
                  <w:tcW w:w="1170" w:type="dxa"/>
                  <w:vAlign w:val="center"/>
                </w:tcPr>
                <w:p w14:paraId="7B131F9D">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0.8</w:t>
                  </w:r>
                </w:p>
              </w:tc>
              <w:tc>
                <w:tcPr>
                  <w:tcW w:w="1335" w:type="dxa"/>
                  <w:vAlign w:val="center"/>
                </w:tcPr>
                <w:p w14:paraId="5796FE3F">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0.6</w:t>
                  </w:r>
                </w:p>
              </w:tc>
              <w:tc>
                <w:tcPr>
                  <w:tcW w:w="945" w:type="dxa"/>
                  <w:vAlign w:val="center"/>
                </w:tcPr>
                <w:p w14:paraId="6ED3897E">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04329D3F">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1.4</w:t>
                  </w:r>
                </w:p>
              </w:tc>
              <w:tc>
                <w:tcPr>
                  <w:tcW w:w="1156" w:type="dxa"/>
                  <w:vAlign w:val="center"/>
                </w:tcPr>
                <w:p w14:paraId="23DA3532">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+0.6</w:t>
                  </w:r>
                </w:p>
              </w:tc>
            </w:tr>
            <w:tr w14:paraId="1BC94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7CAD1E9F">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74B0AA59">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沉淀废渣</w:t>
                  </w:r>
                </w:p>
              </w:tc>
              <w:tc>
                <w:tcPr>
                  <w:tcW w:w="1170" w:type="dxa"/>
                  <w:vAlign w:val="center"/>
                </w:tcPr>
                <w:p w14:paraId="2F3C2C03">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w:t>
                  </w:r>
                </w:p>
              </w:tc>
              <w:tc>
                <w:tcPr>
                  <w:tcW w:w="1335" w:type="dxa"/>
                  <w:vAlign w:val="center"/>
                </w:tcPr>
                <w:p w14:paraId="00FF1143">
                  <w:pPr>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c>
                <w:tcPr>
                  <w:tcW w:w="945" w:type="dxa"/>
                  <w:vAlign w:val="center"/>
                </w:tcPr>
                <w:p w14:paraId="7EA3ED16">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0322D9E9">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3</w:t>
                  </w:r>
                </w:p>
              </w:tc>
              <w:tc>
                <w:tcPr>
                  <w:tcW w:w="1156" w:type="dxa"/>
                  <w:vAlign w:val="center"/>
                </w:tcPr>
                <w:p w14:paraId="780ECC49">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w:t>
                  </w:r>
                </w:p>
              </w:tc>
            </w:tr>
            <w:tr w14:paraId="05954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2F5D409C">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2431648E">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废包装材料</w:t>
                  </w:r>
                </w:p>
              </w:tc>
              <w:tc>
                <w:tcPr>
                  <w:tcW w:w="1170" w:type="dxa"/>
                  <w:vAlign w:val="center"/>
                </w:tcPr>
                <w:p w14:paraId="2494D942">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0.2</w:t>
                  </w:r>
                </w:p>
              </w:tc>
              <w:tc>
                <w:tcPr>
                  <w:tcW w:w="1335" w:type="dxa"/>
                  <w:vAlign w:val="center"/>
                </w:tcPr>
                <w:p w14:paraId="7051ADA4">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0.1</w:t>
                  </w:r>
                </w:p>
              </w:tc>
              <w:tc>
                <w:tcPr>
                  <w:tcW w:w="945" w:type="dxa"/>
                  <w:vAlign w:val="center"/>
                </w:tcPr>
                <w:p w14:paraId="55B8A460">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31C95B03">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0.3</w:t>
                  </w:r>
                </w:p>
              </w:tc>
              <w:tc>
                <w:tcPr>
                  <w:tcW w:w="1156" w:type="dxa"/>
                  <w:vAlign w:val="center"/>
                </w:tcPr>
                <w:p w14:paraId="1A3786BD">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+0.1</w:t>
                  </w:r>
                </w:p>
              </w:tc>
            </w:tr>
            <w:tr w14:paraId="0918F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1FB8C228">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21EFC598">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废金刚砂</w:t>
                  </w:r>
                </w:p>
              </w:tc>
              <w:tc>
                <w:tcPr>
                  <w:tcW w:w="1170" w:type="dxa"/>
                  <w:vAlign w:val="center"/>
                </w:tcPr>
                <w:p w14:paraId="78D7F32B">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0.3</w:t>
                  </w:r>
                </w:p>
              </w:tc>
              <w:tc>
                <w:tcPr>
                  <w:tcW w:w="1335" w:type="dxa"/>
                  <w:vAlign w:val="center"/>
                </w:tcPr>
                <w:p w14:paraId="66CEA846">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4.3</w:t>
                  </w:r>
                </w:p>
              </w:tc>
              <w:tc>
                <w:tcPr>
                  <w:tcW w:w="945" w:type="dxa"/>
                  <w:vAlign w:val="center"/>
                </w:tcPr>
                <w:p w14:paraId="579E35E3">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6769A765">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4.6</w:t>
                  </w:r>
                </w:p>
              </w:tc>
              <w:tc>
                <w:tcPr>
                  <w:tcW w:w="1156" w:type="dxa"/>
                  <w:vAlign w:val="center"/>
                </w:tcPr>
                <w:p w14:paraId="02FEA5A2">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+4.3</w:t>
                  </w:r>
                </w:p>
              </w:tc>
            </w:tr>
            <w:tr w14:paraId="46AF6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002DD7D7">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06D0E85C">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废边角料</w:t>
                  </w:r>
                </w:p>
              </w:tc>
              <w:tc>
                <w:tcPr>
                  <w:tcW w:w="1170" w:type="dxa"/>
                  <w:vAlign w:val="center"/>
                </w:tcPr>
                <w:p w14:paraId="3486F2F0">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3.2</w:t>
                  </w:r>
                </w:p>
              </w:tc>
              <w:tc>
                <w:tcPr>
                  <w:tcW w:w="1335" w:type="dxa"/>
                  <w:vAlign w:val="center"/>
                </w:tcPr>
                <w:p w14:paraId="7218CB6B">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0.2</w:t>
                  </w:r>
                </w:p>
              </w:tc>
              <w:tc>
                <w:tcPr>
                  <w:tcW w:w="945" w:type="dxa"/>
                  <w:vAlign w:val="center"/>
                </w:tcPr>
                <w:p w14:paraId="46ED361D">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2F616D28">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3.4</w:t>
                  </w:r>
                </w:p>
              </w:tc>
              <w:tc>
                <w:tcPr>
                  <w:tcW w:w="1156" w:type="dxa"/>
                  <w:vAlign w:val="center"/>
                </w:tcPr>
                <w:p w14:paraId="697A1803">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+0.2</w:t>
                  </w:r>
                </w:p>
              </w:tc>
            </w:tr>
            <w:tr w14:paraId="08BB6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142C7310">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72C2DECD">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污水站沉渣</w:t>
                  </w:r>
                </w:p>
              </w:tc>
              <w:tc>
                <w:tcPr>
                  <w:tcW w:w="1170" w:type="dxa"/>
                  <w:vAlign w:val="center"/>
                </w:tcPr>
                <w:p w14:paraId="40DEC62C">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w:t>
                  </w:r>
                </w:p>
              </w:tc>
              <w:tc>
                <w:tcPr>
                  <w:tcW w:w="1335" w:type="dxa"/>
                  <w:vAlign w:val="center"/>
                </w:tcPr>
                <w:p w14:paraId="41CD0D33">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945" w:type="dxa"/>
                  <w:vAlign w:val="center"/>
                </w:tcPr>
                <w:p w14:paraId="2C4A231B">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52ED0BFC">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w:t>
                  </w:r>
                </w:p>
              </w:tc>
              <w:tc>
                <w:tcPr>
                  <w:tcW w:w="1156" w:type="dxa"/>
                  <w:vAlign w:val="center"/>
                </w:tcPr>
                <w:p w14:paraId="54C92A8B">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w:t>
                  </w:r>
                </w:p>
              </w:tc>
            </w:tr>
            <w:tr w14:paraId="5AC7E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726DB3D8">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6D6E982C">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废树脂</w:t>
                  </w:r>
                </w:p>
              </w:tc>
              <w:tc>
                <w:tcPr>
                  <w:tcW w:w="1170" w:type="dxa"/>
                  <w:vAlign w:val="center"/>
                </w:tcPr>
                <w:p w14:paraId="463D886D">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11.76</w:t>
                  </w:r>
                </w:p>
              </w:tc>
              <w:tc>
                <w:tcPr>
                  <w:tcW w:w="1335" w:type="dxa"/>
                  <w:vAlign w:val="center"/>
                </w:tcPr>
                <w:p w14:paraId="1E15A974">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42</w:t>
                  </w:r>
                </w:p>
              </w:tc>
              <w:tc>
                <w:tcPr>
                  <w:tcW w:w="945" w:type="dxa"/>
                  <w:vAlign w:val="center"/>
                </w:tcPr>
                <w:p w14:paraId="3E4FCAE8">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723A0CCF">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53.76</w:t>
                  </w:r>
                </w:p>
              </w:tc>
              <w:tc>
                <w:tcPr>
                  <w:tcW w:w="1156" w:type="dxa"/>
                  <w:vAlign w:val="center"/>
                </w:tcPr>
                <w:p w14:paraId="2DD54EE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+42</w:t>
                  </w:r>
                </w:p>
              </w:tc>
            </w:tr>
            <w:tr w14:paraId="2A978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restart"/>
                  <w:vAlign w:val="center"/>
                </w:tcPr>
                <w:p w14:paraId="2BEC7982">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危险废物</w:t>
                  </w:r>
                </w:p>
              </w:tc>
              <w:tc>
                <w:tcPr>
                  <w:tcW w:w="1350" w:type="dxa"/>
                  <w:vAlign w:val="center"/>
                </w:tcPr>
                <w:p w14:paraId="005329C7">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废切削液</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磨削液</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冷却液</w:t>
                  </w:r>
                </w:p>
              </w:tc>
              <w:tc>
                <w:tcPr>
                  <w:tcW w:w="1170" w:type="dxa"/>
                  <w:vAlign w:val="center"/>
                </w:tcPr>
                <w:p w14:paraId="3497CB5A">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0.4</w:t>
                  </w:r>
                </w:p>
              </w:tc>
              <w:tc>
                <w:tcPr>
                  <w:tcW w:w="1335" w:type="dxa"/>
                  <w:vAlign w:val="center"/>
                </w:tcPr>
                <w:p w14:paraId="3D2A18B3">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5.8</w:t>
                  </w:r>
                </w:p>
              </w:tc>
              <w:tc>
                <w:tcPr>
                  <w:tcW w:w="945" w:type="dxa"/>
                  <w:vAlign w:val="center"/>
                </w:tcPr>
                <w:p w14:paraId="6E57C09B">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3F153BCC">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6.2</w:t>
                  </w:r>
                </w:p>
              </w:tc>
              <w:tc>
                <w:tcPr>
                  <w:tcW w:w="1156" w:type="dxa"/>
                  <w:vAlign w:val="center"/>
                </w:tcPr>
                <w:p w14:paraId="7376A92F">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+5.8</w:t>
                  </w:r>
                </w:p>
              </w:tc>
            </w:tr>
            <w:tr w14:paraId="08585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60DC1339">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06453263">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废胶桶</w:t>
                  </w:r>
                </w:p>
              </w:tc>
              <w:tc>
                <w:tcPr>
                  <w:tcW w:w="1170" w:type="dxa"/>
                  <w:vAlign w:val="center"/>
                </w:tcPr>
                <w:p w14:paraId="31CBA2C6">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0.5</w:t>
                  </w:r>
                </w:p>
              </w:tc>
              <w:tc>
                <w:tcPr>
                  <w:tcW w:w="1335" w:type="dxa"/>
                  <w:vAlign w:val="center"/>
                </w:tcPr>
                <w:p w14:paraId="699276C2">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0.5</w:t>
                  </w:r>
                </w:p>
              </w:tc>
              <w:tc>
                <w:tcPr>
                  <w:tcW w:w="945" w:type="dxa"/>
                  <w:vAlign w:val="center"/>
                </w:tcPr>
                <w:p w14:paraId="00596217">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4DC0C701">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w:t>
                  </w:r>
                </w:p>
              </w:tc>
              <w:tc>
                <w:tcPr>
                  <w:tcW w:w="1156" w:type="dxa"/>
                  <w:vAlign w:val="center"/>
                </w:tcPr>
                <w:p w14:paraId="5C4276E6">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+0.5</w:t>
                  </w:r>
                </w:p>
              </w:tc>
            </w:tr>
            <w:tr w14:paraId="789A0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3C16A410">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7C56AB0A">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废有机溶剂空瓶</w:t>
                  </w:r>
                </w:p>
              </w:tc>
              <w:tc>
                <w:tcPr>
                  <w:tcW w:w="1170" w:type="dxa"/>
                  <w:vAlign w:val="center"/>
                </w:tcPr>
                <w:p w14:paraId="21B77613">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0.027</w:t>
                  </w:r>
                </w:p>
              </w:tc>
              <w:tc>
                <w:tcPr>
                  <w:tcW w:w="1335" w:type="dxa"/>
                  <w:vAlign w:val="center"/>
                </w:tcPr>
                <w:p w14:paraId="32D57574">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0.1</w:t>
                  </w:r>
                </w:p>
              </w:tc>
              <w:tc>
                <w:tcPr>
                  <w:tcW w:w="945" w:type="dxa"/>
                  <w:vAlign w:val="center"/>
                </w:tcPr>
                <w:p w14:paraId="22B465D4">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2EA28B09">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0.127</w:t>
                  </w:r>
                </w:p>
              </w:tc>
              <w:tc>
                <w:tcPr>
                  <w:tcW w:w="1156" w:type="dxa"/>
                  <w:vAlign w:val="center"/>
                </w:tcPr>
                <w:p w14:paraId="026EC695">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+0.1</w:t>
                  </w:r>
                </w:p>
              </w:tc>
            </w:tr>
            <w:tr w14:paraId="26066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27B4BE61">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2EC72209">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废晶体</w:t>
                  </w:r>
                </w:p>
              </w:tc>
              <w:tc>
                <w:tcPr>
                  <w:tcW w:w="1170" w:type="dxa"/>
                  <w:vAlign w:val="center"/>
                </w:tcPr>
                <w:p w14:paraId="0825762F">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0.2</w:t>
                  </w:r>
                </w:p>
              </w:tc>
              <w:tc>
                <w:tcPr>
                  <w:tcW w:w="1335" w:type="dxa"/>
                  <w:vAlign w:val="center"/>
                </w:tcPr>
                <w:p w14:paraId="02E49DEA">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945" w:type="dxa"/>
                  <w:vAlign w:val="center"/>
                </w:tcPr>
                <w:p w14:paraId="41051B91">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7795815C">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0.2</w:t>
                  </w:r>
                </w:p>
              </w:tc>
              <w:tc>
                <w:tcPr>
                  <w:tcW w:w="1156" w:type="dxa"/>
                  <w:vAlign w:val="center"/>
                </w:tcPr>
                <w:p w14:paraId="0283151F">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w:t>
                  </w:r>
                </w:p>
              </w:tc>
            </w:tr>
            <w:tr w14:paraId="7BCFB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6CD60DF1">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001EDDF4">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熔料炉渣</w:t>
                  </w:r>
                </w:p>
              </w:tc>
              <w:tc>
                <w:tcPr>
                  <w:tcW w:w="1170" w:type="dxa"/>
                  <w:vAlign w:val="center"/>
                </w:tcPr>
                <w:p w14:paraId="4A34AD34">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0.5</w:t>
                  </w:r>
                </w:p>
              </w:tc>
              <w:tc>
                <w:tcPr>
                  <w:tcW w:w="1335" w:type="dxa"/>
                  <w:vAlign w:val="center"/>
                </w:tcPr>
                <w:p w14:paraId="3823885C">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945" w:type="dxa"/>
                  <w:vAlign w:val="center"/>
                </w:tcPr>
                <w:p w14:paraId="2B67B2A4">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187FB50D">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0.5</w:t>
                  </w:r>
                </w:p>
              </w:tc>
              <w:tc>
                <w:tcPr>
                  <w:tcW w:w="1156" w:type="dxa"/>
                  <w:vAlign w:val="center"/>
                </w:tcPr>
                <w:p w14:paraId="7CA3FAB2">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w:t>
                  </w:r>
                </w:p>
              </w:tc>
            </w:tr>
            <w:tr w14:paraId="423EA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79A9EC05">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5B001C25">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清洗废液</w:t>
                  </w:r>
                </w:p>
              </w:tc>
              <w:tc>
                <w:tcPr>
                  <w:tcW w:w="1170" w:type="dxa"/>
                  <w:vAlign w:val="center"/>
                </w:tcPr>
                <w:p w14:paraId="18B3FBA4">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113.44</w:t>
                  </w:r>
                </w:p>
              </w:tc>
              <w:tc>
                <w:tcPr>
                  <w:tcW w:w="1335" w:type="dxa"/>
                  <w:vAlign w:val="center"/>
                </w:tcPr>
                <w:p w14:paraId="7CD429C9">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10.82</w:t>
                  </w:r>
                </w:p>
              </w:tc>
              <w:tc>
                <w:tcPr>
                  <w:tcW w:w="945" w:type="dxa"/>
                  <w:vAlign w:val="center"/>
                </w:tcPr>
                <w:p w14:paraId="7D5DD0E3">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04A1786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124.26</w:t>
                  </w:r>
                </w:p>
              </w:tc>
              <w:tc>
                <w:tcPr>
                  <w:tcW w:w="1156" w:type="dxa"/>
                  <w:vAlign w:val="center"/>
                </w:tcPr>
                <w:p w14:paraId="0EA8109B">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+10.82</w:t>
                  </w:r>
                </w:p>
              </w:tc>
            </w:tr>
            <w:tr w14:paraId="3AA32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7966AC97">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79A41C6E">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废活性炭</w:t>
                  </w:r>
                </w:p>
              </w:tc>
              <w:tc>
                <w:tcPr>
                  <w:tcW w:w="1170" w:type="dxa"/>
                  <w:vAlign w:val="center"/>
                </w:tcPr>
                <w:p w14:paraId="7F3A9695">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24</w:t>
                  </w:r>
                </w:p>
              </w:tc>
              <w:tc>
                <w:tcPr>
                  <w:tcW w:w="1335" w:type="dxa"/>
                  <w:vAlign w:val="center"/>
                </w:tcPr>
                <w:p w14:paraId="7618895E">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55.4631</w:t>
                  </w:r>
                </w:p>
              </w:tc>
              <w:tc>
                <w:tcPr>
                  <w:tcW w:w="945" w:type="dxa"/>
                  <w:vAlign w:val="center"/>
                </w:tcPr>
                <w:p w14:paraId="7FF7D1B5">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5B61DBBD">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79.4631</w:t>
                  </w:r>
                </w:p>
              </w:tc>
              <w:tc>
                <w:tcPr>
                  <w:tcW w:w="1156" w:type="dxa"/>
                  <w:vAlign w:val="center"/>
                </w:tcPr>
                <w:p w14:paraId="0D91306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+55.4631</w:t>
                  </w:r>
                </w:p>
              </w:tc>
            </w:tr>
            <w:tr w14:paraId="01EB69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2DE3FBDC">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7BD4C142">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含油抹布</w:t>
                  </w:r>
                </w:p>
              </w:tc>
              <w:tc>
                <w:tcPr>
                  <w:tcW w:w="1170" w:type="dxa"/>
                  <w:vAlign w:val="center"/>
                </w:tcPr>
                <w:p w14:paraId="6D17425C">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0.002</w:t>
                  </w:r>
                </w:p>
              </w:tc>
              <w:tc>
                <w:tcPr>
                  <w:tcW w:w="1335" w:type="dxa"/>
                  <w:vAlign w:val="center"/>
                </w:tcPr>
                <w:p w14:paraId="56087006">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0.01</w:t>
                  </w:r>
                </w:p>
              </w:tc>
              <w:tc>
                <w:tcPr>
                  <w:tcW w:w="945" w:type="dxa"/>
                  <w:vAlign w:val="center"/>
                </w:tcPr>
                <w:p w14:paraId="4573C5C0">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1A8F4736">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0.012</w:t>
                  </w:r>
                </w:p>
              </w:tc>
              <w:tc>
                <w:tcPr>
                  <w:tcW w:w="1156" w:type="dxa"/>
                  <w:vAlign w:val="center"/>
                </w:tcPr>
                <w:p w14:paraId="2EFA8D3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+0.01</w:t>
                  </w:r>
                </w:p>
              </w:tc>
            </w:tr>
            <w:tr w14:paraId="60869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568F7048">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21822C80">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刻蚀废液</w:t>
                  </w:r>
                </w:p>
              </w:tc>
              <w:tc>
                <w:tcPr>
                  <w:tcW w:w="1170" w:type="dxa"/>
                  <w:vAlign w:val="center"/>
                </w:tcPr>
                <w:p w14:paraId="5633C69C">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335" w:type="dxa"/>
                  <w:vAlign w:val="center"/>
                </w:tcPr>
                <w:p w14:paraId="6B7E4835">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1800</w:t>
                  </w:r>
                </w:p>
              </w:tc>
              <w:tc>
                <w:tcPr>
                  <w:tcW w:w="945" w:type="dxa"/>
                  <w:vAlign w:val="center"/>
                </w:tcPr>
                <w:p w14:paraId="0471D6DA">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5DFEF066">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1800</w:t>
                  </w:r>
                </w:p>
              </w:tc>
              <w:tc>
                <w:tcPr>
                  <w:tcW w:w="1156" w:type="dxa"/>
                  <w:vAlign w:val="center"/>
                </w:tcPr>
                <w:p w14:paraId="489A919C">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+1800</w:t>
                  </w:r>
                </w:p>
              </w:tc>
            </w:tr>
            <w:tr w14:paraId="351AF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vMerge w:val="continue"/>
                  <w:vAlign w:val="center"/>
                </w:tcPr>
                <w:p w14:paraId="73B1F898">
                  <w:pPr>
                    <w:pStyle w:val="57"/>
                    <w:spacing w:beforeLines="0" w:afterLines="0" w:line="240" w:lineRule="auto"/>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pPr>
                </w:p>
              </w:tc>
              <w:tc>
                <w:tcPr>
                  <w:tcW w:w="1350" w:type="dxa"/>
                  <w:vAlign w:val="center"/>
                </w:tcPr>
                <w:p w14:paraId="30557A3A">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污水处理站污泥</w:t>
                  </w:r>
                </w:p>
              </w:tc>
              <w:tc>
                <w:tcPr>
                  <w:tcW w:w="1170" w:type="dxa"/>
                  <w:vAlign w:val="center"/>
                </w:tcPr>
                <w:p w14:paraId="2A832C5D">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335" w:type="dxa"/>
                  <w:vAlign w:val="center"/>
                </w:tcPr>
                <w:p w14:paraId="71B9E471">
                  <w:pPr>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40</w:t>
                  </w:r>
                </w:p>
              </w:tc>
              <w:tc>
                <w:tcPr>
                  <w:tcW w:w="945" w:type="dxa"/>
                  <w:vAlign w:val="center"/>
                </w:tcPr>
                <w:p w14:paraId="3D9E863C">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1470" w:type="dxa"/>
                  <w:vAlign w:val="center"/>
                </w:tcPr>
                <w:p w14:paraId="3B4390A5">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40</w:t>
                  </w:r>
                </w:p>
              </w:tc>
              <w:tc>
                <w:tcPr>
                  <w:tcW w:w="1156" w:type="dxa"/>
                  <w:vAlign w:val="center"/>
                </w:tcPr>
                <w:p w14:paraId="22B16A78">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+40</w:t>
                  </w:r>
                </w:p>
              </w:tc>
            </w:tr>
          </w:tbl>
          <w:p w14:paraId="10B2F7F2">
            <w:pPr>
              <w:pStyle w:val="66"/>
              <w:ind w:firstLine="420"/>
              <w:rPr>
                <w:rFonts w:hint="eastAsia"/>
                <w:color w:val="000000" w:themeColor="text1"/>
                <w:sz w:val="24"/>
                <w:szCs w:val="32"/>
                <w:highlight w:val="none"/>
                <w:lang w:val="en-US" w:eastAsia="zh-CN"/>
                <w14:textFill>
                  <w14:solidFill>
                    <w14:schemeClr w14:val="tx1"/>
                  </w14:solidFill>
                </w14:textFill>
              </w:rPr>
            </w:pPr>
          </w:p>
          <w:p w14:paraId="3A51D5BE">
            <w:pPr>
              <w:pStyle w:val="66"/>
              <w:ind w:firstLine="420"/>
              <w:rPr>
                <w:rFonts w:hint="eastAsia"/>
                <w:color w:val="000000" w:themeColor="text1"/>
                <w:sz w:val="24"/>
                <w:szCs w:val="32"/>
                <w:highlight w:val="none"/>
                <w:lang w:val="en-US" w:eastAsia="zh-CN"/>
                <w14:textFill>
                  <w14:solidFill>
                    <w14:schemeClr w14:val="tx1"/>
                  </w14:solidFill>
                </w14:textFill>
              </w:rPr>
            </w:pPr>
          </w:p>
          <w:p w14:paraId="24E52E28">
            <w:pPr>
              <w:pStyle w:val="66"/>
              <w:ind w:firstLine="420"/>
              <w:rPr>
                <w:rFonts w:hint="eastAsia"/>
                <w:color w:val="000000" w:themeColor="text1"/>
                <w:sz w:val="24"/>
                <w:szCs w:val="32"/>
                <w:highlight w:val="none"/>
                <w:lang w:val="en-US" w:eastAsia="zh-CN"/>
                <w14:textFill>
                  <w14:solidFill>
                    <w14:schemeClr w14:val="tx1"/>
                  </w14:solidFill>
                </w14:textFill>
              </w:rPr>
            </w:pPr>
          </w:p>
          <w:p w14:paraId="07C9A74B">
            <w:pPr>
              <w:pStyle w:val="66"/>
              <w:ind w:firstLine="420"/>
              <w:rPr>
                <w:rFonts w:hint="eastAsia"/>
                <w:color w:val="000000" w:themeColor="text1"/>
                <w:sz w:val="24"/>
                <w:szCs w:val="32"/>
                <w:highlight w:val="none"/>
                <w:lang w:val="en-US" w:eastAsia="zh-CN"/>
                <w14:textFill>
                  <w14:solidFill>
                    <w14:schemeClr w14:val="tx1"/>
                  </w14:solidFill>
                </w14:textFill>
              </w:rPr>
            </w:pPr>
          </w:p>
          <w:p w14:paraId="35B4065F">
            <w:pPr>
              <w:pStyle w:val="66"/>
              <w:ind w:firstLine="420"/>
              <w:rPr>
                <w:rFonts w:hint="eastAsia"/>
                <w:color w:val="000000" w:themeColor="text1"/>
                <w:sz w:val="24"/>
                <w:szCs w:val="32"/>
                <w:highlight w:val="none"/>
                <w:lang w:val="en-US" w:eastAsia="zh-CN"/>
                <w14:textFill>
                  <w14:solidFill>
                    <w14:schemeClr w14:val="tx1"/>
                  </w14:solidFill>
                </w14:textFill>
              </w:rPr>
            </w:pPr>
          </w:p>
          <w:p w14:paraId="02B1A816">
            <w:pPr>
              <w:pStyle w:val="66"/>
              <w:ind w:firstLine="420"/>
              <w:rPr>
                <w:rFonts w:hint="eastAsia"/>
                <w:color w:val="000000" w:themeColor="text1"/>
                <w:sz w:val="24"/>
                <w:szCs w:val="32"/>
                <w:highlight w:val="none"/>
                <w:lang w:val="en-US" w:eastAsia="zh-CN"/>
                <w14:textFill>
                  <w14:solidFill>
                    <w14:schemeClr w14:val="tx1"/>
                  </w14:solidFill>
                </w14:textFill>
              </w:rPr>
            </w:pPr>
          </w:p>
          <w:p w14:paraId="545E1B50">
            <w:pPr>
              <w:pStyle w:val="66"/>
              <w:ind w:firstLine="420"/>
              <w:rPr>
                <w:rFonts w:hint="eastAsia"/>
                <w:color w:val="000000" w:themeColor="text1"/>
                <w:sz w:val="24"/>
                <w:szCs w:val="32"/>
                <w:highlight w:val="none"/>
                <w:lang w:val="en-US" w:eastAsia="zh-CN"/>
                <w14:textFill>
                  <w14:solidFill>
                    <w14:schemeClr w14:val="tx1"/>
                  </w14:solidFill>
                </w14:textFill>
              </w:rPr>
            </w:pPr>
          </w:p>
          <w:p w14:paraId="47208CDD">
            <w:pPr>
              <w:pStyle w:val="66"/>
              <w:ind w:firstLine="420"/>
              <w:rPr>
                <w:rFonts w:hint="eastAsia"/>
                <w:color w:val="000000" w:themeColor="text1"/>
                <w:sz w:val="24"/>
                <w:szCs w:val="32"/>
                <w:highlight w:val="none"/>
                <w:lang w:val="en-US" w:eastAsia="zh-CN"/>
                <w14:textFill>
                  <w14:solidFill>
                    <w14:schemeClr w14:val="tx1"/>
                  </w14:solidFill>
                </w14:textFill>
              </w:rPr>
            </w:pPr>
          </w:p>
          <w:p w14:paraId="7603374C">
            <w:pPr>
              <w:pStyle w:val="66"/>
              <w:ind w:firstLine="420"/>
              <w:rPr>
                <w:rFonts w:hint="eastAsia"/>
                <w:color w:val="000000" w:themeColor="text1"/>
                <w:sz w:val="24"/>
                <w:szCs w:val="32"/>
                <w:highlight w:val="none"/>
                <w:lang w:val="en-US" w:eastAsia="zh-CN"/>
                <w14:textFill>
                  <w14:solidFill>
                    <w14:schemeClr w14:val="tx1"/>
                  </w14:solidFill>
                </w14:textFill>
              </w:rPr>
            </w:pPr>
          </w:p>
          <w:p w14:paraId="4EC07657">
            <w:pPr>
              <w:pStyle w:val="66"/>
              <w:ind w:firstLine="420"/>
              <w:rPr>
                <w:rFonts w:hint="eastAsia"/>
                <w:color w:val="000000" w:themeColor="text1"/>
                <w:sz w:val="24"/>
                <w:szCs w:val="32"/>
                <w:highlight w:val="none"/>
                <w:lang w:val="en-US" w:eastAsia="zh-CN"/>
                <w14:textFill>
                  <w14:solidFill>
                    <w14:schemeClr w14:val="tx1"/>
                  </w14:solidFill>
                </w14:textFill>
              </w:rPr>
            </w:pPr>
          </w:p>
          <w:p w14:paraId="6F727263">
            <w:pPr>
              <w:pStyle w:val="66"/>
              <w:ind w:firstLine="420"/>
              <w:rPr>
                <w:rFonts w:hint="eastAsia"/>
                <w:color w:val="000000" w:themeColor="text1"/>
                <w:sz w:val="24"/>
                <w:szCs w:val="32"/>
                <w:highlight w:val="none"/>
                <w:lang w:val="en-US" w:eastAsia="zh-CN"/>
                <w14:textFill>
                  <w14:solidFill>
                    <w14:schemeClr w14:val="tx1"/>
                  </w14:solidFill>
                </w14:textFill>
              </w:rPr>
            </w:pPr>
          </w:p>
          <w:p w14:paraId="1A75201A">
            <w:pPr>
              <w:pStyle w:val="66"/>
              <w:ind w:firstLine="420"/>
              <w:rPr>
                <w:rFonts w:hint="eastAsia"/>
                <w:color w:val="000000" w:themeColor="text1"/>
                <w:sz w:val="24"/>
                <w:szCs w:val="32"/>
                <w:highlight w:val="none"/>
                <w:lang w:val="en-US" w:eastAsia="zh-CN"/>
                <w14:textFill>
                  <w14:solidFill>
                    <w14:schemeClr w14:val="tx1"/>
                  </w14:solidFill>
                </w14:textFill>
              </w:rPr>
            </w:pPr>
          </w:p>
          <w:p w14:paraId="770F93EC">
            <w:pPr>
              <w:pStyle w:val="66"/>
              <w:ind w:firstLine="420"/>
              <w:rPr>
                <w:rFonts w:hint="eastAsia"/>
                <w:color w:val="000000" w:themeColor="text1"/>
                <w:sz w:val="24"/>
                <w:szCs w:val="32"/>
                <w:highlight w:val="none"/>
                <w:lang w:val="en-US" w:eastAsia="zh-CN"/>
                <w14:textFill>
                  <w14:solidFill>
                    <w14:schemeClr w14:val="tx1"/>
                  </w14:solidFill>
                </w14:textFill>
              </w:rPr>
            </w:pPr>
          </w:p>
          <w:p w14:paraId="2F2A0753">
            <w:pPr>
              <w:pStyle w:val="66"/>
              <w:ind w:firstLine="420"/>
              <w:rPr>
                <w:rFonts w:hint="eastAsia"/>
                <w:color w:val="000000" w:themeColor="text1"/>
                <w:sz w:val="24"/>
                <w:szCs w:val="32"/>
                <w:highlight w:val="none"/>
                <w:lang w:val="en-US" w:eastAsia="zh-CN"/>
                <w14:textFill>
                  <w14:solidFill>
                    <w14:schemeClr w14:val="tx1"/>
                  </w14:solidFill>
                </w14:textFill>
              </w:rPr>
            </w:pPr>
          </w:p>
          <w:p w14:paraId="24E05B70">
            <w:pPr>
              <w:pStyle w:val="66"/>
              <w:ind w:firstLine="420"/>
              <w:rPr>
                <w:rFonts w:hint="eastAsia"/>
                <w:color w:val="000000" w:themeColor="text1"/>
                <w:sz w:val="24"/>
                <w:szCs w:val="32"/>
                <w:highlight w:val="none"/>
                <w:lang w:val="en-US" w:eastAsia="zh-CN"/>
                <w14:textFill>
                  <w14:solidFill>
                    <w14:schemeClr w14:val="tx1"/>
                  </w14:solidFill>
                </w14:textFill>
              </w:rPr>
            </w:pPr>
          </w:p>
          <w:p w14:paraId="42DF2263">
            <w:pPr>
              <w:pStyle w:val="66"/>
              <w:ind w:firstLine="420"/>
              <w:rPr>
                <w:rFonts w:hint="eastAsia"/>
                <w:color w:val="000000" w:themeColor="text1"/>
                <w:sz w:val="24"/>
                <w:szCs w:val="32"/>
                <w:highlight w:val="none"/>
                <w:lang w:val="en-US" w:eastAsia="zh-CN"/>
                <w14:textFill>
                  <w14:solidFill>
                    <w14:schemeClr w14:val="tx1"/>
                  </w14:solidFill>
                </w14:textFill>
              </w:rPr>
            </w:pPr>
          </w:p>
        </w:tc>
      </w:tr>
    </w:tbl>
    <w:p w14:paraId="499C5EDD">
      <w:pPr>
        <w:pStyle w:val="26"/>
        <w:widowControl w:val="0"/>
        <w:spacing w:before="0" w:beforeAutospacing="0" w:after="0" w:afterAutospacing="0" w:line="360" w:lineRule="auto"/>
        <w:ind w:firstLine="600" w:firstLineChars="200"/>
        <w:jc w:val="both"/>
        <w:rPr>
          <w:rFonts w:ascii="黑体" w:hAnsi="黑体" w:eastAsia="黑体"/>
          <w:snapToGrid w:val="0"/>
          <w:color w:val="000000" w:themeColor="text1"/>
          <w:sz w:val="30"/>
          <w:szCs w:val="30"/>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5834822">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14" w:name="_Toc26724"/>
      <w:r>
        <w:rPr>
          <w:rFonts w:hint="eastAsia" w:ascii="黑体" w:hAnsi="黑体" w:eastAsia="黑体"/>
          <w:snapToGrid w:val="0"/>
          <w:color w:val="000000" w:themeColor="text1"/>
          <w:sz w:val="30"/>
          <w:szCs w:val="30"/>
          <w:highlight w:val="none"/>
          <w14:textFill>
            <w14:solidFill>
              <w14:schemeClr w14:val="tx1"/>
            </w14:solidFill>
          </w14:textFill>
        </w:rPr>
        <w:t>五、</w:t>
      </w:r>
      <w:bookmarkStart w:id="15"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14"/>
      <w:bookmarkEnd w:id="15"/>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112"/>
        <w:gridCol w:w="1477"/>
        <w:gridCol w:w="1305"/>
        <w:gridCol w:w="2115"/>
        <w:gridCol w:w="2791"/>
      </w:tblGrid>
      <w:tr w14:paraId="42886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tblHeader/>
          <w:jc w:val="center"/>
        </w:trPr>
        <w:tc>
          <w:tcPr>
            <w:tcW w:w="1112" w:type="dxa"/>
            <w:tcBorders>
              <w:tl2br w:val="single" w:color="auto" w:sz="4" w:space="0"/>
            </w:tcBorders>
          </w:tcPr>
          <w:p w14:paraId="08730969">
            <w:pPr>
              <w:adjustRightInd w:val="0"/>
              <w:snapToGrid w:val="0"/>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内容</w:t>
            </w:r>
          </w:p>
          <w:p w14:paraId="403CB871">
            <w:pPr>
              <w:adjustRightInd w:val="0"/>
              <w:snapToGrid w:val="0"/>
              <w:ind w:right="420"/>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要素</w:t>
            </w:r>
          </w:p>
        </w:tc>
        <w:tc>
          <w:tcPr>
            <w:tcW w:w="1477" w:type="dxa"/>
            <w:vAlign w:val="center"/>
          </w:tcPr>
          <w:p w14:paraId="6C7FD923">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排放口(编号、名称)/污染源</w:t>
            </w:r>
          </w:p>
        </w:tc>
        <w:tc>
          <w:tcPr>
            <w:tcW w:w="1305" w:type="dxa"/>
            <w:vAlign w:val="center"/>
          </w:tcPr>
          <w:p w14:paraId="7FB9F50B">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污染物项目</w:t>
            </w:r>
          </w:p>
        </w:tc>
        <w:tc>
          <w:tcPr>
            <w:tcW w:w="2115" w:type="dxa"/>
            <w:vAlign w:val="center"/>
          </w:tcPr>
          <w:p w14:paraId="1BFAA567">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环境保护措施</w:t>
            </w:r>
          </w:p>
        </w:tc>
        <w:tc>
          <w:tcPr>
            <w:tcW w:w="2791" w:type="dxa"/>
            <w:vAlign w:val="center"/>
          </w:tcPr>
          <w:p w14:paraId="79A82460">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执行标准</w:t>
            </w:r>
          </w:p>
        </w:tc>
      </w:tr>
      <w:tr w14:paraId="52E90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73" w:hRule="atLeast"/>
          <w:jc w:val="center"/>
        </w:trPr>
        <w:tc>
          <w:tcPr>
            <w:tcW w:w="1112" w:type="dxa"/>
            <w:vMerge w:val="restart"/>
            <w:vAlign w:val="center"/>
          </w:tcPr>
          <w:p w14:paraId="06DA3CC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大气环境</w:t>
            </w:r>
          </w:p>
        </w:tc>
        <w:tc>
          <w:tcPr>
            <w:tcW w:w="1477" w:type="dxa"/>
            <w:vAlign w:val="center"/>
          </w:tcPr>
          <w:p w14:paraId="7D5A336B">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粉尘废气排放口</w:t>
            </w:r>
            <w:r>
              <w:rPr>
                <w:rFonts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t>DA00</w:t>
            </w:r>
            <w:r>
              <w:rPr>
                <w:rFonts w:hint="eastAsia" w:cs="Times New Roman"/>
                <w:color w:val="000000" w:themeColor="text1"/>
                <w:kern w:val="0"/>
                <w:sz w:val="21"/>
                <w:szCs w:val="21"/>
                <w:highlight w:val="none"/>
                <w:lang w:val="en-US" w:eastAsia="zh-CN" w:bidi="ar-SA"/>
                <w14:textFill>
                  <w14:solidFill>
                    <w14:schemeClr w14:val="tx1"/>
                  </w14:solidFill>
                </w14:textFill>
              </w:rPr>
              <w:t>4</w:t>
            </w:r>
          </w:p>
        </w:tc>
        <w:tc>
          <w:tcPr>
            <w:tcW w:w="1305" w:type="dxa"/>
            <w:vAlign w:val="center"/>
          </w:tcPr>
          <w:p w14:paraId="0873989E">
            <w:pPr>
              <w:pStyle w:val="36"/>
              <w:spacing w:before="75"/>
              <w:ind w:left="161" w:right="144" w:firstLine="2" w:firstLineChars="1"/>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颗粒物</w:t>
            </w:r>
          </w:p>
        </w:tc>
        <w:tc>
          <w:tcPr>
            <w:tcW w:w="2115" w:type="dxa"/>
            <w:vAlign w:val="center"/>
          </w:tcPr>
          <w:p w14:paraId="55B2ABE8">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集气罩+</w:t>
            </w:r>
            <w:r>
              <w:rPr>
                <w:rFonts w:hint="eastAsia"/>
                <w:color w:val="000000" w:themeColor="text1"/>
                <w:sz w:val="21"/>
                <w:szCs w:val="21"/>
                <w:highlight w:val="none"/>
                <w:lang w:val="en-US" w:eastAsia="zh-CN"/>
                <w14:textFill>
                  <w14:solidFill>
                    <w14:schemeClr w14:val="tx1"/>
                  </w14:solidFill>
                </w14:textFill>
              </w:rPr>
              <w:t>布袋除尘器+30m排气筒排放</w:t>
            </w:r>
          </w:p>
        </w:tc>
        <w:tc>
          <w:tcPr>
            <w:tcW w:w="2791" w:type="dxa"/>
            <w:vAlign w:val="center"/>
          </w:tcPr>
          <w:p w14:paraId="4279BA3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right="85"/>
              <w:jc w:val="center"/>
              <w:textAlignment w:val="auto"/>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《大气污染物综合排放标准》（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GB16297-1996</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有组织排放监控浓度限值</w:t>
            </w:r>
          </w:p>
        </w:tc>
      </w:tr>
      <w:tr w14:paraId="09607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73" w:hRule="atLeast"/>
          <w:jc w:val="center"/>
        </w:trPr>
        <w:tc>
          <w:tcPr>
            <w:tcW w:w="1112" w:type="dxa"/>
            <w:vMerge w:val="continue"/>
            <w:vAlign w:val="center"/>
          </w:tcPr>
          <w:p w14:paraId="5103D185">
            <w:pPr>
              <w:adjustRightInd w:val="0"/>
              <w:snapToGrid w:val="0"/>
              <w:jc w:val="center"/>
              <w:rPr>
                <w:color w:val="000000" w:themeColor="text1"/>
                <w:szCs w:val="21"/>
                <w:highlight w:val="none"/>
                <w14:textFill>
                  <w14:solidFill>
                    <w14:schemeClr w14:val="tx1"/>
                  </w14:solidFill>
                </w14:textFill>
              </w:rPr>
            </w:pPr>
          </w:p>
        </w:tc>
        <w:tc>
          <w:tcPr>
            <w:tcW w:w="1477" w:type="dxa"/>
            <w:vAlign w:val="center"/>
          </w:tcPr>
          <w:p w14:paraId="33506A1F">
            <w:pPr>
              <w:adjustRightInd w:val="0"/>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有机废气排放口</w:t>
            </w:r>
            <w:r>
              <w:rPr>
                <w:rFonts w:hint="default"/>
                <w:color w:val="000000" w:themeColor="text1"/>
                <w:sz w:val="21"/>
                <w:szCs w:val="21"/>
                <w:highlight w:val="none"/>
                <w:lang w:val="en-US" w:eastAsia="zh-CN"/>
                <w14:textFill>
                  <w14:solidFill>
                    <w14:schemeClr w14:val="tx1"/>
                  </w14:solidFill>
                </w14:textFill>
              </w:rPr>
              <w:t>DA00</w:t>
            </w:r>
            <w:r>
              <w:rPr>
                <w:rFonts w:hint="eastAsia"/>
                <w:color w:val="000000" w:themeColor="text1"/>
                <w:sz w:val="21"/>
                <w:szCs w:val="21"/>
                <w:highlight w:val="none"/>
                <w:lang w:val="en-US" w:eastAsia="zh-CN"/>
                <w14:textFill>
                  <w14:solidFill>
                    <w14:schemeClr w14:val="tx1"/>
                  </w14:solidFill>
                </w14:textFill>
              </w:rPr>
              <w:t>5</w:t>
            </w:r>
          </w:p>
        </w:tc>
        <w:tc>
          <w:tcPr>
            <w:tcW w:w="1305" w:type="dxa"/>
            <w:vAlign w:val="center"/>
          </w:tcPr>
          <w:p w14:paraId="79E866D4">
            <w:pPr>
              <w:adjustRightInd w:val="0"/>
              <w:snapToGrid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非甲烷总烃</w:t>
            </w:r>
          </w:p>
        </w:tc>
        <w:tc>
          <w:tcPr>
            <w:tcW w:w="2115" w:type="dxa"/>
            <w:vAlign w:val="center"/>
          </w:tcPr>
          <w:p w14:paraId="3ECAE6FC">
            <w:pPr>
              <w:adjustRightInd w:val="0"/>
              <w:snapToGrid w:val="0"/>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集气罩+二级活性炭+30m排气筒排放</w:t>
            </w:r>
          </w:p>
        </w:tc>
        <w:tc>
          <w:tcPr>
            <w:tcW w:w="2791" w:type="dxa"/>
            <w:vAlign w:val="center"/>
          </w:tcPr>
          <w:p w14:paraId="567112CD">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《工业企业挥发性有机物排放标准》（DB35/1782-2018）表1中相应标准值</w:t>
            </w:r>
          </w:p>
        </w:tc>
      </w:tr>
      <w:tr w14:paraId="2B2F0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73" w:hRule="atLeast"/>
          <w:jc w:val="center"/>
        </w:trPr>
        <w:tc>
          <w:tcPr>
            <w:tcW w:w="1112" w:type="dxa"/>
            <w:vMerge w:val="continue"/>
            <w:vAlign w:val="center"/>
          </w:tcPr>
          <w:p w14:paraId="0F9DB069">
            <w:pPr>
              <w:adjustRightInd w:val="0"/>
              <w:snapToGrid w:val="0"/>
              <w:jc w:val="center"/>
              <w:rPr>
                <w:color w:val="000000" w:themeColor="text1"/>
                <w:szCs w:val="21"/>
                <w:highlight w:val="none"/>
                <w14:textFill>
                  <w14:solidFill>
                    <w14:schemeClr w14:val="tx1"/>
                  </w14:solidFill>
                </w14:textFill>
              </w:rPr>
            </w:pPr>
          </w:p>
        </w:tc>
        <w:tc>
          <w:tcPr>
            <w:tcW w:w="1477" w:type="dxa"/>
            <w:vAlign w:val="center"/>
          </w:tcPr>
          <w:p w14:paraId="322B177F">
            <w:pPr>
              <w:adjustRightInd w:val="0"/>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酸性废气排放口DA00</w:t>
            </w:r>
            <w:r>
              <w:rPr>
                <w:rFonts w:hint="eastAsia"/>
                <w:color w:val="000000" w:themeColor="text1"/>
                <w:sz w:val="21"/>
                <w:szCs w:val="21"/>
                <w:highlight w:val="none"/>
                <w:lang w:val="en-US" w:eastAsia="zh-CN"/>
                <w14:textFill>
                  <w14:solidFill>
                    <w14:schemeClr w14:val="tx1"/>
                  </w14:solidFill>
                </w14:textFill>
              </w:rPr>
              <w:t>6</w:t>
            </w:r>
          </w:p>
        </w:tc>
        <w:tc>
          <w:tcPr>
            <w:tcW w:w="1305" w:type="dxa"/>
            <w:vAlign w:val="center"/>
          </w:tcPr>
          <w:p w14:paraId="3610683C">
            <w:pPr>
              <w:adjustRightInd w:val="0"/>
              <w:snapToGrid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氮氧化物、氟化物、硫酸雾、氯化氢</w:t>
            </w:r>
          </w:p>
        </w:tc>
        <w:tc>
          <w:tcPr>
            <w:tcW w:w="2115" w:type="dxa"/>
            <w:vAlign w:val="center"/>
          </w:tcPr>
          <w:p w14:paraId="3CD05B07">
            <w:pPr>
              <w:adjustRightInd w:val="0"/>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集气罩+碱液喷淋塔+30m排气筒排放</w:t>
            </w:r>
          </w:p>
        </w:tc>
        <w:tc>
          <w:tcPr>
            <w:tcW w:w="2791" w:type="dxa"/>
            <w:vAlign w:val="center"/>
          </w:tcPr>
          <w:p w14:paraId="4D6F6B32">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《大气污染物综合排放标准》（</w:t>
            </w:r>
            <w:r>
              <w:rPr>
                <w:rFonts w:hint="default"/>
                <w:color w:val="000000" w:themeColor="text1"/>
                <w:sz w:val="21"/>
                <w:szCs w:val="21"/>
                <w:highlight w:val="none"/>
                <w:lang w:val="en-US" w:eastAsia="zh-CN"/>
                <w14:textFill>
                  <w14:solidFill>
                    <w14:schemeClr w14:val="tx1"/>
                  </w14:solidFill>
                </w14:textFill>
              </w:rPr>
              <w:t>GB16297-1996</w:t>
            </w:r>
            <w:r>
              <w:rPr>
                <w:rFonts w:hint="eastAsia"/>
                <w:color w:val="000000" w:themeColor="text1"/>
                <w:sz w:val="21"/>
                <w:szCs w:val="21"/>
                <w:highlight w:val="none"/>
                <w:lang w:val="en-US" w:eastAsia="zh-CN"/>
                <w14:textFill>
                  <w14:solidFill>
                    <w14:schemeClr w14:val="tx1"/>
                  </w14:solidFill>
                </w14:textFill>
              </w:rPr>
              <w:t>）表</w:t>
            </w:r>
            <w:r>
              <w:rPr>
                <w:rFonts w:hint="default"/>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有组织排放监控浓度限值</w:t>
            </w:r>
          </w:p>
        </w:tc>
      </w:tr>
      <w:tr w14:paraId="0D7B4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73" w:hRule="atLeast"/>
          <w:jc w:val="center"/>
        </w:trPr>
        <w:tc>
          <w:tcPr>
            <w:tcW w:w="1112" w:type="dxa"/>
            <w:vMerge w:val="continue"/>
            <w:vAlign w:val="center"/>
          </w:tcPr>
          <w:p w14:paraId="06E0B77A">
            <w:pPr>
              <w:adjustRightInd w:val="0"/>
              <w:snapToGrid w:val="0"/>
              <w:jc w:val="center"/>
              <w:rPr>
                <w:color w:val="000000" w:themeColor="text1"/>
                <w:szCs w:val="21"/>
                <w:highlight w:val="none"/>
                <w14:textFill>
                  <w14:solidFill>
                    <w14:schemeClr w14:val="tx1"/>
                  </w14:solidFill>
                </w14:textFill>
              </w:rPr>
            </w:pPr>
          </w:p>
        </w:tc>
        <w:tc>
          <w:tcPr>
            <w:tcW w:w="1477" w:type="dxa"/>
            <w:vAlign w:val="center"/>
          </w:tcPr>
          <w:p w14:paraId="1928C091">
            <w:pPr>
              <w:adjustRightInd w:val="0"/>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碱性</w:t>
            </w:r>
            <w:r>
              <w:rPr>
                <w:color w:val="000000" w:themeColor="text1"/>
                <w:sz w:val="21"/>
                <w:szCs w:val="21"/>
                <w:highlight w:val="none"/>
                <w14:textFill>
                  <w14:solidFill>
                    <w14:schemeClr w14:val="tx1"/>
                  </w14:solidFill>
                </w14:textFill>
              </w:rPr>
              <w:t>废气排放口DA00</w:t>
            </w:r>
            <w:r>
              <w:rPr>
                <w:rFonts w:hint="eastAsia"/>
                <w:color w:val="000000" w:themeColor="text1"/>
                <w:sz w:val="21"/>
                <w:szCs w:val="21"/>
                <w:highlight w:val="none"/>
                <w:lang w:val="en-US" w:eastAsia="zh-CN"/>
                <w14:textFill>
                  <w14:solidFill>
                    <w14:schemeClr w14:val="tx1"/>
                  </w14:solidFill>
                </w14:textFill>
              </w:rPr>
              <w:t>7</w:t>
            </w:r>
          </w:p>
        </w:tc>
        <w:tc>
          <w:tcPr>
            <w:tcW w:w="1305" w:type="dxa"/>
            <w:vAlign w:val="center"/>
          </w:tcPr>
          <w:p w14:paraId="2EBC6380">
            <w:pPr>
              <w:adjustRightInd w:val="0"/>
              <w:snapToGrid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TMAH</w:t>
            </w:r>
          </w:p>
        </w:tc>
        <w:tc>
          <w:tcPr>
            <w:tcW w:w="2115" w:type="dxa"/>
            <w:vAlign w:val="center"/>
          </w:tcPr>
          <w:p w14:paraId="7294B21A">
            <w:pPr>
              <w:adjustRightInd w:val="0"/>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集气罩+稀硫酸喷淋塔+30m排气筒排放</w:t>
            </w:r>
          </w:p>
        </w:tc>
        <w:tc>
          <w:tcPr>
            <w:tcW w:w="2791" w:type="dxa"/>
            <w:vAlign w:val="center"/>
          </w:tcPr>
          <w:p w14:paraId="645B40E0">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 14554-93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）表2中标准</w:t>
            </w:r>
          </w:p>
        </w:tc>
      </w:tr>
      <w:tr w14:paraId="79810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05" w:hRule="atLeast"/>
          <w:jc w:val="center"/>
        </w:trPr>
        <w:tc>
          <w:tcPr>
            <w:tcW w:w="1112" w:type="dxa"/>
            <w:vMerge w:val="continue"/>
            <w:vAlign w:val="center"/>
          </w:tcPr>
          <w:p w14:paraId="6D8BCE2B">
            <w:pPr>
              <w:adjustRightInd w:val="0"/>
              <w:snapToGrid w:val="0"/>
              <w:jc w:val="center"/>
              <w:rPr>
                <w:color w:val="000000" w:themeColor="text1"/>
                <w:szCs w:val="21"/>
                <w:highlight w:val="none"/>
                <w14:textFill>
                  <w14:solidFill>
                    <w14:schemeClr w14:val="tx1"/>
                  </w14:solidFill>
                </w14:textFill>
              </w:rPr>
            </w:pPr>
          </w:p>
        </w:tc>
        <w:tc>
          <w:tcPr>
            <w:tcW w:w="1477" w:type="dxa"/>
            <w:vMerge w:val="restart"/>
            <w:vAlign w:val="center"/>
          </w:tcPr>
          <w:p w14:paraId="379674E0">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无组织排放</w:t>
            </w:r>
          </w:p>
        </w:tc>
        <w:tc>
          <w:tcPr>
            <w:tcW w:w="1305" w:type="dxa"/>
            <w:vAlign w:val="center"/>
          </w:tcPr>
          <w:p w14:paraId="220E8660">
            <w:pPr>
              <w:pStyle w:val="36"/>
              <w:spacing w:before="76"/>
              <w:ind w:left="161" w:right="144" w:firstLine="2" w:firstLineChars="1"/>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非甲烷总烃</w:t>
            </w:r>
          </w:p>
        </w:tc>
        <w:tc>
          <w:tcPr>
            <w:tcW w:w="2115" w:type="dxa"/>
            <w:vAlign w:val="center"/>
          </w:tcPr>
          <w:p w14:paraId="2245D1EA">
            <w:pPr>
              <w:adjustRightInd w:val="0"/>
              <w:snapToGrid w:val="0"/>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密闭式集气罩负压收集，尽量减少无组织排放</w:t>
            </w:r>
          </w:p>
        </w:tc>
        <w:tc>
          <w:tcPr>
            <w:tcW w:w="2791" w:type="dxa"/>
            <w:vAlign w:val="center"/>
          </w:tcPr>
          <w:p w14:paraId="6B92CAF5">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厂界执行《工业企业挥发性有机物排放标准》（DB35/1782-2018）表3标准；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厂内无组织执行《工业企业</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挥发性有机物排放标准》（DB35/1782-2018）表2中相应标准值；厂区内监控点执行《挥发性有机物无组织排放控制标准》（GB37822-2019）附录A表A.1厂区内VOCs无</w:t>
            </w:r>
            <w:r>
              <w:rPr>
                <w:rFonts w:hint="eastAsia"/>
                <w:color w:val="000000" w:themeColor="text1"/>
                <w:sz w:val="21"/>
                <w:szCs w:val="21"/>
                <w:highlight w:val="none"/>
                <w:lang w:val="en-US" w:eastAsia="zh-CN"/>
                <w14:textFill>
                  <w14:solidFill>
                    <w14:schemeClr w14:val="tx1"/>
                  </w14:solidFill>
                </w14:textFill>
              </w:rPr>
              <w:t>组织排放限值</w:t>
            </w:r>
          </w:p>
        </w:tc>
      </w:tr>
      <w:tr w14:paraId="59950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05" w:hRule="atLeast"/>
          <w:jc w:val="center"/>
        </w:trPr>
        <w:tc>
          <w:tcPr>
            <w:tcW w:w="1112" w:type="dxa"/>
            <w:vMerge w:val="continue"/>
            <w:vAlign w:val="center"/>
          </w:tcPr>
          <w:p w14:paraId="79513116">
            <w:pPr>
              <w:adjustRightInd w:val="0"/>
              <w:snapToGrid w:val="0"/>
              <w:jc w:val="center"/>
              <w:rPr>
                <w:color w:val="000000" w:themeColor="text1"/>
                <w:szCs w:val="21"/>
                <w:highlight w:val="none"/>
                <w14:textFill>
                  <w14:solidFill>
                    <w14:schemeClr w14:val="tx1"/>
                  </w14:solidFill>
                </w14:textFill>
              </w:rPr>
            </w:pPr>
          </w:p>
        </w:tc>
        <w:tc>
          <w:tcPr>
            <w:tcW w:w="1477" w:type="dxa"/>
            <w:vMerge w:val="continue"/>
            <w:vAlign w:val="center"/>
          </w:tcPr>
          <w:p w14:paraId="31FADABF">
            <w:pPr>
              <w:adjustRightInd w:val="0"/>
              <w:snapToGrid w:val="0"/>
              <w:jc w:val="center"/>
              <w:rPr>
                <w:color w:val="000000" w:themeColor="text1"/>
                <w:sz w:val="21"/>
                <w:szCs w:val="21"/>
                <w:highlight w:val="none"/>
                <w14:textFill>
                  <w14:solidFill>
                    <w14:schemeClr w14:val="tx1"/>
                  </w14:solidFill>
                </w14:textFill>
              </w:rPr>
            </w:pPr>
          </w:p>
        </w:tc>
        <w:tc>
          <w:tcPr>
            <w:tcW w:w="1305" w:type="dxa"/>
            <w:vAlign w:val="center"/>
          </w:tcPr>
          <w:p w14:paraId="20EA294F">
            <w:pPr>
              <w:pStyle w:val="36"/>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颗粒物、</w:t>
            </w:r>
            <w:r>
              <w:rPr>
                <w:color w:val="000000" w:themeColor="text1"/>
                <w:sz w:val="21"/>
                <w:szCs w:val="21"/>
                <w:highlight w:val="none"/>
                <w14:textFill>
                  <w14:solidFill>
                    <w14:schemeClr w14:val="tx1"/>
                  </w14:solidFill>
                </w14:textFill>
              </w:rPr>
              <w:t>氮氧化物、氟化物、硫酸雾、氯化氢</w:t>
            </w:r>
          </w:p>
        </w:tc>
        <w:tc>
          <w:tcPr>
            <w:tcW w:w="2115" w:type="dxa"/>
            <w:vAlign w:val="center"/>
          </w:tcPr>
          <w:p w14:paraId="50A9F4B0">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密闭式集气罩负压收集，尽量减少无组织排放</w:t>
            </w:r>
          </w:p>
        </w:tc>
        <w:tc>
          <w:tcPr>
            <w:tcW w:w="2791" w:type="dxa"/>
            <w:vAlign w:val="center"/>
          </w:tcPr>
          <w:p w14:paraId="630328E7">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《大气污染物综合排放标准》（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GB16297-1996</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无组织排放监控浓度限值</w:t>
            </w:r>
          </w:p>
        </w:tc>
      </w:tr>
      <w:tr w14:paraId="60B61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05" w:hRule="atLeast"/>
          <w:jc w:val="center"/>
        </w:trPr>
        <w:tc>
          <w:tcPr>
            <w:tcW w:w="1112" w:type="dxa"/>
            <w:vMerge w:val="continue"/>
            <w:vAlign w:val="center"/>
          </w:tcPr>
          <w:p w14:paraId="59B235B2">
            <w:pPr>
              <w:adjustRightInd w:val="0"/>
              <w:snapToGrid w:val="0"/>
              <w:jc w:val="center"/>
              <w:rPr>
                <w:color w:val="000000" w:themeColor="text1"/>
                <w:szCs w:val="21"/>
                <w:highlight w:val="none"/>
                <w14:textFill>
                  <w14:solidFill>
                    <w14:schemeClr w14:val="tx1"/>
                  </w14:solidFill>
                </w14:textFill>
              </w:rPr>
            </w:pPr>
          </w:p>
        </w:tc>
        <w:tc>
          <w:tcPr>
            <w:tcW w:w="1477" w:type="dxa"/>
            <w:vMerge w:val="continue"/>
            <w:vAlign w:val="center"/>
          </w:tcPr>
          <w:p w14:paraId="5CE641A2">
            <w:pPr>
              <w:adjustRightInd w:val="0"/>
              <w:snapToGrid w:val="0"/>
              <w:jc w:val="center"/>
              <w:rPr>
                <w:color w:val="000000" w:themeColor="text1"/>
                <w:sz w:val="21"/>
                <w:szCs w:val="21"/>
                <w:highlight w:val="none"/>
                <w14:textFill>
                  <w14:solidFill>
                    <w14:schemeClr w14:val="tx1"/>
                  </w14:solidFill>
                </w14:textFill>
              </w:rPr>
            </w:pPr>
          </w:p>
        </w:tc>
        <w:tc>
          <w:tcPr>
            <w:tcW w:w="1305" w:type="dxa"/>
            <w:vAlign w:val="center"/>
          </w:tcPr>
          <w:p w14:paraId="002ABEA6">
            <w:pPr>
              <w:pStyle w:val="36"/>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氨、硫化氢、臭气浓度</w:t>
            </w:r>
          </w:p>
        </w:tc>
        <w:tc>
          <w:tcPr>
            <w:tcW w:w="2115" w:type="dxa"/>
            <w:vAlign w:val="center"/>
          </w:tcPr>
          <w:p w14:paraId="05DCF1BA">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污水处理站采用除臭及加盖措施</w:t>
            </w:r>
          </w:p>
        </w:tc>
        <w:tc>
          <w:tcPr>
            <w:tcW w:w="2791" w:type="dxa"/>
            <w:vAlign w:val="center"/>
          </w:tcPr>
          <w:p w14:paraId="7254A020">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《恶臭污染物排放标准》（GB14554-93）表</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中标准</w:t>
            </w:r>
          </w:p>
        </w:tc>
      </w:tr>
      <w:tr w14:paraId="3280E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50" w:hRule="atLeast"/>
          <w:jc w:val="center"/>
        </w:trPr>
        <w:tc>
          <w:tcPr>
            <w:tcW w:w="1112" w:type="dxa"/>
            <w:vMerge w:val="restart"/>
            <w:vAlign w:val="center"/>
          </w:tcPr>
          <w:p w14:paraId="24208AF4">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地表水环境</w:t>
            </w:r>
          </w:p>
        </w:tc>
        <w:tc>
          <w:tcPr>
            <w:tcW w:w="1477" w:type="dxa"/>
            <w:vAlign w:val="center"/>
          </w:tcPr>
          <w:p w14:paraId="0B2137F4">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生产废水</w:t>
            </w:r>
          </w:p>
        </w:tc>
        <w:tc>
          <w:tcPr>
            <w:tcW w:w="1305" w:type="dxa"/>
            <w:vAlign w:val="center"/>
          </w:tcPr>
          <w:p w14:paraId="40CF4030">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流量、pH、COD、NH</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-N、悬浮物、石油类、总氮、总磷、氟化物</w:t>
            </w:r>
          </w:p>
        </w:tc>
        <w:tc>
          <w:tcPr>
            <w:tcW w:w="2115" w:type="dxa"/>
            <w:vAlign w:val="center"/>
          </w:tcPr>
          <w:p w14:paraId="303899DF">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含氟废水经含氟废水处理系统预处理后与一般清洗废水、酸碱废水一并排入综合污水处理站处理，综合污水处理站处理工艺为“pH调节+混凝池+沉淀池+过滤池”</w:t>
            </w:r>
          </w:p>
        </w:tc>
        <w:tc>
          <w:tcPr>
            <w:tcW w:w="2791" w:type="dxa"/>
            <w:vAlign w:val="center"/>
          </w:tcPr>
          <w:p w14:paraId="4502893A">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《电子工业水污染物排放标准》（GB39731-2020）间接排放标准，</w:t>
            </w:r>
            <w:r>
              <w:rPr>
                <w:rFonts w:hint="eastAsia"/>
                <w:color w:val="000000" w:themeColor="text1"/>
                <w:sz w:val="21"/>
                <w:szCs w:val="21"/>
                <w:highlight w:val="none"/>
                <w:lang w:val="en-US" w:eastAsia="zh-CN"/>
                <w14:textFill>
                  <w14:solidFill>
                    <w14:schemeClr w14:val="tx1"/>
                  </w14:solidFill>
                </w14:textFill>
              </w:rPr>
              <w:t>同时满足大学城污水处理厂进水水质标准</w:t>
            </w:r>
          </w:p>
        </w:tc>
      </w:tr>
      <w:tr w14:paraId="258D9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50" w:hRule="atLeast"/>
          <w:jc w:val="center"/>
        </w:trPr>
        <w:tc>
          <w:tcPr>
            <w:tcW w:w="1112" w:type="dxa"/>
            <w:vMerge w:val="continue"/>
            <w:vAlign w:val="center"/>
          </w:tcPr>
          <w:p w14:paraId="7CD3CEB3">
            <w:pPr>
              <w:adjustRightInd w:val="0"/>
              <w:snapToGrid w:val="0"/>
              <w:jc w:val="center"/>
              <w:rPr>
                <w:color w:val="000000" w:themeColor="text1"/>
                <w:szCs w:val="21"/>
                <w:highlight w:val="none"/>
                <w14:textFill>
                  <w14:solidFill>
                    <w14:schemeClr w14:val="tx1"/>
                  </w14:solidFill>
                </w14:textFill>
              </w:rPr>
            </w:pPr>
          </w:p>
        </w:tc>
        <w:tc>
          <w:tcPr>
            <w:tcW w:w="1477" w:type="dxa"/>
            <w:vAlign w:val="center"/>
          </w:tcPr>
          <w:p w14:paraId="59BCD76E">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生活污水</w:t>
            </w:r>
          </w:p>
          <w:p w14:paraId="642C080A">
            <w:pPr>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D</w:t>
            </w:r>
            <w:r>
              <w:rPr>
                <w:color w:val="000000" w:themeColor="text1"/>
                <w:sz w:val="21"/>
                <w:szCs w:val="21"/>
                <w:highlight w:val="none"/>
                <w14:textFill>
                  <w14:solidFill>
                    <w14:schemeClr w14:val="tx1"/>
                  </w14:solidFill>
                </w14:textFill>
              </w:rPr>
              <w:t>W00</w:t>
            </w:r>
            <w:r>
              <w:rPr>
                <w:rFonts w:hint="eastAsia"/>
                <w:color w:val="000000" w:themeColor="text1"/>
                <w:sz w:val="21"/>
                <w:szCs w:val="21"/>
                <w:highlight w:val="none"/>
                <w:lang w:val="en-US" w:eastAsia="zh-CN"/>
                <w14:textFill>
                  <w14:solidFill>
                    <w14:schemeClr w14:val="tx1"/>
                  </w14:solidFill>
                </w14:textFill>
              </w:rPr>
              <w:t>1</w:t>
            </w:r>
          </w:p>
        </w:tc>
        <w:tc>
          <w:tcPr>
            <w:tcW w:w="1305" w:type="dxa"/>
            <w:vAlign w:val="center"/>
          </w:tcPr>
          <w:p w14:paraId="3F960F37">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pH、COD、BOD5、SS、NH3-N</w:t>
            </w:r>
          </w:p>
        </w:tc>
        <w:tc>
          <w:tcPr>
            <w:tcW w:w="2115" w:type="dxa"/>
            <w:vAlign w:val="center"/>
          </w:tcPr>
          <w:p w14:paraId="239FC613">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经隔油+化粪池预处理后排入市政污水管网，送往福州大学城污水处理厂集中处理</w:t>
            </w:r>
          </w:p>
        </w:tc>
        <w:tc>
          <w:tcPr>
            <w:tcW w:w="2791" w:type="dxa"/>
            <w:vAlign w:val="center"/>
          </w:tcPr>
          <w:p w14:paraId="118FC6E2">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《污水综合排放标准》(GB8978-1996)表4中三级标准，其中氨氮参照执行《污水排入城镇下水道水质标准》(GBT 31962-2015)表1中B级标准限值</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同时满足大学城污水处理厂进水水质标准</w:t>
            </w:r>
          </w:p>
        </w:tc>
      </w:tr>
      <w:tr w14:paraId="25B7D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112" w:type="dxa"/>
            <w:vAlign w:val="center"/>
          </w:tcPr>
          <w:p w14:paraId="06059384">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w:t>
            </w:r>
          </w:p>
        </w:tc>
        <w:tc>
          <w:tcPr>
            <w:tcW w:w="1477" w:type="dxa"/>
            <w:vAlign w:val="center"/>
          </w:tcPr>
          <w:p w14:paraId="1EF8E1C2">
            <w:pPr>
              <w:pStyle w:val="36"/>
              <w:spacing w:before="151"/>
              <w:ind w:left="173" w:right="158"/>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生产设备</w:t>
            </w:r>
          </w:p>
        </w:tc>
        <w:tc>
          <w:tcPr>
            <w:tcW w:w="1305" w:type="dxa"/>
            <w:vAlign w:val="center"/>
          </w:tcPr>
          <w:p w14:paraId="4CF988CC">
            <w:pPr>
              <w:pStyle w:val="36"/>
              <w:spacing w:before="151"/>
              <w:ind w:left="161" w:right="144"/>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2115" w:type="dxa"/>
            <w:vAlign w:val="center"/>
          </w:tcPr>
          <w:p w14:paraId="1C01D23A">
            <w:pPr>
              <w:pStyle w:val="36"/>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hAnsi="Times New Roman" w:cs="Times New Roman"/>
                <w:color w:val="000000" w:themeColor="text1"/>
                <w:position w:val="2"/>
                <w:sz w:val="21"/>
                <w:szCs w:val="21"/>
                <w:highlight w:val="none"/>
                <w:lang w:eastAsia="zh-CN"/>
                <w14:textFill>
                  <w14:solidFill>
                    <w14:schemeClr w14:val="tx1"/>
                  </w14:solidFill>
                </w14:textFill>
              </w:rPr>
            </w:pPr>
            <w:r>
              <w:rPr>
                <w:rFonts w:ascii="Times New Roman" w:hAnsi="Times New Roman" w:cs="Times New Roman"/>
                <w:color w:val="000000" w:themeColor="text1"/>
                <w:position w:val="2"/>
                <w:sz w:val="21"/>
                <w:szCs w:val="21"/>
                <w:highlight w:val="none"/>
                <w:lang w:eastAsia="zh-CN"/>
                <w14:textFill>
                  <w14:solidFill>
                    <w14:schemeClr w14:val="tx1"/>
                  </w14:solidFill>
                </w14:textFill>
              </w:rPr>
              <w:t>采用低噪声设备，降低声源噪声；所有设备的基座应安装防振减振垫片，与动力设备连接的管道</w:t>
            </w:r>
            <w:r>
              <w:rPr>
                <w:rFonts w:hint="eastAsia" w:ascii="Times New Roman" w:hAnsi="Times New Roman" w:cs="Times New Roman"/>
                <w:color w:val="000000" w:themeColor="text1"/>
                <w:position w:val="2"/>
                <w:sz w:val="21"/>
                <w:szCs w:val="21"/>
                <w:highlight w:val="none"/>
                <w:lang w:eastAsia="zh-CN"/>
                <w14:textFill>
                  <w14:solidFill>
                    <w14:schemeClr w14:val="tx1"/>
                  </w14:solidFill>
                </w14:textFill>
              </w:rPr>
              <w:t>应安装软性接头，并对管道进行加固处理，防止因设备、管道振动引起的噪声。</w:t>
            </w:r>
          </w:p>
        </w:tc>
        <w:tc>
          <w:tcPr>
            <w:tcW w:w="2791" w:type="dxa"/>
            <w:vAlign w:val="center"/>
          </w:tcPr>
          <w:p w14:paraId="0CEAC5ED">
            <w:pPr>
              <w:pStyle w:val="36"/>
              <w:spacing w:before="87"/>
              <w:ind w:left="164" w:right="144"/>
              <w:jc w:val="center"/>
              <w:rPr>
                <w:rFonts w:ascii="Times New Roman" w:hAnsi="Times New Roman" w:cs="Times New Roman"/>
                <w:color w:val="000000" w:themeColor="text1"/>
                <w:position w:val="2"/>
                <w:sz w:val="21"/>
                <w:szCs w:val="21"/>
                <w:highlight w:val="none"/>
                <w:lang w:eastAsia="zh-CN"/>
                <w14:textFill>
                  <w14:solidFill>
                    <w14:schemeClr w14:val="tx1"/>
                  </w14:solidFill>
                </w14:textFill>
              </w:rPr>
            </w:pPr>
            <w:r>
              <w:rPr>
                <w:rFonts w:ascii="Times New Roman" w:hAnsi="Times New Roman" w:cs="Times New Roman"/>
                <w:color w:val="000000" w:themeColor="text1"/>
                <w:position w:val="2"/>
                <w:sz w:val="21"/>
                <w:szCs w:val="21"/>
                <w:highlight w:val="none"/>
                <w:lang w:eastAsia="zh-CN"/>
                <w14:textFill>
                  <w14:solidFill>
                    <w14:schemeClr w14:val="tx1"/>
                  </w14:solidFill>
                </w14:textFill>
              </w:rPr>
              <w:t>《工业企业厂界环境噪声排放标准》（GB12348-2008）中3类标准</w:t>
            </w:r>
          </w:p>
        </w:tc>
      </w:tr>
      <w:tr w14:paraId="5C960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76" w:hRule="atLeast"/>
          <w:jc w:val="center"/>
        </w:trPr>
        <w:tc>
          <w:tcPr>
            <w:tcW w:w="1112" w:type="dxa"/>
            <w:vAlign w:val="center"/>
          </w:tcPr>
          <w:p w14:paraId="193A02AF">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固体废物</w:t>
            </w:r>
          </w:p>
        </w:tc>
        <w:tc>
          <w:tcPr>
            <w:tcW w:w="7688" w:type="dxa"/>
            <w:gridSpan w:val="4"/>
            <w:vAlign w:val="center"/>
          </w:tcPr>
          <w:p w14:paraId="6185C399">
            <w:pPr>
              <w:adjustRightInd w:val="0"/>
              <w:snapToGrid w:val="0"/>
              <w:spacing w:line="360"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1、一般固废暂存于各车间临时存放处，其贮存、设计、运行管理等应执行《</w:t>
            </w:r>
            <w:r>
              <w:rPr>
                <w:rFonts w:hint="eastAsia"/>
                <w:color w:val="000000" w:themeColor="text1"/>
                <w:sz w:val="24"/>
                <w:szCs w:val="24"/>
                <w:highlight w:val="none"/>
                <w:lang w:eastAsia="zh-CN"/>
                <w14:textFill>
                  <w14:solidFill>
                    <w14:schemeClr w14:val="tx1"/>
                  </w14:solidFill>
                </w14:textFill>
              </w:rPr>
              <w:t>中华人民共和国</w:t>
            </w:r>
            <w:r>
              <w:rPr>
                <w:color w:val="000000" w:themeColor="text1"/>
                <w:sz w:val="24"/>
                <w:szCs w:val="24"/>
                <w:highlight w:val="none"/>
                <w14:textFill>
                  <w14:solidFill>
                    <w14:schemeClr w14:val="tx1"/>
                  </w14:solidFill>
                </w14:textFill>
              </w:rPr>
              <w:t>固体废物污染环境防治法》中的有关规定。一般工业固体废物采用库房、包装工具（罐、桶、包装袋等）贮存一般工业固体废物过程的污染控制，其贮存过程应满足相应防渗漏、防雨淋、防扬尘等环境保护要求。一般工业固体废物：</w:t>
            </w:r>
            <w:r>
              <w:rPr>
                <w:rFonts w:hint="eastAsia"/>
                <w:color w:val="000000" w:themeColor="text1"/>
                <w:sz w:val="24"/>
                <w:szCs w:val="24"/>
                <w:highlight w:val="none"/>
                <w:lang w:val="en-US" w:eastAsia="zh-CN"/>
                <w14:textFill>
                  <w14:solidFill>
                    <w14:schemeClr w14:val="tx1"/>
                  </w14:solidFill>
                </w14:textFill>
              </w:rPr>
              <w:t>废塑料边角料、残次品</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废包装材料，收集后外售给回收企业综合利用</w:t>
            </w:r>
            <w:r>
              <w:rPr>
                <w:color w:val="000000" w:themeColor="text1"/>
                <w:sz w:val="24"/>
                <w:szCs w:val="24"/>
                <w:highlight w:val="none"/>
                <w14:textFill>
                  <w14:solidFill>
                    <w14:schemeClr w14:val="tx1"/>
                  </w14:solidFill>
                </w14:textFill>
              </w:rPr>
              <w:t>。</w:t>
            </w:r>
          </w:p>
          <w:p w14:paraId="63AD9E1F">
            <w:pPr>
              <w:adjustRightInd w:val="0"/>
              <w:snapToGrid w:val="0"/>
              <w:spacing w:line="360"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2、拟在</w:t>
            </w:r>
            <w:r>
              <w:rPr>
                <w:rFonts w:hint="eastAsia"/>
                <w:color w:val="000000" w:themeColor="text1"/>
                <w:sz w:val="24"/>
                <w:szCs w:val="24"/>
                <w:highlight w:val="none"/>
                <w:lang w:val="en-US" w:eastAsia="zh-CN"/>
                <w14:textFill>
                  <w14:solidFill>
                    <w14:schemeClr w14:val="tx1"/>
                  </w14:solidFill>
                </w14:textFill>
              </w:rPr>
              <w:t>厂房南侧设置</w:t>
            </w:r>
            <w:r>
              <w:rPr>
                <w:color w:val="000000" w:themeColor="text1"/>
                <w:sz w:val="24"/>
                <w:szCs w:val="24"/>
                <w:highlight w:val="none"/>
                <w14:textFill>
                  <w14:solidFill>
                    <w14:schemeClr w14:val="tx1"/>
                  </w14:solidFill>
                </w14:textFill>
              </w:rPr>
              <w:t>危险</w:t>
            </w:r>
            <w:r>
              <w:rPr>
                <w:rFonts w:hint="eastAsia"/>
                <w:color w:val="000000" w:themeColor="text1"/>
                <w:sz w:val="24"/>
                <w:szCs w:val="24"/>
                <w:highlight w:val="none"/>
                <w:lang w:val="en-US" w:eastAsia="zh-CN"/>
                <w14:textFill>
                  <w14:solidFill>
                    <w14:schemeClr w14:val="tx1"/>
                  </w14:solidFill>
                </w14:textFill>
              </w:rPr>
              <w:t>废物</w:t>
            </w:r>
            <w:r>
              <w:rPr>
                <w:color w:val="000000" w:themeColor="text1"/>
                <w:sz w:val="24"/>
                <w:szCs w:val="24"/>
                <w:highlight w:val="none"/>
                <w14:textFill>
                  <w14:solidFill>
                    <w14:schemeClr w14:val="tx1"/>
                  </w14:solidFill>
                </w14:textFill>
              </w:rPr>
              <w:t>暂存间</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为了防止储存过程的二次污染，要求危险废物暂存间应严格按照</w:t>
            </w:r>
            <w:r>
              <w:rPr>
                <w:rFonts w:hint="eastAsia"/>
                <w:color w:val="000000" w:themeColor="text1"/>
                <w:sz w:val="24"/>
                <w:szCs w:val="24"/>
                <w:highlight w:val="none"/>
                <w:lang w:val="en-US" w:eastAsia="zh-CN"/>
                <w14:textFill>
                  <w14:solidFill>
                    <w14:schemeClr w14:val="tx1"/>
                  </w14:solidFill>
                </w14:textFill>
              </w:rPr>
              <w:t>《危险废物贮存污染控制标准》（GB18597-2023）</w:t>
            </w:r>
            <w:r>
              <w:rPr>
                <w:color w:val="000000" w:themeColor="text1"/>
                <w:sz w:val="24"/>
                <w:szCs w:val="24"/>
                <w:highlight w:val="none"/>
                <w14:textFill>
                  <w14:solidFill>
                    <w14:schemeClr w14:val="tx1"/>
                  </w14:solidFill>
                </w14:textFill>
              </w:rPr>
              <w:t>的相关要求执行，并在危险废物暂存间明显位置悬挂危险废物标识。危险废物暂存于危废间，委托具有相关资质的单位回收处置。</w:t>
            </w:r>
          </w:p>
          <w:p w14:paraId="1697E76D">
            <w:pPr>
              <w:adjustRightInd w:val="0"/>
              <w:snapToGrid w:val="0"/>
              <w:spacing w:line="360" w:lineRule="auto"/>
              <w:rPr>
                <w:rFonts w:ascii="宋体" w:hAnsi="宋体" w:cs="宋体"/>
                <w:color w:val="000000" w:themeColor="text1"/>
                <w:szCs w:val="21"/>
                <w:highlight w:val="none"/>
                <w14:textFill>
                  <w14:solidFill>
                    <w14:schemeClr w14:val="tx1"/>
                  </w14:solidFill>
                </w14:textFill>
              </w:rPr>
            </w:pPr>
            <w:r>
              <w:rPr>
                <w:color w:val="000000" w:themeColor="text1"/>
                <w:sz w:val="24"/>
                <w:szCs w:val="24"/>
                <w:highlight w:val="none"/>
                <w14:textFill>
                  <w14:solidFill>
                    <w14:schemeClr w14:val="tx1"/>
                  </w14:solidFill>
                </w14:textFill>
              </w:rPr>
              <w:t>3、生活垃圾：环卫部门定期清运处理。</w:t>
            </w:r>
          </w:p>
        </w:tc>
      </w:tr>
      <w:tr w14:paraId="74454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76" w:hRule="atLeast"/>
          <w:jc w:val="center"/>
        </w:trPr>
        <w:tc>
          <w:tcPr>
            <w:tcW w:w="1112" w:type="dxa"/>
            <w:vAlign w:val="center"/>
          </w:tcPr>
          <w:p w14:paraId="022872E7">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土壤及地下水</w:t>
            </w:r>
          </w:p>
          <w:p w14:paraId="64CCBB64">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污染防治措施</w:t>
            </w:r>
          </w:p>
        </w:tc>
        <w:tc>
          <w:tcPr>
            <w:tcW w:w="7688" w:type="dxa"/>
            <w:gridSpan w:val="4"/>
            <w:vAlign w:val="center"/>
          </w:tcPr>
          <w:p w14:paraId="1D3DE35E">
            <w:pPr>
              <w:adjustRightInd w:val="0"/>
              <w:snapToGrid w:val="0"/>
              <w:spacing w:line="360"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1、土壤防治措施：做好设备的维护、检修，杜绝跑、冒、滴、漏现象。同时，加强污染物产生主要环节的安全防护、报警措施，以便及时发现事故隐患，采取有效的应对措施。</w:t>
            </w:r>
          </w:p>
          <w:p w14:paraId="6A48572D">
            <w:pPr>
              <w:adjustRightInd w:val="0"/>
              <w:snapToGrid w:val="0"/>
              <w:spacing w:line="360" w:lineRule="auto"/>
              <w:jc w:val="left"/>
              <w:rPr>
                <w:color w:val="000000" w:themeColor="text1"/>
                <w:szCs w:val="21"/>
                <w:highlight w:val="none"/>
                <w14:textFill>
                  <w14:solidFill>
                    <w14:schemeClr w14:val="tx1"/>
                  </w14:solidFill>
                </w14:textFill>
              </w:rPr>
            </w:pPr>
            <w:r>
              <w:rPr>
                <w:color w:val="000000" w:themeColor="text1"/>
                <w:sz w:val="24"/>
                <w:szCs w:val="24"/>
                <w:highlight w:val="none"/>
                <w14:textFill>
                  <w14:solidFill>
                    <w14:schemeClr w14:val="tx1"/>
                  </w14:solidFill>
                </w14:textFill>
              </w:rPr>
              <w:t>2、地下水污染防治措施：</w:t>
            </w:r>
            <w:r>
              <w:rPr>
                <w:rFonts w:hint="eastAsia"/>
                <w:color w:val="000000" w:themeColor="text1"/>
                <w:sz w:val="24"/>
                <w:szCs w:val="24"/>
                <w:highlight w:val="none"/>
                <w:lang w:val="en-US" w:eastAsia="zh-CN"/>
                <w14:textFill>
                  <w14:solidFill>
                    <w14:schemeClr w14:val="tx1"/>
                  </w14:solidFill>
                </w14:textFill>
              </w:rPr>
              <w:t>合理进行防渗区域划分，危废暂存间满足重点防渗区的防渗要求，一般工业固体废物暂存场一般防渗区应按照《一般工业固体废物贮存处置场污染控制标准》中固废临时贮存场所的要求进行设计</w:t>
            </w:r>
            <w:r>
              <w:rPr>
                <w:color w:val="000000" w:themeColor="text1"/>
                <w:sz w:val="24"/>
                <w:szCs w:val="24"/>
                <w:highlight w:val="none"/>
                <w14:textFill>
                  <w14:solidFill>
                    <w14:schemeClr w14:val="tx1"/>
                  </w14:solidFill>
                </w14:textFill>
              </w:rPr>
              <w:t>。</w:t>
            </w:r>
          </w:p>
        </w:tc>
      </w:tr>
      <w:tr w14:paraId="26746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76" w:hRule="atLeast"/>
          <w:jc w:val="center"/>
        </w:trPr>
        <w:tc>
          <w:tcPr>
            <w:tcW w:w="1112" w:type="dxa"/>
            <w:vAlign w:val="center"/>
          </w:tcPr>
          <w:p w14:paraId="206FEB97">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生态保护措施</w:t>
            </w:r>
          </w:p>
        </w:tc>
        <w:tc>
          <w:tcPr>
            <w:tcW w:w="7688" w:type="dxa"/>
            <w:gridSpan w:val="4"/>
            <w:vAlign w:val="center"/>
          </w:tcPr>
          <w:p w14:paraId="00ADCBE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本项目租用</w:t>
            </w:r>
            <w:r>
              <w:rPr>
                <w:rFonts w:hint="eastAsia" w:cs="Times New Roman"/>
                <w:color w:val="000000" w:themeColor="text1"/>
                <w:sz w:val="24"/>
                <w:szCs w:val="24"/>
                <w:highlight w:val="none"/>
                <w:lang w:val="en-US" w:eastAsia="zh-CN"/>
                <w14:textFill>
                  <w14:solidFill>
                    <w14:schemeClr w14:val="tx1"/>
                  </w14:solidFill>
                </w14:textFill>
              </w:rPr>
              <w:t>福建省菲格园区开发管理有限公司</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在福建省福州市闽侯县</w:t>
            </w:r>
            <w:r>
              <w:rPr>
                <w:rFonts w:hint="eastAsia"/>
                <w:color w:val="000000" w:themeColor="text1"/>
                <w:sz w:val="24"/>
                <w:szCs w:val="24"/>
                <w:highlight w:val="none"/>
                <w:lang w:val="en-US" w:eastAsia="zh-CN"/>
                <w14:textFill>
                  <w14:solidFill>
                    <w14:schemeClr w14:val="tx1"/>
                  </w14:solidFill>
                </w14:textFill>
              </w:rPr>
              <w:t>南屿镇</w:t>
            </w:r>
            <w:r>
              <w:rPr>
                <w:rFonts w:hint="eastAsia" w:cs="Times New Roman"/>
                <w:color w:val="000000" w:themeColor="text1"/>
                <w:sz w:val="24"/>
                <w:szCs w:val="24"/>
                <w:highlight w:val="none"/>
                <w:lang w:val="en-US" w:eastAsia="zh-CN"/>
                <w14:textFill>
                  <w14:solidFill>
                    <w14:schemeClr w14:val="tx1"/>
                  </w14:solidFill>
                </w14:textFill>
              </w:rPr>
              <w:t>窗厦村尧溪路3号1#厂房</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1层，不涉及新增占地，不会对周边生态环境产生影响。</w:t>
            </w:r>
          </w:p>
        </w:tc>
      </w:tr>
      <w:tr w14:paraId="68E02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76" w:hRule="atLeast"/>
          <w:jc w:val="center"/>
        </w:trPr>
        <w:tc>
          <w:tcPr>
            <w:tcW w:w="1112" w:type="dxa"/>
            <w:vAlign w:val="center"/>
          </w:tcPr>
          <w:p w14:paraId="5B3EC7C0">
            <w:pPr>
              <w:adjustRightInd w:val="0"/>
              <w:snapToGrid w:val="0"/>
              <w:jc w:val="center"/>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环境风险</w:t>
            </w:r>
          </w:p>
          <w:p w14:paraId="1281F246">
            <w:pPr>
              <w:adjustRightInd w:val="0"/>
              <w:snapToGrid w:val="0"/>
              <w:jc w:val="center"/>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防范措施</w:t>
            </w:r>
          </w:p>
        </w:tc>
        <w:tc>
          <w:tcPr>
            <w:tcW w:w="7688" w:type="dxa"/>
            <w:gridSpan w:val="4"/>
            <w:vAlign w:val="center"/>
          </w:tcPr>
          <w:p w14:paraId="1E38173D">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定期进行设备检修工作；车间配置一定数量的消防器材、防毒护具；危废暂存场所</w:t>
            </w:r>
            <w:r>
              <w:rPr>
                <w:rFonts w:hint="eastAsia" w:cs="Times New Roman"/>
                <w:color w:val="000000" w:themeColor="text1"/>
                <w:sz w:val="24"/>
                <w:szCs w:val="24"/>
                <w:highlight w:val="none"/>
                <w:lang w:val="en-US" w:eastAsia="zh-CN"/>
                <w14:textFill>
                  <w14:solidFill>
                    <w14:schemeClr w14:val="tx1"/>
                  </w14:solidFill>
                </w14:textFill>
              </w:rPr>
              <w:t>按照</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《危险废物贮存污染控制标准》(GB18597-2023)的要求规范化建设；发生危废泄漏或消防事故时，应</w:t>
            </w:r>
            <w:r>
              <w:rPr>
                <w:rFonts w:hint="eastAsia" w:cs="Times New Roman"/>
                <w:color w:val="000000" w:themeColor="text1"/>
                <w:sz w:val="24"/>
                <w:szCs w:val="24"/>
                <w:highlight w:val="none"/>
                <w:lang w:val="en-US" w:eastAsia="zh-CN"/>
                <w14:textFill>
                  <w14:solidFill>
                    <w14:schemeClr w14:val="tx1"/>
                  </w14:solidFill>
                </w14:textFill>
              </w:rPr>
              <w:t>立即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采取紧急堵漏措施，关闭雨水总闸防止有毒有害物质、事故废水继续外泄，启动紧急防火措施</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18"/>
                <w:highlight w:val="none"/>
                <w:lang w:eastAsia="zh-CN"/>
                <w14:textFill>
                  <w14:solidFill>
                    <w14:schemeClr w14:val="tx1"/>
                  </w14:solidFill>
                </w14:textFill>
              </w:rPr>
              <w:t>化学品</w:t>
            </w:r>
            <w:r>
              <w:rPr>
                <w:rFonts w:hint="eastAsia" w:cs="Times New Roman"/>
                <w:color w:val="000000" w:themeColor="text1"/>
                <w:sz w:val="24"/>
                <w:szCs w:val="18"/>
                <w:highlight w:val="none"/>
                <w:lang w:val="en-US" w:eastAsia="zh-CN"/>
                <w14:textFill>
                  <w14:solidFill>
                    <w14:schemeClr w14:val="tx1"/>
                  </w14:solidFill>
                </w14:textFill>
              </w:rPr>
              <w:t>间和危废暂存间周边设置边沟，厂区设置220m</w:t>
            </w:r>
            <w:r>
              <w:rPr>
                <w:rFonts w:hint="eastAsia" w:cs="Times New Roman"/>
                <w:color w:val="000000" w:themeColor="text1"/>
                <w:sz w:val="24"/>
                <w:szCs w:val="18"/>
                <w:highlight w:val="none"/>
                <w:vertAlign w:val="superscript"/>
                <w:lang w:val="en-US" w:eastAsia="zh-CN"/>
                <w14:textFill>
                  <w14:solidFill>
                    <w14:schemeClr w14:val="tx1"/>
                  </w14:solidFill>
                </w14:textFill>
              </w:rPr>
              <w:t>3</w:t>
            </w:r>
            <w:r>
              <w:rPr>
                <w:rFonts w:hint="eastAsia" w:cs="Times New Roman"/>
                <w:color w:val="000000" w:themeColor="text1"/>
                <w:sz w:val="24"/>
                <w:szCs w:val="18"/>
                <w:highlight w:val="none"/>
                <w:lang w:val="en-US" w:eastAsia="zh-CN"/>
                <w14:textFill>
                  <w14:solidFill>
                    <w14:schemeClr w14:val="tx1"/>
                  </w14:solidFill>
                </w14:textFill>
              </w:rPr>
              <w:t>事故应急池。</w:t>
            </w:r>
          </w:p>
        </w:tc>
      </w:tr>
      <w:tr w14:paraId="2FDE4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02" w:hRule="atLeast"/>
          <w:jc w:val="center"/>
        </w:trPr>
        <w:tc>
          <w:tcPr>
            <w:tcW w:w="1112" w:type="dxa"/>
            <w:vAlign w:val="center"/>
          </w:tcPr>
          <w:p w14:paraId="7B5CB062">
            <w:pPr>
              <w:adjustRightInd w:val="0"/>
              <w:snapToGrid w:val="0"/>
              <w:jc w:val="center"/>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其他环境</w:t>
            </w:r>
          </w:p>
          <w:p w14:paraId="2DE7A833">
            <w:pPr>
              <w:adjustRightInd w:val="0"/>
              <w:snapToGrid w:val="0"/>
              <w:jc w:val="center"/>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管理要求</w:t>
            </w:r>
          </w:p>
        </w:tc>
        <w:tc>
          <w:tcPr>
            <w:tcW w:w="7688" w:type="dxa"/>
            <w:gridSpan w:val="4"/>
            <w:vAlign w:val="center"/>
          </w:tcPr>
          <w:p w14:paraId="2B2C651A">
            <w:pPr>
              <w:adjustRightInd w:val="0"/>
              <w:snapToGrid w:val="0"/>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1、施工期环境管理要求</w:t>
            </w:r>
          </w:p>
          <w:p w14:paraId="2266AF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w:t>
            </w:r>
            <w:r>
              <w:rPr>
                <w:rFonts w:hint="eastAsia" w:ascii="Times New Roman" w:hAnsi="Times New Roman" w:cs="宋体"/>
                <w:color w:val="000000" w:themeColor="text1"/>
                <w:kern w:val="2"/>
                <w:sz w:val="24"/>
                <w:szCs w:val="24"/>
                <w:highlight w:val="none"/>
                <w:lang w:val="en-US" w:eastAsia="zh-CN"/>
                <w14:textFill>
                  <w14:solidFill>
                    <w14:schemeClr w14:val="tx1"/>
                  </w14:solidFill>
                </w14:textFill>
              </w:rPr>
              <w:t>所在</w:t>
            </w:r>
            <w:r>
              <w:rPr>
                <w:rFonts w:hint="eastAsia" w:ascii="Times New Roman" w:hAnsi="Times New Roman" w:cs="宋体"/>
                <w:color w:val="000000" w:themeColor="text1"/>
                <w:kern w:val="2"/>
                <w:sz w:val="24"/>
                <w:szCs w:val="24"/>
                <w:highlight w:val="none"/>
                <w14:textFill>
                  <w14:solidFill>
                    <w14:schemeClr w14:val="tx1"/>
                  </w14:solidFill>
                </w14:textFill>
              </w:rPr>
              <w:t>厂房主体结构已经建成，因此不存在厂房等主体工程施工期环境影响。项目施工期主要为厂房内部装修、设备安装、调试阶段产生的环境问题，本项目设备安装、调试简单，且时间较短，因此，随着设备安装、调试完毕后，项目施工期也将结束，施工期环境影响也</w:t>
            </w:r>
            <w:r>
              <w:rPr>
                <w:rFonts w:hint="eastAsia" w:ascii="Times New Roman" w:hAnsi="Times New Roman" w:cs="宋体"/>
                <w:color w:val="000000" w:themeColor="text1"/>
                <w:kern w:val="2"/>
                <w:sz w:val="24"/>
                <w:szCs w:val="24"/>
                <w:highlight w:val="none"/>
                <w:lang w:eastAsia="zh-CN"/>
                <w14:textFill>
                  <w14:solidFill>
                    <w14:schemeClr w14:val="tx1"/>
                  </w14:solidFill>
                </w14:textFill>
              </w:rPr>
              <w:t>随之</w:t>
            </w:r>
            <w:r>
              <w:rPr>
                <w:rFonts w:hint="eastAsia" w:ascii="Times New Roman" w:hAnsi="Times New Roman" w:cs="宋体"/>
                <w:color w:val="000000" w:themeColor="text1"/>
                <w:kern w:val="2"/>
                <w:sz w:val="24"/>
                <w:szCs w:val="24"/>
                <w:highlight w:val="none"/>
                <w14:textFill>
                  <w14:solidFill>
                    <w14:schemeClr w14:val="tx1"/>
                  </w14:solidFill>
                </w14:textFill>
              </w:rPr>
              <w:t>消失，不会对周边环境</w:t>
            </w:r>
            <w:r>
              <w:rPr>
                <w:rFonts w:hint="eastAsia" w:ascii="Times New Roman" w:hAnsi="Times New Roman" w:cs="宋体"/>
                <w:color w:val="000000" w:themeColor="text1"/>
                <w:kern w:val="2"/>
                <w:sz w:val="24"/>
                <w:szCs w:val="24"/>
                <w:highlight w:val="none"/>
                <w:lang w:val="en-US" w:eastAsia="zh-CN"/>
                <w14:textFill>
                  <w14:solidFill>
                    <w14:schemeClr w14:val="tx1"/>
                  </w14:solidFill>
                </w14:textFill>
              </w:rPr>
              <w:t>造成</w:t>
            </w:r>
            <w:r>
              <w:rPr>
                <w:rFonts w:hint="eastAsia" w:ascii="Times New Roman" w:hAnsi="Times New Roman" w:cs="宋体"/>
                <w:color w:val="000000" w:themeColor="text1"/>
                <w:kern w:val="2"/>
                <w:sz w:val="24"/>
                <w:szCs w:val="24"/>
                <w:highlight w:val="none"/>
                <w14:textFill>
                  <w14:solidFill>
                    <w14:schemeClr w14:val="tx1"/>
                  </w14:solidFill>
                </w14:textFill>
              </w:rPr>
              <w:t>影响</w:t>
            </w:r>
            <w:r>
              <w:rPr>
                <w:color w:val="000000" w:themeColor="text1"/>
                <w:sz w:val="24"/>
                <w:szCs w:val="24"/>
                <w:highlight w:val="none"/>
                <w14:textFill>
                  <w14:solidFill>
                    <w14:schemeClr w14:val="tx1"/>
                  </w14:solidFill>
                </w14:textFill>
              </w:rPr>
              <w:t>。</w:t>
            </w:r>
          </w:p>
          <w:p w14:paraId="6EFFCB39">
            <w:pPr>
              <w:adjustRightInd w:val="0"/>
              <w:snapToGrid w:val="0"/>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2、运营期环境管理要求</w:t>
            </w:r>
          </w:p>
          <w:p w14:paraId="662431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运营期的环境管理重点是各项环境保护措施的落实，环保设施运行的管理和维护，日常的监测及污染事故的防范和应急处理。</w:t>
            </w:r>
          </w:p>
          <w:p w14:paraId="15884B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排污口规范化管理是实施污染物总量控制的基础性工作之一，也是总量控制不可缺少的一部分内容。此项工作可强化污染物的现场监督检查，促进企业加强管理和污染治理，实施污染物排放科学化、定量化管理。建设单位应如实填写《中华人民共和国规范化排污口标志登记证》的有关内容，由生态环境主管部门签发登记证。建设单位应把排污口情况如排污口的性质、编号、排污口位置以及主要排放的污染物的种类、数量、浓度、排放规律、排放去向以及污染治理实施的运行情况建档管理，并报送生态环境主管部门备案。企业应尽快向当地环境保护部门提交《排污许可证申请表》，经生态环境部门审核后，核发排污许可证。项目投入试运营后应及时开展竣工环保自主验收。为了方便监测人员对排气筒进行监测，企业应按照GB/T16157-1996《固定污染源排气中颗粒物测定与气体污染物采样方法》的规定要求，在排气筒上预留永久性采样监测孔。发生污染事故时，增加监测频次，按照应急监测要求进行监测。</w:t>
            </w:r>
          </w:p>
          <w:p w14:paraId="160EC7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本项目废水接入厂房北侧市政污水管网，具体详见附图15。建设单位按HJ1405-2024设置合法排放口，设置规范采样口、采样平台，悬挂污水排放口标识牌，标注编号、污染物、执行标准。</w:t>
            </w:r>
            <w:r>
              <w:rPr>
                <w:rFonts w:hint="default"/>
                <w:color w:val="000000" w:themeColor="text1"/>
                <w:sz w:val="24"/>
                <w:szCs w:val="24"/>
                <w:highlight w:val="none"/>
                <w:lang w:val="en-US" w:eastAsia="zh-CN"/>
                <w14:textFill>
                  <w14:solidFill>
                    <w14:schemeClr w14:val="tx1"/>
                  </w14:solidFill>
                </w14:textFill>
              </w:rPr>
              <w:t>建立污水站运行台账（加药、流量、pH、设备运维</w:t>
            </w:r>
            <w:r>
              <w:rPr>
                <w:rFonts w:hint="eastAsia"/>
                <w:color w:val="000000" w:themeColor="text1"/>
                <w:sz w:val="24"/>
                <w:szCs w:val="24"/>
                <w:highlight w:val="none"/>
                <w:lang w:val="en-US" w:eastAsia="zh-CN"/>
                <w14:textFill>
                  <w14:solidFill>
                    <w14:schemeClr w14:val="tx1"/>
                  </w14:solidFill>
                </w14:textFill>
              </w:rPr>
              <w:t>等</w:t>
            </w:r>
            <w:r>
              <w:rPr>
                <w:rFonts w:hint="default"/>
                <w:color w:val="000000" w:themeColor="text1"/>
                <w:sz w:val="24"/>
                <w:szCs w:val="24"/>
                <w:highlight w:val="none"/>
                <w:lang w:val="en-US" w:eastAsia="zh-CN"/>
                <w14:textFill>
                  <w14:solidFill>
                    <w14:schemeClr w14:val="tx1"/>
                  </w14:solidFill>
                </w14:textFill>
              </w:rPr>
              <w:t>）、污泥处置台账、监测台账。按自行监测方案开展监测，超标立即停产整改，配合执法监测与监督检查。</w:t>
            </w:r>
          </w:p>
          <w:p w14:paraId="28C95792">
            <w:pPr>
              <w:adjustRightInd w:val="0"/>
              <w:snapToGrid w:val="0"/>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3、生产中的环境管理</w:t>
            </w:r>
          </w:p>
          <w:p w14:paraId="370B98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所有的员工都应受到相应的岗位培训，能胜任岗位工作后方可上岗。所有的岗位都应有相应的操作规程，完整的运行记录</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畅通的信息交流通道。</w:t>
            </w:r>
          </w:p>
          <w:p w14:paraId="4F3142D8">
            <w:pPr>
              <w:adjustRightInd w:val="0"/>
              <w:snapToGrid w:val="0"/>
              <w:spacing w:line="360" w:lineRule="auto"/>
              <w:rPr>
                <w:rFonts w:hint="eastAsia"/>
                <w:color w:val="000000" w:themeColor="text1"/>
                <w:sz w:val="24"/>
                <w:szCs w:val="24"/>
                <w:highlight w:val="none"/>
                <w:lang w:val="en-US" w:eastAsia="zh-CN"/>
                <w14:textFill>
                  <w14:solidFill>
                    <w14:schemeClr w14:val="tx1"/>
                  </w14:solidFill>
                </w14:textFill>
              </w:rPr>
            </w:pPr>
            <w:r>
              <w:rPr>
                <w:rFonts w:hint="default"/>
                <w:b/>
                <w:color w:val="000000" w:themeColor="text1"/>
                <w:sz w:val="24"/>
                <w:szCs w:val="24"/>
                <w:highlight w:val="none"/>
                <w:lang w:val="en-US" w:eastAsia="zh-CN"/>
                <w14:textFill>
                  <w14:solidFill>
                    <w14:schemeClr w14:val="tx1"/>
                  </w14:solidFill>
                </w14:textFill>
              </w:rPr>
              <w:t>4、与排污许可证的衔接</w:t>
            </w:r>
          </w:p>
          <w:p w14:paraId="10198F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本项目主要从事</w:t>
            </w:r>
            <w:r>
              <w:rPr>
                <w:rFonts w:hint="eastAsia"/>
                <w:color w:val="000000" w:themeColor="text1"/>
                <w:sz w:val="24"/>
                <w:szCs w:val="24"/>
                <w:highlight w:val="none"/>
                <w:lang w:val="en-US" w:eastAsia="zh-CN"/>
                <w14:textFill>
                  <w14:solidFill>
                    <w14:schemeClr w14:val="tx1"/>
                  </w14:solidFill>
                </w14:textFill>
              </w:rPr>
              <w:t>光学元器件生产，</w:t>
            </w:r>
            <w:r>
              <w:rPr>
                <w:rFonts w:hint="default"/>
                <w:color w:val="000000" w:themeColor="text1"/>
                <w:sz w:val="24"/>
                <w:szCs w:val="24"/>
                <w:highlight w:val="none"/>
                <w:lang w:val="en-US" w:eastAsia="zh-CN"/>
                <w14:textFill>
                  <w14:solidFill>
                    <w14:schemeClr w14:val="tx1"/>
                  </w14:solidFill>
                </w14:textFill>
              </w:rPr>
              <w:t>根据《固定污染源排污许可分类管理名录（2019年版）》（生态环境部 第11号），本项目对应</w:t>
            </w:r>
            <w:r>
              <w:rPr>
                <w:rFonts w:hint="eastAsia"/>
                <w:color w:val="000000" w:themeColor="text1"/>
                <w:sz w:val="24"/>
                <w:szCs w:val="24"/>
                <w:highlight w:val="none"/>
                <w:lang w:val="en-US" w:eastAsia="zh-CN"/>
                <w14:textFill>
                  <w14:solidFill>
                    <w14:schemeClr w14:val="tx1"/>
                  </w14:solidFill>
                </w14:textFill>
              </w:rPr>
              <w:t>名录中“三十四、计算机、通信和其他电子设备制造业39；电子元件及电子专用材料制造398”，后续企业若纳入重点排污单位名录，应申请重点管理排污许可证，若未纳入重点排污单位名录，申请简化管理排污许可证。</w:t>
            </w:r>
            <w:r>
              <w:rPr>
                <w:rFonts w:hint="default"/>
                <w:color w:val="000000" w:themeColor="text1"/>
                <w:sz w:val="24"/>
                <w:szCs w:val="24"/>
                <w:highlight w:val="none"/>
                <w:lang w:val="en-US" w:eastAsia="zh-CN"/>
                <w14:textFill>
                  <w14:solidFill>
                    <w14:schemeClr w14:val="tx1"/>
                  </w14:solidFill>
                </w14:textFill>
              </w:rPr>
              <w:t>建设单位应当在启动生产设施或者发生实际排污之前在全国排污许可证管理信息平台</w:t>
            </w:r>
            <w:r>
              <w:rPr>
                <w:rFonts w:hint="eastAsia"/>
                <w:color w:val="000000" w:themeColor="text1"/>
                <w:sz w:val="24"/>
                <w:szCs w:val="24"/>
                <w:highlight w:val="none"/>
                <w:lang w:val="en-US" w:eastAsia="zh-CN"/>
                <w14:textFill>
                  <w14:solidFill>
                    <w14:schemeClr w14:val="tx1"/>
                  </w14:solidFill>
                </w14:textFill>
              </w:rPr>
              <w:t>取得</w:t>
            </w:r>
            <w:r>
              <w:rPr>
                <w:rFonts w:hint="default"/>
                <w:color w:val="000000" w:themeColor="text1"/>
                <w:sz w:val="24"/>
                <w:szCs w:val="24"/>
                <w:highlight w:val="none"/>
                <w:lang w:val="en-US" w:eastAsia="zh-CN"/>
                <w14:textFill>
                  <w14:solidFill>
                    <w14:schemeClr w14:val="tx1"/>
                  </w14:solidFill>
                </w14:textFill>
              </w:rPr>
              <w:t>排污许可</w:t>
            </w:r>
            <w:r>
              <w:rPr>
                <w:rFonts w:hint="eastAsia"/>
                <w:color w:val="000000" w:themeColor="text1"/>
                <w:sz w:val="24"/>
                <w:szCs w:val="24"/>
                <w:highlight w:val="none"/>
                <w:lang w:val="en-US" w:eastAsia="zh-CN"/>
                <w14:textFill>
                  <w14:solidFill>
                    <w14:schemeClr w14:val="tx1"/>
                  </w14:solidFill>
                </w14:textFill>
              </w:rPr>
              <w:t>证。</w:t>
            </w:r>
          </w:p>
          <w:p w14:paraId="2AB59A9D">
            <w:pPr>
              <w:adjustRightInd w:val="0"/>
              <w:snapToGrid w:val="0"/>
              <w:spacing w:line="360" w:lineRule="auto"/>
              <w:rPr>
                <w:rFonts w:hint="default"/>
                <w:color w:val="000000" w:themeColor="text1"/>
                <w:sz w:val="24"/>
                <w:szCs w:val="24"/>
                <w:highlight w:val="none"/>
                <w:lang w:val="en-US" w:eastAsia="zh-CN"/>
                <w14:textFill>
                  <w14:solidFill>
                    <w14:schemeClr w14:val="tx1"/>
                  </w14:solidFill>
                </w14:textFill>
              </w:rPr>
            </w:pPr>
            <w:r>
              <w:rPr>
                <w:rFonts w:hint="eastAsia"/>
                <w:b/>
                <w:color w:val="000000" w:themeColor="text1"/>
                <w:sz w:val="24"/>
                <w:szCs w:val="24"/>
                <w:highlight w:val="none"/>
                <w:lang w:val="en-US" w:eastAsia="zh-CN"/>
                <w14:textFill>
                  <w14:solidFill>
                    <w14:schemeClr w14:val="tx1"/>
                  </w14:solidFill>
                </w14:textFill>
              </w:rPr>
              <w:t>5</w:t>
            </w:r>
            <w:r>
              <w:rPr>
                <w:rFonts w:hint="default"/>
                <w:b/>
                <w:color w:val="000000" w:themeColor="text1"/>
                <w:sz w:val="24"/>
                <w:szCs w:val="24"/>
                <w:highlight w:val="none"/>
                <w:lang w:val="en-US" w:eastAsia="zh-CN"/>
                <w14:textFill>
                  <w14:solidFill>
                    <w14:schemeClr w14:val="tx1"/>
                  </w14:solidFill>
                </w14:textFill>
              </w:rPr>
              <w:t>、</w:t>
            </w:r>
            <w:r>
              <w:rPr>
                <w:rFonts w:hint="eastAsia"/>
                <w:b/>
                <w:color w:val="000000" w:themeColor="text1"/>
                <w:sz w:val="24"/>
                <w:szCs w:val="24"/>
                <w:highlight w:val="none"/>
                <w:lang w:val="en-US" w:eastAsia="zh-CN"/>
                <w14:textFill>
                  <w14:solidFill>
                    <w14:schemeClr w14:val="tx1"/>
                  </w14:solidFill>
                </w14:textFill>
              </w:rPr>
              <w:t>竣工环保验收</w:t>
            </w:r>
          </w:p>
          <w:p w14:paraId="154510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项目投入试运营后应及时开展竣工环保自主验收。根据《建设项目竣工环境保护验收暂行办法》（国环规环评[2017]4号）第十二条：除需要取得排污许可证的水和大气污染防治设施外，其他环境保护设施的验收期限一般不超过3个月。</w:t>
            </w:r>
            <w:r>
              <w:rPr>
                <w:rFonts w:hint="eastAsia"/>
                <w:color w:val="000000" w:themeColor="text1"/>
                <w:sz w:val="24"/>
                <w:szCs w:val="24"/>
                <w:highlight w:val="none"/>
                <w:lang w:val="en-US" w:eastAsia="zh-CN"/>
                <w14:textFill>
                  <w14:solidFill>
                    <w14:schemeClr w14:val="tx1"/>
                  </w14:solidFill>
                </w14:textFill>
              </w:rPr>
              <w:t>验收内容详见“五、环境保护措施监督检查清单”中的各要素环境保护措施。</w:t>
            </w:r>
            <w:r>
              <w:rPr>
                <w:rFonts w:hint="default"/>
                <w:color w:val="000000" w:themeColor="text1"/>
                <w:sz w:val="24"/>
                <w:szCs w:val="24"/>
                <w:highlight w:val="none"/>
                <w:lang w:val="en-US" w:eastAsia="zh-CN"/>
                <w14:textFill>
                  <w14:solidFill>
                    <w14:schemeClr w14:val="tx1"/>
                  </w14:solidFill>
                </w14:textFill>
              </w:rPr>
              <w:t>需要对该类环境保护设施进行调试或者整改的，验收期限可以适当延期，但最长不超过12个月。验收期限是指自建设项目环境保护设施竣工之日起至建设单位向社会公开验收报告之日止的时间</w:t>
            </w:r>
            <w:r>
              <w:rPr>
                <w:rFonts w:hint="eastAsia"/>
                <w:color w:val="000000" w:themeColor="text1"/>
                <w:sz w:val="24"/>
                <w:szCs w:val="24"/>
                <w:highlight w:val="none"/>
                <w:lang w:val="en-US" w:eastAsia="zh-CN"/>
                <w14:textFill>
                  <w14:solidFill>
                    <w14:schemeClr w14:val="tx1"/>
                  </w14:solidFill>
                </w14:textFill>
              </w:rPr>
              <w:t>。</w:t>
            </w:r>
          </w:p>
          <w:p w14:paraId="11F8BE85">
            <w:pPr>
              <w:adjustRightInd w:val="0"/>
              <w:snapToGrid w:val="0"/>
              <w:spacing w:line="360" w:lineRule="auto"/>
              <w:rPr>
                <w:rFonts w:hint="default"/>
                <w:color w:val="000000" w:themeColor="text1"/>
                <w:sz w:val="24"/>
                <w:szCs w:val="24"/>
                <w:highlight w:val="none"/>
                <w:lang w:val="en-US" w:eastAsia="zh-CN"/>
                <w14:textFill>
                  <w14:solidFill>
                    <w14:schemeClr w14:val="tx1"/>
                  </w14:solidFill>
                </w14:textFill>
              </w:rPr>
            </w:pPr>
          </w:p>
        </w:tc>
      </w:tr>
    </w:tbl>
    <w:p w14:paraId="2144CDC7">
      <w:pPr>
        <w:pStyle w:val="26"/>
        <w:jc w:val="center"/>
        <w:outlineLvl w:val="0"/>
        <w:rPr>
          <w:snapToGrid w:val="0"/>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57C62F0">
      <w:pPr>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16" w:name="_Toc24160"/>
      <w:r>
        <w:rPr>
          <w:rFonts w:hint="eastAsia" w:ascii="黑体" w:hAnsi="黑体" w:eastAsia="黑体"/>
          <w:snapToGrid w:val="0"/>
          <w:color w:val="000000" w:themeColor="text1"/>
          <w:sz w:val="30"/>
          <w:szCs w:val="30"/>
          <w:highlight w:val="none"/>
          <w14:textFill>
            <w14:solidFill>
              <w14:schemeClr w14:val="tx1"/>
            </w14:solidFill>
          </w14:textFill>
        </w:rPr>
        <w:t>六、结论</w:t>
      </w:r>
      <w:bookmarkEnd w:id="16"/>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342F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E5BA67B">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所述，项目建设符合相关产业政策及生态环境分区管控要求，选址符合产业园区规划及规划环评要求。本项目在采用国内先进的生产工艺、清洁生产技术和有效的污染防治措施后，能够实现污染物达标排放，同时满足主要污染物排放总量控制要求;针对突发性事故，应制定环境风险防范措施，使环境事故风险影响达到可接受水平;建设单位在严格落实本报告提出的各项环保措施和执行“三同时”的情况下，从环境影响角度分析，本项目的建设是可行的。</w:t>
            </w:r>
          </w:p>
          <w:p w14:paraId="02DE7F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456C7E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74898F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righ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编制单位：福建省环境保护设计院有限公司</w:t>
            </w:r>
          </w:p>
          <w:p w14:paraId="177DC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righ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编制时间：2026年</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月</w:t>
            </w:r>
          </w:p>
          <w:p w14:paraId="03380A2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宋体" w:cs="宋体"/>
                <w:color w:val="000000" w:themeColor="text1"/>
                <w:sz w:val="24"/>
                <w:szCs w:val="32"/>
                <w:highlight w:val="none"/>
                <w:lang w:val="en-US" w:eastAsia="zh-CN"/>
                <w14:textFill>
                  <w14:solidFill>
                    <w14:schemeClr w14:val="tx1"/>
                  </w14:solidFill>
                </w14:textFill>
              </w:rPr>
            </w:pPr>
          </w:p>
          <w:p w14:paraId="557EBAA9">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cs="宋体"/>
                <w:color w:val="000000" w:themeColor="text1"/>
                <w:sz w:val="24"/>
                <w:szCs w:val="32"/>
                <w:highlight w:val="none"/>
                <w14:textFill>
                  <w14:solidFill>
                    <w14:schemeClr w14:val="tx1"/>
                  </w14:solidFill>
                </w14:textFill>
              </w:rPr>
            </w:pPr>
          </w:p>
          <w:p w14:paraId="008F95D2">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cs="宋体"/>
                <w:color w:val="000000" w:themeColor="text1"/>
                <w:sz w:val="24"/>
                <w:szCs w:val="32"/>
                <w:highlight w:val="none"/>
                <w14:textFill>
                  <w14:solidFill>
                    <w14:schemeClr w14:val="tx1"/>
                  </w14:solidFill>
                </w14:textFill>
              </w:rPr>
            </w:pPr>
          </w:p>
        </w:tc>
      </w:tr>
    </w:tbl>
    <w:p w14:paraId="25296C79">
      <w:pPr>
        <w:pStyle w:val="12"/>
        <w:rPr>
          <w:snapToGrid w:val="0"/>
          <w:color w:val="000000" w:themeColor="text1"/>
          <w:highlight w:val="none"/>
          <w14:textFill>
            <w14:solidFill>
              <w14:schemeClr w14:val="tx1"/>
            </w14:solidFill>
          </w14:textFill>
        </w:rPr>
      </w:pPr>
      <w:bookmarkStart w:id="17" w:name="环境风险影响专项评价"/>
      <w:bookmarkEnd w:id="17"/>
      <w:bookmarkStart w:id="18" w:name="_bookmark5"/>
      <w:bookmarkEnd w:id="18"/>
      <w:bookmarkStart w:id="19" w:name="五、环境保护措施监督检查清单"/>
      <w:bookmarkEnd w:id="19"/>
      <w:bookmarkStart w:id="20" w:name="六、结论"/>
      <w:bookmarkEnd w:id="20"/>
      <w:bookmarkStart w:id="21" w:name="福建青泰不锈钢深加工项目"/>
      <w:bookmarkEnd w:id="21"/>
      <w:bookmarkStart w:id="22" w:name="_bookmark6"/>
      <w:bookmarkEnd w:id="22"/>
    </w:p>
    <w:p w14:paraId="646664FD">
      <w:pPr>
        <w:pStyle w:val="12"/>
        <w:rPr>
          <w:snapToGrid w:val="0"/>
          <w:color w:val="000000" w:themeColor="text1"/>
          <w:highlight w:val="none"/>
          <w14:textFill>
            <w14:solidFill>
              <w14:schemeClr w14:val="tx1"/>
            </w14:solidFill>
          </w14:textFill>
        </w:rPr>
      </w:pPr>
    </w:p>
    <w:p w14:paraId="36718A01">
      <w:pPr>
        <w:pStyle w:val="26"/>
        <w:jc w:val="center"/>
        <w:outlineLvl w:val="0"/>
        <w:rPr>
          <w:snapToGrid w:val="0"/>
          <w:color w:val="000000" w:themeColor="text1"/>
          <w:highlight w:val="none"/>
          <w14:textFill>
            <w14:solidFill>
              <w14:schemeClr w14:val="tx1"/>
            </w14:solidFill>
          </w14:textFill>
        </w:rPr>
        <w:sectPr>
          <w:headerReference r:id="rId8" w:type="default"/>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74E1FB2">
      <w:pPr>
        <w:pStyle w:val="26"/>
        <w:adjustRightInd w:val="0"/>
        <w:snapToGrid w:val="0"/>
        <w:spacing w:before="0" w:beforeAutospacing="0" w:after="0" w:afterAutospacing="0" w:line="648" w:lineRule="auto"/>
        <w:outlineLvl w:val="9"/>
        <w:rPr>
          <w:rFonts w:ascii="黑体" w:hAnsi="黑体" w:eastAsia="黑体"/>
          <w:snapToGrid w:val="0"/>
          <w:color w:val="000000" w:themeColor="text1"/>
          <w:sz w:val="32"/>
          <w:szCs w:val="32"/>
          <w:highlight w:val="none"/>
          <w14:textFill>
            <w14:solidFill>
              <w14:schemeClr w14:val="tx1"/>
            </w14:solidFill>
          </w14:textFill>
        </w:rPr>
      </w:pPr>
      <w:bookmarkStart w:id="23" w:name="_Toc160740698"/>
      <w:r>
        <w:rPr>
          <w:rFonts w:hint="eastAsia" w:ascii="黑体" w:hAnsi="黑体" w:eastAsia="黑体"/>
          <w:snapToGrid w:val="0"/>
          <w:color w:val="000000" w:themeColor="text1"/>
          <w:sz w:val="32"/>
          <w:szCs w:val="32"/>
          <w:highlight w:val="none"/>
          <w14:textFill>
            <w14:solidFill>
              <w14:schemeClr w14:val="tx1"/>
            </w14:solidFill>
          </w14:textFill>
        </w:rPr>
        <w:t>附表2</w:t>
      </w:r>
      <w:bookmarkEnd w:id="23"/>
    </w:p>
    <w:p w14:paraId="5B229D38">
      <w:pPr>
        <w:pStyle w:val="26"/>
        <w:adjustRightInd w:val="0"/>
        <w:snapToGrid w:val="0"/>
        <w:spacing w:before="0" w:beforeAutospacing="0" w:after="0" w:afterAutospacing="0" w:line="552" w:lineRule="auto"/>
        <w:jc w:val="center"/>
        <w:outlineLvl w:val="9"/>
        <w:rPr>
          <w:rFonts w:ascii="方正小标宋_GBK" w:hAnsi="黑体" w:eastAsia="方正小标宋_GBK"/>
          <w:snapToGrid w:val="0"/>
          <w:color w:val="000000" w:themeColor="text1"/>
          <w:sz w:val="38"/>
          <w:szCs w:val="38"/>
          <w:highlight w:val="none"/>
          <w14:textFill>
            <w14:solidFill>
              <w14:schemeClr w14:val="tx1"/>
            </w14:solidFill>
          </w14:textFill>
        </w:rPr>
      </w:pPr>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61"/>
        <w:gridCol w:w="1324"/>
      </w:tblGrid>
      <w:tr w14:paraId="75C3C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588" w:type="dxa"/>
            <w:tcBorders>
              <w:tl2br w:val="single" w:color="auto" w:sz="4" w:space="0"/>
            </w:tcBorders>
            <w:tcMar>
              <w:left w:w="28" w:type="dxa"/>
              <w:right w:w="28" w:type="dxa"/>
            </w:tcMar>
            <w:vAlign w:val="center"/>
          </w:tcPr>
          <w:p w14:paraId="59F657F7">
            <w:pPr>
              <w:pStyle w:val="57"/>
              <w:spacing w:beforeLines="0" w:afterLines="0" w:line="240" w:lineRule="auto"/>
              <w:jc w:val="right"/>
              <w:rPr>
                <w:rFonts w:ascii="黑体" w:hAnsi="黑体" w:eastAsia="黑体" w:cs="宋体"/>
                <w:snapToGrid w:val="0"/>
                <w:color w:val="000000" w:themeColor="text1"/>
                <w:spacing w:val="-6"/>
                <w:kern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Cs w:val="21"/>
                <w:highlight w:val="none"/>
                <w14:textFill>
                  <w14:solidFill>
                    <w14:schemeClr w14:val="tx1"/>
                  </w14:solidFill>
                </w14:textFill>
              </w:rPr>
              <w:t>项目</w:t>
            </w:r>
          </w:p>
          <w:p w14:paraId="5A998AC7">
            <w:pPr>
              <w:pStyle w:val="57"/>
              <w:spacing w:beforeLines="0" w:afterLines="0" w:line="240" w:lineRule="auto"/>
              <w:jc w:val="left"/>
              <w:rPr>
                <w:rFonts w:ascii="黑体" w:hAnsi="黑体" w:eastAsia="黑体" w:cs="宋体"/>
                <w:snapToGrid w:val="0"/>
                <w:color w:val="000000" w:themeColor="text1"/>
                <w:spacing w:val="-6"/>
                <w:kern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Cs w:val="21"/>
                <w:highlight w:val="none"/>
                <w14:textFill>
                  <w14:solidFill>
                    <w14:schemeClr w14:val="tx1"/>
                  </w14:solidFill>
                </w14:textFill>
              </w:rPr>
              <w:t>分类</w:t>
            </w:r>
          </w:p>
        </w:tc>
        <w:tc>
          <w:tcPr>
            <w:tcW w:w="1417" w:type="dxa"/>
            <w:tcMar>
              <w:left w:w="28" w:type="dxa"/>
              <w:right w:w="28" w:type="dxa"/>
            </w:tcMar>
            <w:vAlign w:val="center"/>
          </w:tcPr>
          <w:p w14:paraId="4F6DCB49">
            <w:pPr>
              <w:pStyle w:val="57"/>
              <w:spacing w:beforeLines="0" w:afterLines="0" w:line="240" w:lineRule="auto"/>
              <w:rPr>
                <w:rFonts w:ascii="黑体" w:hAnsi="黑体" w:eastAsia="黑体" w:cs="宋体"/>
                <w:snapToGrid w:val="0"/>
                <w:color w:val="000000" w:themeColor="text1"/>
                <w:spacing w:val="-6"/>
                <w:kern w:val="21"/>
                <w:sz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污染物名称</w:t>
            </w:r>
          </w:p>
        </w:tc>
        <w:tc>
          <w:tcPr>
            <w:tcW w:w="1701" w:type="dxa"/>
            <w:tcMar>
              <w:left w:w="28" w:type="dxa"/>
              <w:right w:w="28" w:type="dxa"/>
            </w:tcMar>
            <w:vAlign w:val="center"/>
          </w:tcPr>
          <w:p w14:paraId="5B24C7B9">
            <w:pPr>
              <w:pStyle w:val="57"/>
              <w:spacing w:beforeLines="0" w:afterLines="0" w:line="240" w:lineRule="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现有工程排放量（固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①</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276" w:type="dxa"/>
            <w:tcMar>
              <w:left w:w="28" w:type="dxa"/>
              <w:right w:w="28" w:type="dxa"/>
            </w:tcMar>
            <w:vAlign w:val="center"/>
          </w:tcPr>
          <w:p w14:paraId="30494E6F">
            <w:pPr>
              <w:pStyle w:val="57"/>
              <w:spacing w:beforeLines="0" w:afterLines="0" w:line="240" w:lineRule="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现有工程许可排放量</w:t>
            </w:r>
          </w:p>
          <w:p w14:paraId="0752D40A">
            <w:pPr>
              <w:pStyle w:val="57"/>
              <w:spacing w:beforeLines="0" w:afterLines="0"/>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②</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701" w:type="dxa"/>
            <w:tcMar>
              <w:left w:w="28" w:type="dxa"/>
              <w:right w:w="28" w:type="dxa"/>
            </w:tcMar>
            <w:vAlign w:val="center"/>
          </w:tcPr>
          <w:p w14:paraId="1F3AE91F">
            <w:pPr>
              <w:pStyle w:val="57"/>
              <w:spacing w:beforeLines="0" w:afterLines="0" w:line="240" w:lineRule="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在建工程排放量（固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③</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559" w:type="dxa"/>
            <w:tcMar>
              <w:left w:w="28" w:type="dxa"/>
              <w:right w:w="28" w:type="dxa"/>
            </w:tcMar>
            <w:vAlign w:val="center"/>
          </w:tcPr>
          <w:p w14:paraId="5D75D136">
            <w:pPr>
              <w:pStyle w:val="57"/>
              <w:spacing w:beforeLines="0" w:afterLines="0" w:line="240" w:lineRule="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本项目排放量（固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④</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761" w:type="dxa"/>
            <w:tcMar>
              <w:left w:w="28" w:type="dxa"/>
              <w:right w:w="28" w:type="dxa"/>
            </w:tcMar>
            <w:vAlign w:val="center"/>
          </w:tcPr>
          <w:p w14:paraId="5A847235">
            <w:pPr>
              <w:pStyle w:val="57"/>
              <w:spacing w:beforeLines="0" w:afterLines="0" w:line="240" w:lineRule="auto"/>
              <w:rPr>
                <w:rFonts w:ascii="黑体" w:hAnsi="黑体" w:eastAsia="黑体"/>
                <w:snapToGrid w:val="0"/>
                <w:color w:val="000000" w:themeColor="text1"/>
                <w:spacing w:val="-16"/>
                <w:kern w:val="21"/>
                <w:sz w:val="21"/>
                <w:szCs w:val="21"/>
                <w:highlight w:val="none"/>
                <w14:textFill>
                  <w14:solidFill>
                    <w14:schemeClr w14:val="tx1"/>
                  </w14:solidFill>
                </w14:textFill>
              </w:rPr>
            </w:pPr>
            <w:r>
              <w:rPr>
                <w:rFonts w:ascii="黑体" w:hAnsi="黑体" w:eastAsia="黑体"/>
                <w:snapToGrid w:val="0"/>
                <w:color w:val="000000" w:themeColor="text1"/>
                <w:spacing w:val="-16"/>
                <w:kern w:val="21"/>
                <w:sz w:val="21"/>
                <w:szCs w:val="21"/>
                <w:highlight w:val="none"/>
                <w14:textFill>
                  <w14:solidFill>
                    <w14:schemeClr w14:val="tx1"/>
                  </w14:solidFill>
                </w14:textFill>
              </w:rPr>
              <w:t>以新带老削减量（新建项目不填）</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⑤</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end"/>
            </w:r>
          </w:p>
        </w:tc>
        <w:tc>
          <w:tcPr>
            <w:tcW w:w="1461" w:type="dxa"/>
            <w:tcMar>
              <w:left w:w="28" w:type="dxa"/>
              <w:right w:w="28" w:type="dxa"/>
            </w:tcMar>
            <w:vAlign w:val="center"/>
          </w:tcPr>
          <w:p w14:paraId="7220D1C8">
            <w:pPr>
              <w:pStyle w:val="57"/>
              <w:spacing w:beforeLines="0" w:afterLines="0" w:line="240" w:lineRule="auto"/>
              <w:rPr>
                <w:rFonts w:ascii="黑体" w:hAnsi="黑体" w:eastAsia="黑体"/>
                <w:snapToGrid w:val="0"/>
                <w:color w:val="000000" w:themeColor="text1"/>
                <w:spacing w:val="-16"/>
                <w:kern w:val="21"/>
                <w:sz w:val="21"/>
                <w:szCs w:val="21"/>
                <w:highlight w:val="none"/>
                <w14:textFill>
                  <w14:solidFill>
                    <w14:schemeClr w14:val="tx1"/>
                  </w14:solidFill>
                </w14:textFill>
              </w:rPr>
            </w:pPr>
            <w:r>
              <w:rPr>
                <w:rFonts w:ascii="黑体" w:hAnsi="黑体" w:eastAsia="黑体"/>
                <w:snapToGrid w:val="0"/>
                <w:color w:val="000000" w:themeColor="text1"/>
                <w:spacing w:val="-16"/>
                <w:kern w:val="21"/>
                <w:sz w:val="21"/>
                <w:szCs w:val="21"/>
                <w:highlight w:val="none"/>
                <w14:textFill>
                  <w14:solidFill>
                    <w14:schemeClr w14:val="tx1"/>
                  </w14:solidFill>
                </w14:textFill>
              </w:rPr>
              <w:t>本项目建成后</w:t>
            </w: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全厂</w:t>
            </w:r>
            <w:r>
              <w:rPr>
                <w:rFonts w:ascii="黑体" w:hAnsi="黑体" w:eastAsia="黑体"/>
                <w:snapToGrid w:val="0"/>
                <w:color w:val="000000" w:themeColor="text1"/>
                <w:spacing w:val="-1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体</w:t>
            </w:r>
            <w:r>
              <w:rPr>
                <w:rFonts w:ascii="黑体" w:hAnsi="黑体" w:eastAsia="黑体"/>
                <w:snapToGrid w:val="0"/>
                <w:color w:val="000000" w:themeColor="text1"/>
                <w:spacing w:val="-1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物</w:t>
            </w:r>
            <w:r>
              <w:rPr>
                <w:rFonts w:ascii="黑体" w:hAnsi="黑体" w:eastAsia="黑体"/>
                <w:snapToGrid w:val="0"/>
                <w:color w:val="000000" w:themeColor="text1"/>
                <w:spacing w:val="-16"/>
                <w:kern w:val="21"/>
                <w:sz w:val="21"/>
                <w:szCs w:val="21"/>
                <w:highlight w:val="none"/>
                <w14:textFill>
                  <w14:solidFill>
                    <w14:schemeClr w14:val="tx1"/>
                  </w14:solidFill>
                </w14:textFill>
              </w:rPr>
              <w:t>产生量）</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⑥</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end"/>
            </w:r>
          </w:p>
        </w:tc>
        <w:tc>
          <w:tcPr>
            <w:tcW w:w="1324" w:type="dxa"/>
            <w:tcMar>
              <w:left w:w="28" w:type="dxa"/>
              <w:right w:w="28" w:type="dxa"/>
            </w:tcMar>
            <w:vAlign w:val="center"/>
          </w:tcPr>
          <w:p w14:paraId="701CDB11">
            <w:pPr>
              <w:pStyle w:val="57"/>
              <w:spacing w:beforeLines="0" w:afterLines="0" w:line="240" w:lineRule="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变化量</w:t>
            </w:r>
          </w:p>
          <w:p w14:paraId="1E0D0D4B">
            <w:pPr>
              <w:pStyle w:val="57"/>
              <w:spacing w:beforeLines="0" w:afterLines="0" w:line="240" w:lineRule="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⑦</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r>
      <w:tr w14:paraId="21DC7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restart"/>
            <w:vAlign w:val="center"/>
          </w:tcPr>
          <w:p w14:paraId="7201C575">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废气</w:t>
            </w:r>
          </w:p>
        </w:tc>
        <w:tc>
          <w:tcPr>
            <w:tcW w:w="1417" w:type="dxa"/>
            <w:vAlign w:val="center"/>
          </w:tcPr>
          <w:p w14:paraId="4901106A">
            <w:pPr>
              <w:widowControl/>
              <w:jc w:val="center"/>
              <w:rPr>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1701" w:type="dxa"/>
            <w:vAlign w:val="center"/>
          </w:tcPr>
          <w:p w14:paraId="48DF9689">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0.0541</w:t>
            </w:r>
          </w:p>
        </w:tc>
        <w:tc>
          <w:tcPr>
            <w:tcW w:w="1276" w:type="dxa"/>
            <w:vAlign w:val="center"/>
          </w:tcPr>
          <w:p w14:paraId="449EF26A">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20C6B4E3">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2161CEB">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0.0009</w:t>
            </w:r>
          </w:p>
        </w:tc>
        <w:tc>
          <w:tcPr>
            <w:tcW w:w="1761" w:type="dxa"/>
            <w:vAlign w:val="center"/>
          </w:tcPr>
          <w:p w14:paraId="25601C8B">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7333CAAD">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0.055</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324" w:type="dxa"/>
            <w:vAlign w:val="center"/>
          </w:tcPr>
          <w:p w14:paraId="24F338F3">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0.0009</w:t>
            </w:r>
          </w:p>
        </w:tc>
      </w:tr>
      <w:tr w14:paraId="524CD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22C93156">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1B76830A">
            <w:pPr>
              <w:jc w:val="center"/>
              <w:rPr>
                <w:rFonts w:eastAsia="等线"/>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二氧化硫</w:t>
            </w:r>
          </w:p>
        </w:tc>
        <w:tc>
          <w:tcPr>
            <w:tcW w:w="1701" w:type="dxa"/>
            <w:vAlign w:val="center"/>
          </w:tcPr>
          <w:p w14:paraId="2C8DE575">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5AA896A3">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10A7E2F4">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13BA6829">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61" w:type="dxa"/>
            <w:vAlign w:val="center"/>
          </w:tcPr>
          <w:p w14:paraId="713AA53D">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71E205C6">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24" w:type="dxa"/>
            <w:vAlign w:val="center"/>
          </w:tcPr>
          <w:p w14:paraId="07047D6F">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2B74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68376E00">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3183E7F8">
            <w:pPr>
              <w:jc w:val="center"/>
              <w:rPr>
                <w:rFonts w:eastAsia="等线"/>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氮氧化物</w:t>
            </w:r>
          </w:p>
        </w:tc>
        <w:tc>
          <w:tcPr>
            <w:tcW w:w="1701" w:type="dxa"/>
            <w:vAlign w:val="center"/>
          </w:tcPr>
          <w:p w14:paraId="2C66D323">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7FBEA879">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50522417">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7A3F6330">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61" w:type="dxa"/>
            <w:vAlign w:val="center"/>
          </w:tcPr>
          <w:p w14:paraId="6CCD2AA9">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15EA89E9">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24" w:type="dxa"/>
            <w:vAlign w:val="center"/>
          </w:tcPr>
          <w:p w14:paraId="61B97480">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9C93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6D8239D8">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37F21240">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非甲烷总烃</w:t>
            </w:r>
          </w:p>
        </w:tc>
        <w:tc>
          <w:tcPr>
            <w:tcW w:w="1701" w:type="dxa"/>
            <w:vAlign w:val="center"/>
          </w:tcPr>
          <w:p w14:paraId="5CB2E19D">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0.3322</w:t>
            </w:r>
          </w:p>
        </w:tc>
        <w:tc>
          <w:tcPr>
            <w:tcW w:w="1276" w:type="dxa"/>
            <w:vAlign w:val="center"/>
          </w:tcPr>
          <w:p w14:paraId="55861EFF">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1.857</w:t>
            </w:r>
          </w:p>
        </w:tc>
        <w:tc>
          <w:tcPr>
            <w:tcW w:w="1701" w:type="dxa"/>
            <w:vAlign w:val="center"/>
          </w:tcPr>
          <w:p w14:paraId="15600A1C">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2070961C">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1.6273</w:t>
            </w:r>
          </w:p>
        </w:tc>
        <w:tc>
          <w:tcPr>
            <w:tcW w:w="1761" w:type="dxa"/>
            <w:vAlign w:val="center"/>
          </w:tcPr>
          <w:p w14:paraId="1A3B8405">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7844711B">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1.9595</w:t>
            </w:r>
          </w:p>
        </w:tc>
        <w:tc>
          <w:tcPr>
            <w:tcW w:w="1324" w:type="dxa"/>
            <w:vAlign w:val="center"/>
          </w:tcPr>
          <w:p w14:paraId="74B408F9">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1.6273</w:t>
            </w:r>
          </w:p>
        </w:tc>
      </w:tr>
      <w:tr w14:paraId="3383A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24E02369">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19BCA986">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硫酸雾</w:t>
            </w:r>
          </w:p>
        </w:tc>
        <w:tc>
          <w:tcPr>
            <w:tcW w:w="1701" w:type="dxa"/>
            <w:vAlign w:val="center"/>
          </w:tcPr>
          <w:p w14:paraId="1CEDB097">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5E9CEFA2">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5EE8E75A">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6BDA7B52">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0.0019</w:t>
            </w:r>
          </w:p>
        </w:tc>
        <w:tc>
          <w:tcPr>
            <w:tcW w:w="1761" w:type="dxa"/>
            <w:vAlign w:val="center"/>
          </w:tcPr>
          <w:p w14:paraId="600CD16A">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3F43F6D0">
            <w:pPr>
              <w:keepNext w:val="0"/>
              <w:keepLines w:val="0"/>
              <w:widowControl/>
              <w:suppressLineNumbers w:val="0"/>
              <w:jc w:val="center"/>
              <w:textAlignment w:val="center"/>
              <w:rPr>
                <w:rFonts w:hint="eastAsia"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0.0019</w:t>
            </w:r>
          </w:p>
        </w:tc>
        <w:tc>
          <w:tcPr>
            <w:tcW w:w="1324" w:type="dxa"/>
            <w:vAlign w:val="center"/>
          </w:tcPr>
          <w:p w14:paraId="73F38541">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0.0019</w:t>
            </w:r>
          </w:p>
        </w:tc>
      </w:tr>
      <w:tr w14:paraId="16193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5A0FEF28">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5E8FE29E">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硝酸雾（以NO</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x</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计）</w:t>
            </w:r>
          </w:p>
        </w:tc>
        <w:tc>
          <w:tcPr>
            <w:tcW w:w="1701" w:type="dxa"/>
            <w:vAlign w:val="center"/>
          </w:tcPr>
          <w:p w14:paraId="543CB257">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106FF166">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2AEFD101">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6AB41B1B">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1761" w:type="dxa"/>
            <w:vAlign w:val="center"/>
          </w:tcPr>
          <w:p w14:paraId="6A7F9BFF">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1B5E03FA">
            <w:pPr>
              <w:keepNext w:val="0"/>
              <w:keepLines w:val="0"/>
              <w:widowControl/>
              <w:suppressLineNumbers w:val="0"/>
              <w:jc w:val="center"/>
              <w:textAlignment w:val="center"/>
              <w:rPr>
                <w:rFonts w:hint="eastAsia"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1324" w:type="dxa"/>
            <w:vAlign w:val="center"/>
          </w:tcPr>
          <w:p w14:paraId="15B05E0C">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r>
      <w:tr w14:paraId="11791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3FDE9B62">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4F45CF8D">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氟化物</w:t>
            </w:r>
          </w:p>
        </w:tc>
        <w:tc>
          <w:tcPr>
            <w:tcW w:w="1701" w:type="dxa"/>
            <w:vAlign w:val="center"/>
          </w:tcPr>
          <w:p w14:paraId="42B88ADE">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0018C674">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7BBAB9B9">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3DE79AAD">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0.0008</w:t>
            </w:r>
          </w:p>
        </w:tc>
        <w:tc>
          <w:tcPr>
            <w:tcW w:w="1761" w:type="dxa"/>
            <w:vAlign w:val="center"/>
          </w:tcPr>
          <w:p w14:paraId="7004E73E">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3BFFB388">
            <w:pPr>
              <w:keepNext w:val="0"/>
              <w:keepLines w:val="0"/>
              <w:widowControl/>
              <w:suppressLineNumbers w:val="0"/>
              <w:jc w:val="center"/>
              <w:textAlignment w:val="center"/>
              <w:rPr>
                <w:rFonts w:hint="eastAsia"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0.0008</w:t>
            </w:r>
          </w:p>
        </w:tc>
        <w:tc>
          <w:tcPr>
            <w:tcW w:w="1324" w:type="dxa"/>
            <w:vAlign w:val="center"/>
          </w:tcPr>
          <w:p w14:paraId="350C0897">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0.0008</w:t>
            </w:r>
          </w:p>
        </w:tc>
      </w:tr>
      <w:tr w14:paraId="2345D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6F99938B">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637139A1">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氯化氢</w:t>
            </w:r>
          </w:p>
        </w:tc>
        <w:tc>
          <w:tcPr>
            <w:tcW w:w="1701" w:type="dxa"/>
            <w:vAlign w:val="center"/>
          </w:tcPr>
          <w:p w14:paraId="39103137">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3D7A6710">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362CBA4C">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2D340B92">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0.000021</w:t>
            </w:r>
          </w:p>
        </w:tc>
        <w:tc>
          <w:tcPr>
            <w:tcW w:w="1761" w:type="dxa"/>
            <w:vAlign w:val="center"/>
          </w:tcPr>
          <w:p w14:paraId="3ABE271D">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786D00D9">
            <w:pPr>
              <w:keepNext w:val="0"/>
              <w:keepLines w:val="0"/>
              <w:widowControl/>
              <w:suppressLineNumbers w:val="0"/>
              <w:jc w:val="center"/>
              <w:textAlignment w:val="center"/>
              <w:rPr>
                <w:rFonts w:hint="eastAsia"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0.000021</w:t>
            </w:r>
          </w:p>
        </w:tc>
        <w:tc>
          <w:tcPr>
            <w:tcW w:w="1324" w:type="dxa"/>
            <w:vAlign w:val="center"/>
          </w:tcPr>
          <w:p w14:paraId="436DC86F">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0.000021</w:t>
            </w:r>
          </w:p>
        </w:tc>
      </w:tr>
      <w:tr w14:paraId="774B1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136EF6F6">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298AB49B">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TMAH</w:t>
            </w:r>
          </w:p>
        </w:tc>
        <w:tc>
          <w:tcPr>
            <w:tcW w:w="1701" w:type="dxa"/>
            <w:vAlign w:val="center"/>
          </w:tcPr>
          <w:p w14:paraId="2A671A6B">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0945FAEA">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1F6AE61C">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F6409D9">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c>
          <w:tcPr>
            <w:tcW w:w="1761" w:type="dxa"/>
            <w:vAlign w:val="center"/>
          </w:tcPr>
          <w:p w14:paraId="15CF738A">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5C34543B">
            <w:pPr>
              <w:keepNext w:val="0"/>
              <w:keepLines w:val="0"/>
              <w:widowControl/>
              <w:suppressLineNumbers w:val="0"/>
              <w:jc w:val="center"/>
              <w:textAlignment w:val="center"/>
              <w:rPr>
                <w:rFonts w:hint="eastAsia" w:eastAsia="等线"/>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c>
          <w:tcPr>
            <w:tcW w:w="1324" w:type="dxa"/>
            <w:vAlign w:val="center"/>
          </w:tcPr>
          <w:p w14:paraId="500A7003">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r>
      <w:tr w14:paraId="07731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restart"/>
            <w:vAlign w:val="center"/>
          </w:tcPr>
          <w:p w14:paraId="0C13EC82">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废水</w:t>
            </w:r>
          </w:p>
        </w:tc>
        <w:tc>
          <w:tcPr>
            <w:tcW w:w="1417" w:type="dxa"/>
            <w:vAlign w:val="center"/>
          </w:tcPr>
          <w:p w14:paraId="7364FE55">
            <w:pPr>
              <w:jc w:val="center"/>
              <w:rPr>
                <w:rFonts w:eastAsia="等线"/>
                <w:color w:val="000000" w:themeColor="text1"/>
                <w:sz w:val="21"/>
                <w:szCs w:val="21"/>
                <w:highlight w:val="none"/>
                <w14:textFill>
                  <w14:solidFill>
                    <w14:schemeClr w14:val="tx1"/>
                  </w14:solidFill>
                </w14:textFill>
              </w:rPr>
            </w:pPr>
            <w:r>
              <w:rPr>
                <w:rFonts w:eastAsia="等线"/>
                <w:color w:val="000000" w:themeColor="text1"/>
                <w:sz w:val="21"/>
                <w:szCs w:val="21"/>
                <w:highlight w:val="none"/>
                <w14:textFill>
                  <w14:solidFill>
                    <w14:schemeClr w14:val="tx1"/>
                  </w14:solidFill>
                </w14:textFill>
              </w:rPr>
              <w:t>COD</w:t>
            </w:r>
          </w:p>
        </w:tc>
        <w:tc>
          <w:tcPr>
            <w:tcW w:w="1701" w:type="dxa"/>
            <w:vAlign w:val="center"/>
          </w:tcPr>
          <w:p w14:paraId="047DEB2F">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0.189</w:t>
            </w:r>
          </w:p>
        </w:tc>
        <w:tc>
          <w:tcPr>
            <w:tcW w:w="1276" w:type="dxa"/>
            <w:vAlign w:val="center"/>
          </w:tcPr>
          <w:p w14:paraId="6DB4178E">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0.2272</w:t>
            </w:r>
          </w:p>
        </w:tc>
        <w:tc>
          <w:tcPr>
            <w:tcW w:w="1701" w:type="dxa"/>
            <w:vAlign w:val="center"/>
          </w:tcPr>
          <w:p w14:paraId="30F8863E">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4942C27A">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0.5456</w:t>
            </w:r>
          </w:p>
        </w:tc>
        <w:tc>
          <w:tcPr>
            <w:tcW w:w="1761" w:type="dxa"/>
            <w:vAlign w:val="center"/>
          </w:tcPr>
          <w:p w14:paraId="212BA6E0">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22ADB013">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0.7346</w:t>
            </w:r>
          </w:p>
        </w:tc>
        <w:tc>
          <w:tcPr>
            <w:tcW w:w="1324" w:type="dxa"/>
            <w:vAlign w:val="center"/>
          </w:tcPr>
          <w:p w14:paraId="7C48946D">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5456</w:t>
            </w:r>
          </w:p>
        </w:tc>
      </w:tr>
      <w:tr w14:paraId="0D239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663B9903">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1769E275">
            <w:pPr>
              <w:jc w:val="center"/>
              <w:rPr>
                <w:rFonts w:eastAsia="等线"/>
                <w:color w:val="000000" w:themeColor="text1"/>
                <w:sz w:val="21"/>
                <w:szCs w:val="21"/>
                <w:highlight w:val="none"/>
                <w14:textFill>
                  <w14:solidFill>
                    <w14:schemeClr w14:val="tx1"/>
                  </w14:solidFill>
                </w14:textFill>
              </w:rPr>
            </w:pPr>
            <w:r>
              <w:rPr>
                <w:rFonts w:eastAsia="等线"/>
                <w:color w:val="000000" w:themeColor="text1"/>
                <w:sz w:val="21"/>
                <w:szCs w:val="21"/>
                <w:highlight w:val="none"/>
                <w14:textFill>
                  <w14:solidFill>
                    <w14:schemeClr w14:val="tx1"/>
                  </w14:solidFill>
                </w14:textFill>
              </w:rPr>
              <w:t>BOD</w:t>
            </w:r>
            <w:r>
              <w:rPr>
                <w:rFonts w:eastAsia="等线"/>
                <w:color w:val="000000" w:themeColor="text1"/>
                <w:sz w:val="21"/>
                <w:szCs w:val="21"/>
                <w:highlight w:val="none"/>
                <w:vertAlign w:val="subscript"/>
                <w14:textFill>
                  <w14:solidFill>
                    <w14:schemeClr w14:val="tx1"/>
                  </w14:solidFill>
                </w14:textFill>
              </w:rPr>
              <w:t>5</w:t>
            </w:r>
          </w:p>
        </w:tc>
        <w:tc>
          <w:tcPr>
            <w:tcW w:w="1701" w:type="dxa"/>
            <w:vAlign w:val="center"/>
          </w:tcPr>
          <w:p w14:paraId="5421583A">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1E428BFA">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7A00C6AA">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AD26797">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61" w:type="dxa"/>
            <w:vAlign w:val="center"/>
          </w:tcPr>
          <w:p w14:paraId="44DCBAD6">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62F8794F">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24" w:type="dxa"/>
            <w:vAlign w:val="center"/>
          </w:tcPr>
          <w:p w14:paraId="7152B62B">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76756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28F53BF4">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6309D44F">
            <w:pPr>
              <w:jc w:val="center"/>
              <w:rPr>
                <w:rFonts w:eastAsia="等线"/>
                <w:color w:val="000000" w:themeColor="text1"/>
                <w:sz w:val="21"/>
                <w:szCs w:val="21"/>
                <w:highlight w:val="none"/>
                <w14:textFill>
                  <w14:solidFill>
                    <w14:schemeClr w14:val="tx1"/>
                  </w14:solidFill>
                </w14:textFill>
              </w:rPr>
            </w:pPr>
            <w:r>
              <w:rPr>
                <w:rFonts w:eastAsia="等线"/>
                <w:color w:val="000000" w:themeColor="text1"/>
                <w:sz w:val="21"/>
                <w:szCs w:val="21"/>
                <w:highlight w:val="none"/>
                <w14:textFill>
                  <w14:solidFill>
                    <w14:schemeClr w14:val="tx1"/>
                  </w14:solidFill>
                </w14:textFill>
              </w:rPr>
              <w:t>SS</w:t>
            </w:r>
          </w:p>
        </w:tc>
        <w:tc>
          <w:tcPr>
            <w:tcW w:w="1701" w:type="dxa"/>
            <w:vAlign w:val="center"/>
          </w:tcPr>
          <w:p w14:paraId="0B22BE48">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4EEA92FE">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1815F504">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1D654CA8">
            <w:pPr>
              <w:keepNext w:val="0"/>
              <w:keepLines w:val="0"/>
              <w:widowControl/>
              <w:suppressLineNumbers w:val="0"/>
              <w:jc w:val="center"/>
              <w:textAlignment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61" w:type="dxa"/>
            <w:vAlign w:val="center"/>
          </w:tcPr>
          <w:p w14:paraId="523A9755">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2CCC6A9A">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24" w:type="dxa"/>
            <w:vAlign w:val="center"/>
          </w:tcPr>
          <w:p w14:paraId="39225DCD">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12B0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105970EF">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524E41F0">
            <w:pPr>
              <w:jc w:val="center"/>
              <w:rPr>
                <w:rFonts w:eastAsia="等线"/>
                <w:color w:val="000000" w:themeColor="text1"/>
                <w:sz w:val="21"/>
                <w:szCs w:val="21"/>
                <w:highlight w:val="none"/>
                <w14:textFill>
                  <w14:solidFill>
                    <w14:schemeClr w14:val="tx1"/>
                  </w14:solidFill>
                </w14:textFill>
              </w:rPr>
            </w:pPr>
            <w:r>
              <w:rPr>
                <w:rFonts w:eastAsia="等线"/>
                <w:color w:val="000000" w:themeColor="text1"/>
                <w:sz w:val="21"/>
                <w:szCs w:val="21"/>
                <w:highlight w:val="none"/>
                <w14:textFill>
                  <w14:solidFill>
                    <w14:schemeClr w14:val="tx1"/>
                  </w14:solidFill>
                </w14:textFill>
              </w:rPr>
              <w:t>NH</w:t>
            </w:r>
            <w:r>
              <w:rPr>
                <w:rFonts w:eastAsia="等线"/>
                <w:color w:val="000000" w:themeColor="text1"/>
                <w:sz w:val="21"/>
                <w:szCs w:val="21"/>
                <w:highlight w:val="none"/>
                <w:vertAlign w:val="subscript"/>
                <w14:textFill>
                  <w14:solidFill>
                    <w14:schemeClr w14:val="tx1"/>
                  </w14:solidFill>
                </w14:textFill>
              </w:rPr>
              <w:t>3</w:t>
            </w:r>
            <w:r>
              <w:rPr>
                <w:rFonts w:eastAsia="等线"/>
                <w:color w:val="000000" w:themeColor="text1"/>
                <w:sz w:val="21"/>
                <w:szCs w:val="21"/>
                <w:highlight w:val="none"/>
                <w14:textFill>
                  <w14:solidFill>
                    <w14:schemeClr w14:val="tx1"/>
                  </w14:solidFill>
                </w14:textFill>
              </w:rPr>
              <w:t>-N</w:t>
            </w:r>
          </w:p>
        </w:tc>
        <w:tc>
          <w:tcPr>
            <w:tcW w:w="1701" w:type="dxa"/>
            <w:vAlign w:val="center"/>
          </w:tcPr>
          <w:p w14:paraId="1F44681C">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0.019</w:t>
            </w:r>
          </w:p>
        </w:tc>
        <w:tc>
          <w:tcPr>
            <w:tcW w:w="1276" w:type="dxa"/>
            <w:vAlign w:val="center"/>
          </w:tcPr>
          <w:p w14:paraId="1E5ABE6F">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0.0227</w:t>
            </w:r>
          </w:p>
        </w:tc>
        <w:tc>
          <w:tcPr>
            <w:tcW w:w="1701" w:type="dxa"/>
            <w:vAlign w:val="center"/>
          </w:tcPr>
          <w:p w14:paraId="1A486E03">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67B119B7">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0.1355</w:t>
            </w:r>
          </w:p>
        </w:tc>
        <w:tc>
          <w:tcPr>
            <w:tcW w:w="1761" w:type="dxa"/>
            <w:vAlign w:val="center"/>
          </w:tcPr>
          <w:p w14:paraId="10347D44">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48B64FE0">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0.1545</w:t>
            </w:r>
          </w:p>
        </w:tc>
        <w:tc>
          <w:tcPr>
            <w:tcW w:w="1324" w:type="dxa"/>
            <w:vAlign w:val="center"/>
          </w:tcPr>
          <w:p w14:paraId="15232ABB">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0.1355</w:t>
            </w:r>
          </w:p>
        </w:tc>
      </w:tr>
      <w:tr w14:paraId="2CDB0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restart"/>
            <w:vAlign w:val="center"/>
          </w:tcPr>
          <w:p w14:paraId="69ADF4CC">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一般工业</w:t>
            </w:r>
          </w:p>
          <w:p w14:paraId="51951C89">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固体废物</w:t>
            </w:r>
          </w:p>
        </w:tc>
        <w:tc>
          <w:tcPr>
            <w:tcW w:w="1417" w:type="dxa"/>
            <w:vAlign w:val="center"/>
          </w:tcPr>
          <w:p w14:paraId="6074A4AF">
            <w:pPr>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不合格产品</w:t>
            </w:r>
          </w:p>
        </w:tc>
        <w:tc>
          <w:tcPr>
            <w:tcW w:w="1701" w:type="dxa"/>
            <w:vAlign w:val="center"/>
          </w:tcPr>
          <w:p w14:paraId="75DEC382">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0.8</w:t>
            </w:r>
          </w:p>
        </w:tc>
        <w:tc>
          <w:tcPr>
            <w:tcW w:w="1276" w:type="dxa"/>
            <w:vAlign w:val="center"/>
          </w:tcPr>
          <w:p w14:paraId="7DFF4EAE">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467A5E2D">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5F7BACA7">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0.6</w:t>
            </w:r>
          </w:p>
        </w:tc>
        <w:tc>
          <w:tcPr>
            <w:tcW w:w="1761" w:type="dxa"/>
            <w:vAlign w:val="center"/>
          </w:tcPr>
          <w:p w14:paraId="269B6760">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32D98626">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1324" w:type="dxa"/>
            <w:vAlign w:val="center"/>
          </w:tcPr>
          <w:p w14:paraId="5DFC2317">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r>
      <w:tr w14:paraId="66CEF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066395D8">
            <w:pPr>
              <w:pStyle w:val="57"/>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2B6BD45E">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沉淀废渣</w:t>
            </w:r>
          </w:p>
        </w:tc>
        <w:tc>
          <w:tcPr>
            <w:tcW w:w="1701" w:type="dxa"/>
            <w:vAlign w:val="center"/>
          </w:tcPr>
          <w:p w14:paraId="495B2631">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2</w:t>
            </w:r>
          </w:p>
        </w:tc>
        <w:tc>
          <w:tcPr>
            <w:tcW w:w="1276" w:type="dxa"/>
            <w:vAlign w:val="center"/>
          </w:tcPr>
          <w:p w14:paraId="0E322126">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14ED9034">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654B220">
            <w:pPr>
              <w:jc w:val="center"/>
              <w:rPr>
                <w:rFonts w:hint="eastAsia" w:eastAsia="等线"/>
                <w:color w:val="000000" w:themeColor="text1"/>
                <w:sz w:val="21"/>
                <w:szCs w:val="21"/>
                <w:highlight w:val="none"/>
                <w:lang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1</w:t>
            </w:r>
          </w:p>
        </w:tc>
        <w:tc>
          <w:tcPr>
            <w:tcW w:w="1761" w:type="dxa"/>
            <w:vAlign w:val="center"/>
          </w:tcPr>
          <w:p w14:paraId="14B3DCE4">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25361633">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324" w:type="dxa"/>
            <w:vAlign w:val="center"/>
          </w:tcPr>
          <w:p w14:paraId="5E41E4E9">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14:paraId="2DF18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5B85CAB5">
            <w:pPr>
              <w:pStyle w:val="57"/>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6EB1C9F5">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废包装材料</w:t>
            </w:r>
          </w:p>
        </w:tc>
        <w:tc>
          <w:tcPr>
            <w:tcW w:w="1701" w:type="dxa"/>
            <w:vAlign w:val="center"/>
          </w:tcPr>
          <w:p w14:paraId="24F0AE69">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0.2</w:t>
            </w:r>
          </w:p>
        </w:tc>
        <w:tc>
          <w:tcPr>
            <w:tcW w:w="1276" w:type="dxa"/>
            <w:vAlign w:val="center"/>
          </w:tcPr>
          <w:p w14:paraId="4DD204E7">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3FE6F8F2">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4C9CE780">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0.1</w:t>
            </w:r>
          </w:p>
        </w:tc>
        <w:tc>
          <w:tcPr>
            <w:tcW w:w="1761" w:type="dxa"/>
            <w:vAlign w:val="center"/>
          </w:tcPr>
          <w:p w14:paraId="5F570E43">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455F24E4">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w:t>
            </w:r>
          </w:p>
        </w:tc>
        <w:tc>
          <w:tcPr>
            <w:tcW w:w="1324" w:type="dxa"/>
            <w:vAlign w:val="center"/>
          </w:tcPr>
          <w:p w14:paraId="62294258">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r>
      <w:tr w14:paraId="4D612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6053E9F1">
            <w:pPr>
              <w:pStyle w:val="57"/>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488B4A33">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废金刚砂</w:t>
            </w:r>
          </w:p>
        </w:tc>
        <w:tc>
          <w:tcPr>
            <w:tcW w:w="1701" w:type="dxa"/>
            <w:vAlign w:val="center"/>
          </w:tcPr>
          <w:p w14:paraId="67FBADE3">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0.3</w:t>
            </w:r>
          </w:p>
        </w:tc>
        <w:tc>
          <w:tcPr>
            <w:tcW w:w="1276" w:type="dxa"/>
            <w:vAlign w:val="center"/>
          </w:tcPr>
          <w:p w14:paraId="5DEEFA15">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190031D8">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2FE34736">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4.3</w:t>
            </w:r>
          </w:p>
        </w:tc>
        <w:tc>
          <w:tcPr>
            <w:tcW w:w="1761" w:type="dxa"/>
            <w:vAlign w:val="center"/>
          </w:tcPr>
          <w:p w14:paraId="559ACA05">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00E99CD7">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w:t>
            </w:r>
          </w:p>
        </w:tc>
        <w:tc>
          <w:tcPr>
            <w:tcW w:w="1324" w:type="dxa"/>
            <w:vAlign w:val="center"/>
          </w:tcPr>
          <w:p w14:paraId="37F269C2">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w:t>
            </w:r>
          </w:p>
        </w:tc>
      </w:tr>
      <w:tr w14:paraId="79BE5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2E1602FD">
            <w:pPr>
              <w:pStyle w:val="57"/>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61A4E31E">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废边角料</w:t>
            </w:r>
          </w:p>
        </w:tc>
        <w:tc>
          <w:tcPr>
            <w:tcW w:w="1701" w:type="dxa"/>
            <w:vAlign w:val="center"/>
          </w:tcPr>
          <w:p w14:paraId="5911A8A9">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3.2</w:t>
            </w:r>
          </w:p>
        </w:tc>
        <w:tc>
          <w:tcPr>
            <w:tcW w:w="1276" w:type="dxa"/>
            <w:vAlign w:val="center"/>
          </w:tcPr>
          <w:p w14:paraId="2E402BF9">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24684611">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D7CE79F">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0.2</w:t>
            </w:r>
          </w:p>
        </w:tc>
        <w:tc>
          <w:tcPr>
            <w:tcW w:w="1761" w:type="dxa"/>
            <w:vAlign w:val="center"/>
          </w:tcPr>
          <w:p w14:paraId="2BB25058">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75D0C51A">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w:t>
            </w:r>
          </w:p>
        </w:tc>
        <w:tc>
          <w:tcPr>
            <w:tcW w:w="1324" w:type="dxa"/>
            <w:vAlign w:val="center"/>
          </w:tcPr>
          <w:p w14:paraId="25422B29">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r>
      <w:tr w14:paraId="27F61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5ECD0DA1">
            <w:pPr>
              <w:pStyle w:val="57"/>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191A60C8">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污水站沉渣</w:t>
            </w:r>
          </w:p>
        </w:tc>
        <w:tc>
          <w:tcPr>
            <w:tcW w:w="1701" w:type="dxa"/>
            <w:vAlign w:val="center"/>
          </w:tcPr>
          <w:p w14:paraId="42E17A56">
            <w:pPr>
              <w:jc w:val="center"/>
              <w:rPr>
                <w:rFonts w:hint="eastAsia"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2</w:t>
            </w:r>
          </w:p>
        </w:tc>
        <w:tc>
          <w:tcPr>
            <w:tcW w:w="1276" w:type="dxa"/>
            <w:vAlign w:val="center"/>
          </w:tcPr>
          <w:p w14:paraId="19CA084D">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50D3CC7B">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232413E4">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61" w:type="dxa"/>
            <w:vAlign w:val="center"/>
          </w:tcPr>
          <w:p w14:paraId="013367A6">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562A175B">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324" w:type="dxa"/>
            <w:vAlign w:val="center"/>
          </w:tcPr>
          <w:p w14:paraId="2E51060F">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14:paraId="15B4C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1557470A">
            <w:pPr>
              <w:pStyle w:val="57"/>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56AFCD62">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废树脂</w:t>
            </w:r>
          </w:p>
        </w:tc>
        <w:tc>
          <w:tcPr>
            <w:tcW w:w="1701" w:type="dxa"/>
            <w:vAlign w:val="center"/>
          </w:tcPr>
          <w:p w14:paraId="39F3D4E7">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11.76</w:t>
            </w:r>
          </w:p>
        </w:tc>
        <w:tc>
          <w:tcPr>
            <w:tcW w:w="1276" w:type="dxa"/>
            <w:vAlign w:val="center"/>
          </w:tcPr>
          <w:p w14:paraId="6E74123C">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01AC5112">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37B525A1">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42</w:t>
            </w:r>
          </w:p>
        </w:tc>
        <w:tc>
          <w:tcPr>
            <w:tcW w:w="1761" w:type="dxa"/>
            <w:vAlign w:val="center"/>
          </w:tcPr>
          <w:p w14:paraId="27ED8D27">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2585E5EF">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53.76</w:t>
            </w:r>
          </w:p>
        </w:tc>
        <w:tc>
          <w:tcPr>
            <w:tcW w:w="1324" w:type="dxa"/>
            <w:vAlign w:val="center"/>
          </w:tcPr>
          <w:p w14:paraId="2BFD827C">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w:t>
            </w:r>
          </w:p>
        </w:tc>
      </w:tr>
      <w:tr w14:paraId="29569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restart"/>
            <w:vAlign w:val="center"/>
          </w:tcPr>
          <w:p w14:paraId="13AD0259">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危险废物</w:t>
            </w:r>
          </w:p>
        </w:tc>
        <w:tc>
          <w:tcPr>
            <w:tcW w:w="1417" w:type="dxa"/>
            <w:vAlign w:val="center"/>
          </w:tcPr>
          <w:p w14:paraId="6F3FBAD0">
            <w:pPr>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废切削液</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eastAsia="zh-CN"/>
                <w14:textFill>
                  <w14:solidFill>
                    <w14:schemeClr w14:val="tx1"/>
                  </w14:solidFill>
                </w14:textFill>
              </w:rPr>
              <w:t>磨削液</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eastAsia="zh-CN"/>
                <w14:textFill>
                  <w14:solidFill>
                    <w14:schemeClr w14:val="tx1"/>
                  </w14:solidFill>
                </w14:textFill>
              </w:rPr>
              <w:t>冷却液</w:t>
            </w:r>
          </w:p>
        </w:tc>
        <w:tc>
          <w:tcPr>
            <w:tcW w:w="1701" w:type="dxa"/>
            <w:vAlign w:val="center"/>
          </w:tcPr>
          <w:p w14:paraId="7AEEBD63">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0.4</w:t>
            </w:r>
          </w:p>
        </w:tc>
        <w:tc>
          <w:tcPr>
            <w:tcW w:w="1276" w:type="dxa"/>
            <w:vAlign w:val="center"/>
          </w:tcPr>
          <w:p w14:paraId="33E47AAC">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5F42EE20">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25B63312">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5.8</w:t>
            </w:r>
          </w:p>
        </w:tc>
        <w:tc>
          <w:tcPr>
            <w:tcW w:w="1761" w:type="dxa"/>
            <w:vAlign w:val="center"/>
          </w:tcPr>
          <w:p w14:paraId="59D1ED2A">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658443DD">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w:t>
            </w:r>
          </w:p>
        </w:tc>
        <w:tc>
          <w:tcPr>
            <w:tcW w:w="1324" w:type="dxa"/>
            <w:vAlign w:val="center"/>
          </w:tcPr>
          <w:p w14:paraId="1E2C6CCC">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w:t>
            </w:r>
          </w:p>
        </w:tc>
      </w:tr>
      <w:tr w14:paraId="0EDF6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53F7112F">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51C058BB">
            <w:pPr>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废胶桶</w:t>
            </w:r>
          </w:p>
        </w:tc>
        <w:tc>
          <w:tcPr>
            <w:tcW w:w="1701" w:type="dxa"/>
            <w:vAlign w:val="center"/>
          </w:tcPr>
          <w:p w14:paraId="576C20AF">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0.5</w:t>
            </w:r>
          </w:p>
        </w:tc>
        <w:tc>
          <w:tcPr>
            <w:tcW w:w="1276" w:type="dxa"/>
            <w:vAlign w:val="center"/>
          </w:tcPr>
          <w:p w14:paraId="52109F6B">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6B356F58">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2C5992B3">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0.5</w:t>
            </w:r>
          </w:p>
        </w:tc>
        <w:tc>
          <w:tcPr>
            <w:tcW w:w="1761" w:type="dxa"/>
            <w:vAlign w:val="center"/>
          </w:tcPr>
          <w:p w14:paraId="1240FA39">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340AF0E4">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324" w:type="dxa"/>
            <w:vAlign w:val="center"/>
          </w:tcPr>
          <w:p w14:paraId="5283E3D7">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r>
      <w:tr w14:paraId="154F2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10AEE6FF">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10103985">
            <w:pPr>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废有机溶剂空瓶</w:t>
            </w:r>
          </w:p>
        </w:tc>
        <w:tc>
          <w:tcPr>
            <w:tcW w:w="1701" w:type="dxa"/>
            <w:vAlign w:val="center"/>
          </w:tcPr>
          <w:p w14:paraId="4499092F">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0.027</w:t>
            </w:r>
          </w:p>
        </w:tc>
        <w:tc>
          <w:tcPr>
            <w:tcW w:w="1276" w:type="dxa"/>
            <w:vAlign w:val="center"/>
          </w:tcPr>
          <w:p w14:paraId="73916FDE">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37C87D62">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5DB53848">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0.1</w:t>
            </w:r>
          </w:p>
        </w:tc>
        <w:tc>
          <w:tcPr>
            <w:tcW w:w="1761" w:type="dxa"/>
            <w:vAlign w:val="center"/>
          </w:tcPr>
          <w:p w14:paraId="186CE594">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52171482">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0.127</w:t>
            </w:r>
          </w:p>
        </w:tc>
        <w:tc>
          <w:tcPr>
            <w:tcW w:w="1324" w:type="dxa"/>
            <w:vAlign w:val="center"/>
          </w:tcPr>
          <w:p w14:paraId="26D536A2">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r>
      <w:tr w14:paraId="28CC8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08F857CA">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2695213B">
            <w:pPr>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废晶体</w:t>
            </w:r>
          </w:p>
        </w:tc>
        <w:tc>
          <w:tcPr>
            <w:tcW w:w="1701" w:type="dxa"/>
            <w:vAlign w:val="center"/>
          </w:tcPr>
          <w:p w14:paraId="46CF175F">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0.2</w:t>
            </w:r>
          </w:p>
        </w:tc>
        <w:tc>
          <w:tcPr>
            <w:tcW w:w="1276" w:type="dxa"/>
            <w:vAlign w:val="center"/>
          </w:tcPr>
          <w:p w14:paraId="5DD9116D">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666701C3">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877FEFC">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61" w:type="dxa"/>
            <w:vAlign w:val="center"/>
          </w:tcPr>
          <w:p w14:paraId="775EC70C">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37F230FF">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1324" w:type="dxa"/>
            <w:vAlign w:val="center"/>
          </w:tcPr>
          <w:p w14:paraId="6B4AE5F0">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14:paraId="697C7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684219BD">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397EF813">
            <w:pPr>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熔料炉渣</w:t>
            </w:r>
          </w:p>
        </w:tc>
        <w:tc>
          <w:tcPr>
            <w:tcW w:w="1701" w:type="dxa"/>
            <w:vAlign w:val="center"/>
          </w:tcPr>
          <w:p w14:paraId="236435CC">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0.5</w:t>
            </w:r>
          </w:p>
        </w:tc>
        <w:tc>
          <w:tcPr>
            <w:tcW w:w="1276" w:type="dxa"/>
            <w:vAlign w:val="center"/>
          </w:tcPr>
          <w:p w14:paraId="18760DB8">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69B28E2E">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66518BE0">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61" w:type="dxa"/>
            <w:vAlign w:val="center"/>
          </w:tcPr>
          <w:p w14:paraId="128CA05D">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04A702A1">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1324" w:type="dxa"/>
            <w:vAlign w:val="center"/>
          </w:tcPr>
          <w:p w14:paraId="3A911F9A">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14:paraId="0D472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7A808EA0">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1AA828FE">
            <w:pPr>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清洗废液</w:t>
            </w:r>
          </w:p>
        </w:tc>
        <w:tc>
          <w:tcPr>
            <w:tcW w:w="1701" w:type="dxa"/>
            <w:vAlign w:val="center"/>
          </w:tcPr>
          <w:p w14:paraId="73B5F09A">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113.44</w:t>
            </w:r>
          </w:p>
        </w:tc>
        <w:tc>
          <w:tcPr>
            <w:tcW w:w="1276" w:type="dxa"/>
            <w:vAlign w:val="center"/>
          </w:tcPr>
          <w:p w14:paraId="355FD52E">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158C3C6B">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790D6058">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10.82</w:t>
            </w:r>
          </w:p>
        </w:tc>
        <w:tc>
          <w:tcPr>
            <w:tcW w:w="1761" w:type="dxa"/>
            <w:vAlign w:val="center"/>
          </w:tcPr>
          <w:p w14:paraId="26941E32">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2EABB578">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124.26</w:t>
            </w:r>
          </w:p>
        </w:tc>
        <w:tc>
          <w:tcPr>
            <w:tcW w:w="1324" w:type="dxa"/>
            <w:vAlign w:val="center"/>
          </w:tcPr>
          <w:p w14:paraId="6B6FEEFE">
            <w:pPr>
              <w:keepNext w:val="0"/>
              <w:keepLines w:val="0"/>
              <w:widowControl/>
              <w:suppressLineNumbers w:val="0"/>
              <w:jc w:val="center"/>
              <w:textAlignment w:val="center"/>
              <w:rPr>
                <w:rFonts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10.82</w:t>
            </w:r>
          </w:p>
        </w:tc>
      </w:tr>
      <w:tr w14:paraId="390F5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416E19A1">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17D12369">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废活性炭</w:t>
            </w:r>
          </w:p>
        </w:tc>
        <w:tc>
          <w:tcPr>
            <w:tcW w:w="1701" w:type="dxa"/>
            <w:vAlign w:val="center"/>
          </w:tcPr>
          <w:p w14:paraId="0749857A">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24</w:t>
            </w:r>
          </w:p>
        </w:tc>
        <w:tc>
          <w:tcPr>
            <w:tcW w:w="1276" w:type="dxa"/>
            <w:vAlign w:val="center"/>
          </w:tcPr>
          <w:p w14:paraId="78829265">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1835ED25">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9086948">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55.4631</w:t>
            </w:r>
          </w:p>
        </w:tc>
        <w:tc>
          <w:tcPr>
            <w:tcW w:w="1761" w:type="dxa"/>
            <w:vAlign w:val="center"/>
          </w:tcPr>
          <w:p w14:paraId="040E859C">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2AFAE281">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79.4631</w:t>
            </w:r>
          </w:p>
        </w:tc>
        <w:tc>
          <w:tcPr>
            <w:tcW w:w="1324" w:type="dxa"/>
            <w:vAlign w:val="center"/>
          </w:tcPr>
          <w:p w14:paraId="7EDF9025">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55.4631</w:t>
            </w:r>
          </w:p>
        </w:tc>
      </w:tr>
      <w:tr w14:paraId="5356F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596200F7">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61DF03AA">
            <w:pPr>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含油抹布</w:t>
            </w:r>
          </w:p>
        </w:tc>
        <w:tc>
          <w:tcPr>
            <w:tcW w:w="1701" w:type="dxa"/>
            <w:vAlign w:val="center"/>
          </w:tcPr>
          <w:p w14:paraId="439C7F47">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0.002</w:t>
            </w:r>
          </w:p>
        </w:tc>
        <w:tc>
          <w:tcPr>
            <w:tcW w:w="1276" w:type="dxa"/>
            <w:vAlign w:val="center"/>
          </w:tcPr>
          <w:p w14:paraId="65CB9D8F">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4F685DD3">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71E4508D">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0.01</w:t>
            </w:r>
          </w:p>
        </w:tc>
        <w:tc>
          <w:tcPr>
            <w:tcW w:w="1761" w:type="dxa"/>
            <w:vAlign w:val="center"/>
          </w:tcPr>
          <w:p w14:paraId="5EF31673">
            <w:pPr>
              <w:jc w:val="center"/>
              <w:rPr>
                <w:rFonts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2EB122E7">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w:t>
            </w:r>
          </w:p>
        </w:tc>
        <w:tc>
          <w:tcPr>
            <w:tcW w:w="1324" w:type="dxa"/>
            <w:vAlign w:val="center"/>
          </w:tcPr>
          <w:p w14:paraId="5C94CBB0">
            <w:pPr>
              <w:keepNext w:val="0"/>
              <w:keepLines w:val="0"/>
              <w:widowControl/>
              <w:suppressLineNumbers w:val="0"/>
              <w:jc w:val="center"/>
              <w:textAlignment w:val="center"/>
              <w:rPr>
                <w:rFonts w:hint="default" w:eastAsia="等线"/>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r>
      <w:tr w14:paraId="403B9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6F61BE12">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04EAFDF8">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刻蚀废液</w:t>
            </w:r>
          </w:p>
        </w:tc>
        <w:tc>
          <w:tcPr>
            <w:tcW w:w="1701" w:type="dxa"/>
            <w:vAlign w:val="center"/>
          </w:tcPr>
          <w:p w14:paraId="693673AA">
            <w:pPr>
              <w:jc w:val="center"/>
              <w:rPr>
                <w:rFonts w:hint="eastAsia"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66F6038E">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3B9C4A52">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7CEC132">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1800</w:t>
            </w:r>
          </w:p>
        </w:tc>
        <w:tc>
          <w:tcPr>
            <w:tcW w:w="1761" w:type="dxa"/>
            <w:vAlign w:val="center"/>
          </w:tcPr>
          <w:p w14:paraId="201A29C4">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3A2AF2A6">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1800</w:t>
            </w:r>
          </w:p>
        </w:tc>
        <w:tc>
          <w:tcPr>
            <w:tcW w:w="1324" w:type="dxa"/>
            <w:vAlign w:val="center"/>
          </w:tcPr>
          <w:p w14:paraId="1EFC7F64">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1800</w:t>
            </w:r>
          </w:p>
        </w:tc>
      </w:tr>
      <w:tr w14:paraId="0EBAB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3AE4C43B">
            <w:pPr>
              <w:pStyle w:val="57"/>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417" w:type="dxa"/>
            <w:vAlign w:val="center"/>
          </w:tcPr>
          <w:p w14:paraId="2A3E87EE">
            <w:pPr>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污水处理站污泥</w:t>
            </w:r>
          </w:p>
        </w:tc>
        <w:tc>
          <w:tcPr>
            <w:tcW w:w="1701" w:type="dxa"/>
            <w:vAlign w:val="center"/>
          </w:tcPr>
          <w:p w14:paraId="56D4B74F">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276" w:type="dxa"/>
            <w:vAlign w:val="center"/>
          </w:tcPr>
          <w:p w14:paraId="5499867D">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701" w:type="dxa"/>
            <w:vAlign w:val="center"/>
          </w:tcPr>
          <w:p w14:paraId="13AC44B2">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559" w:type="dxa"/>
            <w:vAlign w:val="center"/>
          </w:tcPr>
          <w:p w14:paraId="08A441B0">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40</w:t>
            </w:r>
          </w:p>
        </w:tc>
        <w:tc>
          <w:tcPr>
            <w:tcW w:w="1761" w:type="dxa"/>
            <w:vAlign w:val="center"/>
          </w:tcPr>
          <w:p w14:paraId="3D6E4F88">
            <w:pPr>
              <w:jc w:val="center"/>
              <w:rPr>
                <w:rFonts w:hint="eastAsia" w:eastAsia="等线"/>
                <w:color w:val="000000" w:themeColor="text1"/>
                <w:sz w:val="21"/>
                <w:szCs w:val="21"/>
                <w:highlight w:val="none"/>
                <w14:textFill>
                  <w14:solidFill>
                    <w14:schemeClr w14:val="tx1"/>
                  </w14:solidFill>
                </w14:textFill>
              </w:rPr>
            </w:pPr>
            <w:r>
              <w:rPr>
                <w:rFonts w:hint="eastAsia" w:eastAsia="等线"/>
                <w:color w:val="000000" w:themeColor="text1"/>
                <w:sz w:val="21"/>
                <w:szCs w:val="21"/>
                <w:highlight w:val="none"/>
                <w14:textFill>
                  <w14:solidFill>
                    <w14:schemeClr w14:val="tx1"/>
                  </w14:solidFill>
                </w14:textFill>
              </w:rPr>
              <w:t>/</w:t>
            </w:r>
          </w:p>
        </w:tc>
        <w:tc>
          <w:tcPr>
            <w:tcW w:w="1461" w:type="dxa"/>
            <w:vAlign w:val="center"/>
          </w:tcPr>
          <w:p w14:paraId="7B0B26BB">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1324" w:type="dxa"/>
            <w:vAlign w:val="center"/>
          </w:tcPr>
          <w:p w14:paraId="2DB7EB2F">
            <w:pPr>
              <w:keepNext w:val="0"/>
              <w:keepLines w:val="0"/>
              <w:widowControl/>
              <w:suppressLineNumbers w:val="0"/>
              <w:jc w:val="center"/>
              <w:textAlignment w:val="center"/>
              <w:rPr>
                <w:rFonts w:hint="eastAsia" w:eastAsia="等线"/>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r>
    </w:tbl>
    <w:p w14:paraId="494476CB">
      <w:pPr>
        <w:pStyle w:val="57"/>
        <w:spacing w:before="192" w:beforeLines="80" w:after="24"/>
        <w:jc w:val="left"/>
        <w:rPr>
          <w:rFonts w:hAnsi="宋体"/>
          <w:snapToGrid w:val="0"/>
          <w:color w:val="000000" w:themeColor="text1"/>
          <w:spacing w:val="-6"/>
          <w:kern w:val="21"/>
          <w:szCs w:val="21"/>
          <w:highlight w:val="none"/>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p>
    <w:p w14:paraId="628E357E">
      <w:pPr>
        <w:rPr>
          <w:color w:val="000000" w:themeColor="text1"/>
          <w:highlight w:val="none"/>
          <w14:textFill>
            <w14:solidFill>
              <w14:schemeClr w14:val="tx1"/>
            </w14:solidFill>
          </w14:textFill>
        </w:rPr>
      </w:pPr>
    </w:p>
    <w:p w14:paraId="31C82321">
      <w:pPr>
        <w:rPr>
          <w:color w:val="000000" w:themeColor="text1"/>
          <w:highlight w:val="none"/>
          <w14:textFill>
            <w14:solidFill>
              <w14:schemeClr w14:val="tx1"/>
            </w14:solidFill>
          </w14:textFill>
        </w:rPr>
        <w:sectPr>
          <w:footerReference r:id="rId10"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8C2AC57">
      <w:pPr>
        <w:pStyle w:val="26"/>
        <w:adjustRightInd w:val="0"/>
        <w:snapToGrid w:val="0"/>
        <w:spacing w:before="0" w:beforeAutospacing="0" w:after="0" w:afterAutospacing="0"/>
        <w:outlineLvl w:val="0"/>
        <w:rPr>
          <w:rFonts w:ascii="黑体" w:hAnsi="黑体" w:eastAsia="黑体"/>
          <w:snapToGrid w:val="0"/>
          <w:color w:val="000000" w:themeColor="text1"/>
          <w:sz w:val="32"/>
          <w:szCs w:val="32"/>
          <w:highlight w:val="none"/>
          <w14:textFill>
            <w14:solidFill>
              <w14:schemeClr w14:val="tx1"/>
            </w14:solidFill>
          </w14:textFill>
        </w:rPr>
      </w:pPr>
      <w:bookmarkStart w:id="24" w:name="_Toc10484"/>
      <w:r>
        <w:rPr>
          <w:rFonts w:hint="eastAsia" w:ascii="黑体" w:hAnsi="黑体" w:eastAsia="黑体"/>
          <w:snapToGrid w:val="0"/>
          <w:color w:val="000000" w:themeColor="text1"/>
          <w:sz w:val="32"/>
          <w:szCs w:val="32"/>
          <w:highlight w:val="none"/>
          <w14:textFill>
            <w14:solidFill>
              <w14:schemeClr w14:val="tx1"/>
            </w14:solidFill>
          </w14:textFill>
        </w:rPr>
        <w:t>附图</w:t>
      </w:r>
      <w:bookmarkEnd w:id="24"/>
    </w:p>
    <w:p w14:paraId="6F5A5EFE">
      <w:pPr>
        <w:pStyle w:val="12"/>
        <w:jc w:val="center"/>
        <w:rPr>
          <w:rFonts w:hint="eastAsia" w:eastAsia="宋体"/>
          <w:snapToGrid w:val="0"/>
          <w:color w:val="000000" w:themeColor="text1"/>
          <w:highlight w:val="none"/>
          <w:lang w:eastAsia="zh-CN"/>
          <w14:textFill>
            <w14:solidFill>
              <w14:schemeClr w14:val="tx1"/>
            </w14:solidFill>
          </w14:textFill>
        </w:rPr>
      </w:pPr>
      <w:r>
        <w:rPr>
          <w:rFonts w:hint="eastAsia" w:eastAsia="宋体"/>
          <w:snapToGrid w:val="0"/>
          <w:color w:val="000000" w:themeColor="text1"/>
          <w:highlight w:val="none"/>
          <w:lang w:eastAsia="zh-CN"/>
          <w14:textFill>
            <w14:solidFill>
              <w14:schemeClr w14:val="tx1"/>
            </w14:solidFill>
          </w14:textFill>
        </w:rPr>
        <w:drawing>
          <wp:inline distT="0" distB="0" distL="114300" distR="114300">
            <wp:extent cx="4974590" cy="7308850"/>
            <wp:effectExtent l="9525" t="9525" r="26035" b="15875"/>
            <wp:docPr id="5" name="图片 5"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理位置图"/>
                    <pic:cNvPicPr>
                      <a:picLocks noChangeAspect="1"/>
                    </pic:cNvPicPr>
                  </pic:nvPicPr>
                  <pic:blipFill>
                    <a:blip r:embed="rId28"/>
                    <a:stretch>
                      <a:fillRect/>
                    </a:stretch>
                  </pic:blipFill>
                  <pic:spPr>
                    <a:xfrm>
                      <a:off x="0" y="0"/>
                      <a:ext cx="4974590" cy="7308850"/>
                    </a:xfrm>
                    <a:prstGeom prst="rect">
                      <a:avLst/>
                    </a:prstGeom>
                    <a:ln>
                      <a:solidFill>
                        <a:schemeClr val="tx1"/>
                      </a:solidFill>
                    </a:ln>
                  </pic:spPr>
                </pic:pic>
              </a:graphicData>
            </a:graphic>
          </wp:inline>
        </w:drawing>
      </w:r>
    </w:p>
    <w:p w14:paraId="34BE3E68">
      <w:pPr>
        <w:jc w:val="center"/>
        <w:outlineLvl w:val="1"/>
        <w:rPr>
          <w:rFonts w:hint="eastAsia" w:ascii="黑体" w:hAnsi="黑体" w:eastAsia="黑体"/>
          <w:snapToGrid w:val="0"/>
          <w:color w:val="000000" w:themeColor="text1"/>
          <w:sz w:val="24"/>
          <w:szCs w:val="24"/>
          <w:highlight w:val="none"/>
          <w:lang w:val="en-US" w:eastAsia="zh-CN"/>
          <w14:textFill>
            <w14:solidFill>
              <w14:schemeClr w14:val="tx1"/>
            </w14:solidFill>
          </w14:textFill>
        </w:rPr>
      </w:pPr>
      <w:bookmarkStart w:id="25" w:name="_Toc25475"/>
      <w:bookmarkStart w:id="26" w:name="_Toc28885"/>
      <w:bookmarkStart w:id="27" w:name="_Toc16143"/>
      <w:r>
        <w:rPr>
          <w:b/>
          <w:bCs w:val="0"/>
          <w:color w:val="000000" w:themeColor="text1"/>
          <w:sz w:val="24"/>
          <w:highlight w:val="none"/>
          <w14:textFill>
            <w14:solidFill>
              <w14:schemeClr w14:val="tx1"/>
            </w14:solidFill>
          </w14:textFill>
        </w:rPr>
        <w:t xml:space="preserve">附图1  </w:t>
      </w:r>
      <w:r>
        <w:rPr>
          <w:rFonts w:hint="eastAsia"/>
          <w:b/>
          <w:bCs w:val="0"/>
          <w:color w:val="000000" w:themeColor="text1"/>
          <w:sz w:val="24"/>
          <w:highlight w:val="none"/>
          <w14:textFill>
            <w14:solidFill>
              <w14:schemeClr w14:val="tx1"/>
            </w14:solidFill>
          </w14:textFill>
        </w:rPr>
        <w:t>项目地理位置布</w:t>
      </w:r>
      <w:r>
        <w:rPr>
          <w:b/>
          <w:bCs w:val="0"/>
          <w:color w:val="000000" w:themeColor="text1"/>
          <w:sz w:val="24"/>
          <w:highlight w:val="none"/>
          <w14:textFill>
            <w14:solidFill>
              <w14:schemeClr w14:val="tx1"/>
            </w14:solidFill>
          </w14:textFill>
        </w:rPr>
        <w:t>图</w:t>
      </w:r>
      <w:bookmarkEnd w:id="25"/>
      <w:bookmarkEnd w:id="26"/>
      <w:bookmarkEnd w:id="27"/>
    </w:p>
    <w:p w14:paraId="49BEBE9C">
      <w:pPr>
        <w:jc w:val="center"/>
        <w:rPr>
          <w:rFonts w:hint="eastAsia"/>
          <w:color w:val="000000" w:themeColor="text1"/>
          <w:highlight w:val="none"/>
          <w:lang w:eastAsia="zh-CN"/>
          <w14:textFill>
            <w14:solidFill>
              <w14:schemeClr w14:val="tx1"/>
            </w14:solidFill>
          </w14:textFill>
        </w:rPr>
      </w:pPr>
    </w:p>
    <w:sectPr>
      <w:footerReference r:id="rId11"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2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FA322">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ADBC8">
    <w:pPr>
      <w:pStyle w:val="19"/>
      <w:framePr w:wrap="around" w:vAnchor="text" w:hAnchor="margin" w:xAlign="center" w:y="1"/>
      <w:rPr>
        <w:rStyle w:val="33"/>
      </w:rPr>
    </w:pPr>
    <w:r>
      <w:fldChar w:fldCharType="begin"/>
    </w:r>
    <w:r>
      <w:rPr>
        <w:rStyle w:val="33"/>
      </w:rPr>
      <w:instrText xml:space="preserve">PAGE  </w:instrText>
    </w:r>
    <w:r>
      <w:fldChar w:fldCharType="end"/>
    </w:r>
  </w:p>
  <w:p w14:paraId="4280EF6C">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2A8F6">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780B">
    <w:pPr>
      <w:pStyle w:val="19"/>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753EF">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C7753EF">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3D28">
    <w:pPr>
      <w:pStyle w:val="12"/>
      <w:spacing w:line="14" w:lineRule="auto"/>
      <w:ind w:firstLine="480"/>
      <w:rPr>
        <w:sz w:val="12"/>
      </w:rPr>
    </w:pPr>
    <w:r>
      <w:rPr>
        <w:sz w:val="1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BF3D1">
                          <w:pPr>
                            <w:pStyle w:val="1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A1BF3D1">
                    <w:pPr>
                      <w:pStyle w:val="1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5E1E4">
    <w:pPr>
      <w:pStyle w:val="19"/>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7F657">
                          <w:pPr>
                            <w:pStyle w:val="1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E57F657">
                    <w:pPr>
                      <w:pStyle w:val="1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8472E">
    <w:pPr>
      <w:pStyle w:val="19"/>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C012D">
                          <w:pPr>
                            <w:pStyle w:val="1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13C012D">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02BED">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726BA">
    <w:pPr>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B46E95"/>
    <w:multiLevelType w:val="multilevel"/>
    <w:tmpl w:val="26B46E95"/>
    <w:lvl w:ilvl="0" w:tentative="0">
      <w:start w:val="1"/>
      <w:numFmt w:val="decimal"/>
      <w:pStyle w:val="73"/>
      <w:suff w:val="space"/>
      <w:lvlText w:val="%1"/>
      <w:lvlJc w:val="left"/>
      <w:pPr>
        <w:tabs>
          <w:tab w:val="left" w:pos="0"/>
        </w:tabs>
        <w:ind w:left="0" w:firstLine="0"/>
      </w:pPr>
      <w:rPr>
        <w:rFonts w:hint="default" w:ascii="Times New Roman" w:hAnsi="Times New Roman" w:eastAsia="黑体" w:cs="Times New Roman"/>
        <w:b/>
        <w:i w:val="0"/>
        <w:sz w:val="32"/>
      </w:rPr>
    </w:lvl>
    <w:lvl w:ilvl="1" w:tentative="0">
      <w:start w:val="1"/>
      <w:numFmt w:val="decimal"/>
      <w:suff w:val="space"/>
      <w:lvlText w:val="%1.%2"/>
      <w:lvlJc w:val="left"/>
      <w:pPr>
        <w:ind w:left="0" w:firstLine="0"/>
      </w:pPr>
      <w:rPr>
        <w:rFonts w:hint="default" w:ascii="Times New Roman" w:hAnsi="Times New Roman" w:eastAsia="黑体" w:cs="Times New Roman"/>
        <w:b/>
        <w:i w:val="0"/>
        <w:sz w:val="30"/>
      </w:rPr>
    </w:lvl>
    <w:lvl w:ilvl="2" w:tentative="0">
      <w:start w:val="1"/>
      <w:numFmt w:val="decimal"/>
      <w:suff w:val="space"/>
      <w:lvlText w:val="%1.%2.%3"/>
      <w:lvlJc w:val="left"/>
      <w:pPr>
        <w:ind w:left="142" w:firstLine="0"/>
      </w:pPr>
      <w:rPr>
        <w:rFonts w:hint="default" w:ascii="Times New Roman" w:hAnsi="Times New Roman" w:eastAsia="黑体" w:cs="Times New Roman"/>
        <w:b/>
        <w:bCs w:val="0"/>
        <w:i w:val="0"/>
        <w:iCs w:val="0"/>
        <w:caps w:val="0"/>
        <w:smallCaps w:val="0"/>
        <w:strike w:val="0"/>
        <w:dstrike w:val="0"/>
        <w:color w:val="000000"/>
        <w:spacing w:val="0"/>
        <w:position w:val="0"/>
        <w:sz w:val="28"/>
        <w:u w:val="none"/>
      </w:rPr>
    </w:lvl>
    <w:lvl w:ilvl="3" w:tentative="0">
      <w:start w:val="1"/>
      <w:numFmt w:val="decimal"/>
      <w:suff w:val="space"/>
      <w:lvlText w:val="%1.%2.%3.%4"/>
      <w:lvlJc w:val="left"/>
      <w:pPr>
        <w:ind w:left="0" w:firstLine="0"/>
      </w:pPr>
      <w:rPr>
        <w:rFonts w:hint="default" w:ascii="Times New Roman" w:hAnsi="Times New Roman" w:eastAsia="黑体" w:cs="Times New Roman"/>
        <w:b/>
        <w:bCs w:val="0"/>
        <w:i w:val="0"/>
        <w:iCs w:val="0"/>
        <w:caps w:val="0"/>
        <w:smallCaps w:val="0"/>
        <w:strike w:val="0"/>
        <w:dstrike w:val="0"/>
        <w:color w:val="000000"/>
        <w:spacing w:val="0"/>
        <w:position w:val="0"/>
        <w:sz w:val="24"/>
        <w:u w:val="none"/>
      </w:rPr>
    </w:lvl>
    <w:lvl w:ilvl="4" w:tentative="0">
      <w:start w:val="1"/>
      <w:numFmt w:val="decimal"/>
      <w:lvlText w:val="%5%2."/>
      <w:lvlJc w:val="left"/>
      <w:pPr>
        <w:tabs>
          <w:tab w:val="left" w:pos="720"/>
        </w:tabs>
        <w:ind w:left="0" w:firstLine="0"/>
      </w:pPr>
      <w:rPr>
        <w:rFonts w:ascii="Times New Roman" w:hAnsi="Times New Roman" w:cs="Times New Roman"/>
        <w:b w:val="0"/>
        <w:bCs w:val="0"/>
        <w:i w:val="0"/>
        <w:iCs w:val="0"/>
        <w:caps w:val="0"/>
        <w:smallCaps w:val="0"/>
        <w:strike w:val="0"/>
        <w:dstrike w:val="0"/>
        <w:color w:val="000000"/>
        <w:spacing w:val="0"/>
        <w:position w:val="0"/>
        <w:u w:val="none"/>
      </w:rPr>
    </w:lvl>
    <w:lvl w:ilvl="5" w:tentative="0">
      <w:start w:val="1"/>
      <w:numFmt w:val="decimal"/>
      <w:lvlText w:val="%1.%2.%3.%4.%5.%6"/>
      <w:lvlJc w:val="left"/>
      <w:pPr>
        <w:tabs>
          <w:tab w:val="left" w:pos="1152"/>
        </w:tabs>
        <w:ind w:left="0" w:firstLine="0"/>
      </w:pPr>
    </w:lvl>
    <w:lvl w:ilvl="6" w:tentative="0">
      <w:start w:val="1"/>
      <w:numFmt w:val="decimal"/>
      <w:lvlText w:val="%1.%2.%3.%4.%5.%6.%7"/>
      <w:lvlJc w:val="left"/>
      <w:pPr>
        <w:tabs>
          <w:tab w:val="left" w:pos="1296"/>
        </w:tabs>
        <w:ind w:left="0" w:firstLine="0"/>
      </w:pPr>
    </w:lvl>
    <w:lvl w:ilvl="7" w:tentative="0">
      <w:start w:val="1"/>
      <w:numFmt w:val="decimal"/>
      <w:lvlText w:val="%1.%2.%3.%4.%5.%6.%7.%8"/>
      <w:lvlJc w:val="left"/>
      <w:pPr>
        <w:tabs>
          <w:tab w:val="left" w:pos="1440"/>
        </w:tabs>
        <w:ind w:left="0" w:firstLine="0"/>
      </w:pPr>
    </w:lvl>
    <w:lvl w:ilvl="8" w:tentative="0">
      <w:start w:val="1"/>
      <w:numFmt w:val="decimal"/>
      <w:lvlText w:val="%1.%2.%3.%4.%5.%6.%7.%8.%9"/>
      <w:lvlJc w:val="left"/>
      <w:pPr>
        <w:tabs>
          <w:tab w:val="left" w:pos="1584"/>
        </w:tabs>
        <w:ind w:left="0" w:firstLine="0"/>
      </w:pPr>
    </w:lvl>
  </w:abstractNum>
  <w:abstractNum w:abstractNumId="1">
    <w:nsid w:val="69830D8B"/>
    <w:multiLevelType w:val="singleLevel"/>
    <w:tmpl w:val="69830D8B"/>
    <w:lvl w:ilvl="0" w:tentative="0">
      <w:start w:val="1"/>
      <w:numFmt w:val="decimal"/>
      <w:suff w:val="nothing"/>
      <w:lvlText w:val="（%1）"/>
      <w:lvlJc w:val="left"/>
    </w:lvl>
  </w:abstractNum>
  <w:abstractNum w:abstractNumId="2">
    <w:nsid w:val="72C075B7"/>
    <w:multiLevelType w:val="multilevel"/>
    <w:tmpl w:val="72C075B7"/>
    <w:lvl w:ilvl="0" w:tentative="0">
      <w:start w:val="1"/>
      <w:numFmt w:val="decimal"/>
      <w:pStyle w:val="27"/>
      <w:lvlText w:val="%1"/>
      <w:lvlJc w:val="left"/>
      <w:pPr>
        <w:ind w:left="0" w:firstLine="0"/>
      </w:pPr>
      <w:rPr>
        <w:rFonts w:hint="eastAsia"/>
      </w:rPr>
    </w:lvl>
    <w:lvl w:ilvl="1" w:tentative="0">
      <w:start w:val="1"/>
      <w:numFmt w:val="decimal"/>
      <w:pStyle w:val="3"/>
      <w:suff w:val="space"/>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B1A"/>
    <w:rsid w:val="0000312D"/>
    <w:rsid w:val="000036CE"/>
    <w:rsid w:val="000060B3"/>
    <w:rsid w:val="000062A8"/>
    <w:rsid w:val="000070B6"/>
    <w:rsid w:val="000118FC"/>
    <w:rsid w:val="0001191A"/>
    <w:rsid w:val="00011AE2"/>
    <w:rsid w:val="00013654"/>
    <w:rsid w:val="0001767C"/>
    <w:rsid w:val="0002030C"/>
    <w:rsid w:val="00021901"/>
    <w:rsid w:val="00022855"/>
    <w:rsid w:val="00022975"/>
    <w:rsid w:val="00024874"/>
    <w:rsid w:val="000263BC"/>
    <w:rsid w:val="000279B0"/>
    <w:rsid w:val="00031CC2"/>
    <w:rsid w:val="0003206D"/>
    <w:rsid w:val="000329CF"/>
    <w:rsid w:val="00032EBF"/>
    <w:rsid w:val="0003313B"/>
    <w:rsid w:val="0003447B"/>
    <w:rsid w:val="00035832"/>
    <w:rsid w:val="000420B3"/>
    <w:rsid w:val="0004364B"/>
    <w:rsid w:val="00046B87"/>
    <w:rsid w:val="00046E90"/>
    <w:rsid w:val="00050209"/>
    <w:rsid w:val="000503BA"/>
    <w:rsid w:val="000503CB"/>
    <w:rsid w:val="00052649"/>
    <w:rsid w:val="0005496C"/>
    <w:rsid w:val="000603B7"/>
    <w:rsid w:val="000616A7"/>
    <w:rsid w:val="000616AD"/>
    <w:rsid w:val="00061B1F"/>
    <w:rsid w:val="00061F74"/>
    <w:rsid w:val="0006221B"/>
    <w:rsid w:val="00063C38"/>
    <w:rsid w:val="00065BDA"/>
    <w:rsid w:val="00065CFE"/>
    <w:rsid w:val="0006753E"/>
    <w:rsid w:val="00070118"/>
    <w:rsid w:val="00071F03"/>
    <w:rsid w:val="0007225C"/>
    <w:rsid w:val="00072831"/>
    <w:rsid w:val="000733C4"/>
    <w:rsid w:val="000736B5"/>
    <w:rsid w:val="00074783"/>
    <w:rsid w:val="00074C03"/>
    <w:rsid w:val="00076149"/>
    <w:rsid w:val="0007643A"/>
    <w:rsid w:val="00076ACF"/>
    <w:rsid w:val="0008070B"/>
    <w:rsid w:val="000810AC"/>
    <w:rsid w:val="00081A02"/>
    <w:rsid w:val="00082231"/>
    <w:rsid w:val="00082F28"/>
    <w:rsid w:val="00084054"/>
    <w:rsid w:val="00084C88"/>
    <w:rsid w:val="00085C9C"/>
    <w:rsid w:val="000863F0"/>
    <w:rsid w:val="000869A9"/>
    <w:rsid w:val="00090271"/>
    <w:rsid w:val="00090387"/>
    <w:rsid w:val="000911A0"/>
    <w:rsid w:val="00091635"/>
    <w:rsid w:val="00092D38"/>
    <w:rsid w:val="0009377B"/>
    <w:rsid w:val="0009506B"/>
    <w:rsid w:val="00096621"/>
    <w:rsid w:val="00096B42"/>
    <w:rsid w:val="00096B53"/>
    <w:rsid w:val="0009727E"/>
    <w:rsid w:val="00097FFC"/>
    <w:rsid w:val="000A10ED"/>
    <w:rsid w:val="000A20C9"/>
    <w:rsid w:val="000B058F"/>
    <w:rsid w:val="000B2074"/>
    <w:rsid w:val="000B28BC"/>
    <w:rsid w:val="000B3174"/>
    <w:rsid w:val="000B4467"/>
    <w:rsid w:val="000B4ACC"/>
    <w:rsid w:val="000B4DB9"/>
    <w:rsid w:val="000B5050"/>
    <w:rsid w:val="000B616C"/>
    <w:rsid w:val="000C074F"/>
    <w:rsid w:val="000C09AC"/>
    <w:rsid w:val="000C1679"/>
    <w:rsid w:val="000C2A0B"/>
    <w:rsid w:val="000C2B0C"/>
    <w:rsid w:val="000C3465"/>
    <w:rsid w:val="000C767F"/>
    <w:rsid w:val="000D13AC"/>
    <w:rsid w:val="000D1686"/>
    <w:rsid w:val="000D1DD0"/>
    <w:rsid w:val="000D357D"/>
    <w:rsid w:val="000D364A"/>
    <w:rsid w:val="000D4EA2"/>
    <w:rsid w:val="000D5A44"/>
    <w:rsid w:val="000D6770"/>
    <w:rsid w:val="000D7716"/>
    <w:rsid w:val="000E05E1"/>
    <w:rsid w:val="000E0C51"/>
    <w:rsid w:val="000E0DE3"/>
    <w:rsid w:val="000E1998"/>
    <w:rsid w:val="000E38F3"/>
    <w:rsid w:val="000E3ED2"/>
    <w:rsid w:val="000E54F1"/>
    <w:rsid w:val="000E60D2"/>
    <w:rsid w:val="000E66CA"/>
    <w:rsid w:val="000E7396"/>
    <w:rsid w:val="000F05A2"/>
    <w:rsid w:val="000F399B"/>
    <w:rsid w:val="000F424F"/>
    <w:rsid w:val="000F458C"/>
    <w:rsid w:val="000F4DB3"/>
    <w:rsid w:val="000F6716"/>
    <w:rsid w:val="000F789E"/>
    <w:rsid w:val="0010212C"/>
    <w:rsid w:val="001038BB"/>
    <w:rsid w:val="00103959"/>
    <w:rsid w:val="0010551A"/>
    <w:rsid w:val="00107999"/>
    <w:rsid w:val="00107BD4"/>
    <w:rsid w:val="001119F1"/>
    <w:rsid w:val="00111E5F"/>
    <w:rsid w:val="0011309F"/>
    <w:rsid w:val="001141D3"/>
    <w:rsid w:val="001142DB"/>
    <w:rsid w:val="00114F4A"/>
    <w:rsid w:val="00116BDF"/>
    <w:rsid w:val="0012468C"/>
    <w:rsid w:val="00124C1F"/>
    <w:rsid w:val="00124CB8"/>
    <w:rsid w:val="001254BE"/>
    <w:rsid w:val="00126F9C"/>
    <w:rsid w:val="0013086C"/>
    <w:rsid w:val="00131E54"/>
    <w:rsid w:val="00131F42"/>
    <w:rsid w:val="00132403"/>
    <w:rsid w:val="00132788"/>
    <w:rsid w:val="001333ED"/>
    <w:rsid w:val="001357F1"/>
    <w:rsid w:val="00140994"/>
    <w:rsid w:val="00140FA8"/>
    <w:rsid w:val="00142CFF"/>
    <w:rsid w:val="00142FEB"/>
    <w:rsid w:val="00143A2D"/>
    <w:rsid w:val="00144CD2"/>
    <w:rsid w:val="00145A41"/>
    <w:rsid w:val="001462B6"/>
    <w:rsid w:val="00147059"/>
    <w:rsid w:val="001477C2"/>
    <w:rsid w:val="00150CA2"/>
    <w:rsid w:val="001511B2"/>
    <w:rsid w:val="00151675"/>
    <w:rsid w:val="00151B81"/>
    <w:rsid w:val="00153BFC"/>
    <w:rsid w:val="001562F7"/>
    <w:rsid w:val="00157435"/>
    <w:rsid w:val="00160BCC"/>
    <w:rsid w:val="001614DA"/>
    <w:rsid w:val="0016176A"/>
    <w:rsid w:val="001643AC"/>
    <w:rsid w:val="00164C9A"/>
    <w:rsid w:val="0016700C"/>
    <w:rsid w:val="00167173"/>
    <w:rsid w:val="00172DA1"/>
    <w:rsid w:val="0017303F"/>
    <w:rsid w:val="00174743"/>
    <w:rsid w:val="00174984"/>
    <w:rsid w:val="0017504D"/>
    <w:rsid w:val="00175F95"/>
    <w:rsid w:val="0017671A"/>
    <w:rsid w:val="00176747"/>
    <w:rsid w:val="00177422"/>
    <w:rsid w:val="0018127B"/>
    <w:rsid w:val="00181E84"/>
    <w:rsid w:val="0018353E"/>
    <w:rsid w:val="00184470"/>
    <w:rsid w:val="00184590"/>
    <w:rsid w:val="00185686"/>
    <w:rsid w:val="001870D1"/>
    <w:rsid w:val="0018768E"/>
    <w:rsid w:val="0018781E"/>
    <w:rsid w:val="00187E68"/>
    <w:rsid w:val="00190FD3"/>
    <w:rsid w:val="0019262D"/>
    <w:rsid w:val="001927A6"/>
    <w:rsid w:val="00192806"/>
    <w:rsid w:val="00192C37"/>
    <w:rsid w:val="00192CD0"/>
    <w:rsid w:val="00193352"/>
    <w:rsid w:val="001933CE"/>
    <w:rsid w:val="0019423C"/>
    <w:rsid w:val="001956E6"/>
    <w:rsid w:val="00195D4B"/>
    <w:rsid w:val="0019765C"/>
    <w:rsid w:val="001A00FD"/>
    <w:rsid w:val="001A1B35"/>
    <w:rsid w:val="001A1EC9"/>
    <w:rsid w:val="001A48A2"/>
    <w:rsid w:val="001A57DC"/>
    <w:rsid w:val="001A585F"/>
    <w:rsid w:val="001A5F94"/>
    <w:rsid w:val="001A6F61"/>
    <w:rsid w:val="001B0DAA"/>
    <w:rsid w:val="001B107F"/>
    <w:rsid w:val="001B18D2"/>
    <w:rsid w:val="001B37BA"/>
    <w:rsid w:val="001B5A01"/>
    <w:rsid w:val="001B6ECF"/>
    <w:rsid w:val="001B72B8"/>
    <w:rsid w:val="001B73FD"/>
    <w:rsid w:val="001C0446"/>
    <w:rsid w:val="001C28A5"/>
    <w:rsid w:val="001C374C"/>
    <w:rsid w:val="001C5650"/>
    <w:rsid w:val="001C67B8"/>
    <w:rsid w:val="001C6898"/>
    <w:rsid w:val="001C69B3"/>
    <w:rsid w:val="001C6BF8"/>
    <w:rsid w:val="001D07ED"/>
    <w:rsid w:val="001D1000"/>
    <w:rsid w:val="001D47B3"/>
    <w:rsid w:val="001D5280"/>
    <w:rsid w:val="001D5595"/>
    <w:rsid w:val="001D7874"/>
    <w:rsid w:val="001D7F22"/>
    <w:rsid w:val="001E04F8"/>
    <w:rsid w:val="001E3B18"/>
    <w:rsid w:val="001E57F0"/>
    <w:rsid w:val="001E6C92"/>
    <w:rsid w:val="001E6E8D"/>
    <w:rsid w:val="001F0F17"/>
    <w:rsid w:val="001F25D0"/>
    <w:rsid w:val="001F2D20"/>
    <w:rsid w:val="001F3347"/>
    <w:rsid w:val="001F69E4"/>
    <w:rsid w:val="001F7E8C"/>
    <w:rsid w:val="002016EE"/>
    <w:rsid w:val="00202C9A"/>
    <w:rsid w:val="00204AE8"/>
    <w:rsid w:val="0020789F"/>
    <w:rsid w:val="002125B4"/>
    <w:rsid w:val="002137C2"/>
    <w:rsid w:val="00213E5C"/>
    <w:rsid w:val="00214FA7"/>
    <w:rsid w:val="002155B8"/>
    <w:rsid w:val="0021573D"/>
    <w:rsid w:val="00216389"/>
    <w:rsid w:val="00220D67"/>
    <w:rsid w:val="00220F24"/>
    <w:rsid w:val="00220F41"/>
    <w:rsid w:val="00221F6F"/>
    <w:rsid w:val="0022231D"/>
    <w:rsid w:val="00223483"/>
    <w:rsid w:val="00223AC1"/>
    <w:rsid w:val="00224839"/>
    <w:rsid w:val="00224858"/>
    <w:rsid w:val="002249B2"/>
    <w:rsid w:val="00225EF9"/>
    <w:rsid w:val="0022621A"/>
    <w:rsid w:val="00226574"/>
    <w:rsid w:val="002265D3"/>
    <w:rsid w:val="0022680C"/>
    <w:rsid w:val="002278EC"/>
    <w:rsid w:val="00230355"/>
    <w:rsid w:val="00230952"/>
    <w:rsid w:val="0023280E"/>
    <w:rsid w:val="002331C1"/>
    <w:rsid w:val="00233360"/>
    <w:rsid w:val="00236784"/>
    <w:rsid w:val="002377D1"/>
    <w:rsid w:val="002400BE"/>
    <w:rsid w:val="00240560"/>
    <w:rsid w:val="0024154A"/>
    <w:rsid w:val="002442FC"/>
    <w:rsid w:val="0024488B"/>
    <w:rsid w:val="00246745"/>
    <w:rsid w:val="00246925"/>
    <w:rsid w:val="002477C1"/>
    <w:rsid w:val="00247969"/>
    <w:rsid w:val="002506BC"/>
    <w:rsid w:val="00250D6F"/>
    <w:rsid w:val="002513F7"/>
    <w:rsid w:val="00251E46"/>
    <w:rsid w:val="002520B3"/>
    <w:rsid w:val="00252899"/>
    <w:rsid w:val="00254345"/>
    <w:rsid w:val="002559DE"/>
    <w:rsid w:val="00255D41"/>
    <w:rsid w:val="00255EF6"/>
    <w:rsid w:val="002612D3"/>
    <w:rsid w:val="002626E7"/>
    <w:rsid w:val="00262755"/>
    <w:rsid w:val="00264557"/>
    <w:rsid w:val="002655B9"/>
    <w:rsid w:val="0026649A"/>
    <w:rsid w:val="00267050"/>
    <w:rsid w:val="00267FB4"/>
    <w:rsid w:val="00270293"/>
    <w:rsid w:val="0027129C"/>
    <w:rsid w:val="00272B43"/>
    <w:rsid w:val="0027584C"/>
    <w:rsid w:val="00276DB2"/>
    <w:rsid w:val="0027743F"/>
    <w:rsid w:val="002805AB"/>
    <w:rsid w:val="00282BB9"/>
    <w:rsid w:val="00284204"/>
    <w:rsid w:val="00286224"/>
    <w:rsid w:val="00286243"/>
    <w:rsid w:val="00286864"/>
    <w:rsid w:val="00287298"/>
    <w:rsid w:val="002908CE"/>
    <w:rsid w:val="002915F7"/>
    <w:rsid w:val="00291773"/>
    <w:rsid w:val="00292127"/>
    <w:rsid w:val="0029229D"/>
    <w:rsid w:val="002925F9"/>
    <w:rsid w:val="002942DF"/>
    <w:rsid w:val="002953D2"/>
    <w:rsid w:val="002956C3"/>
    <w:rsid w:val="00296FC8"/>
    <w:rsid w:val="00297655"/>
    <w:rsid w:val="002978B0"/>
    <w:rsid w:val="00297B95"/>
    <w:rsid w:val="002A0C0D"/>
    <w:rsid w:val="002A168C"/>
    <w:rsid w:val="002A2F32"/>
    <w:rsid w:val="002A3DC7"/>
    <w:rsid w:val="002A4594"/>
    <w:rsid w:val="002B1658"/>
    <w:rsid w:val="002B4188"/>
    <w:rsid w:val="002B49E2"/>
    <w:rsid w:val="002B56C5"/>
    <w:rsid w:val="002B63EF"/>
    <w:rsid w:val="002B6495"/>
    <w:rsid w:val="002B6964"/>
    <w:rsid w:val="002B6B23"/>
    <w:rsid w:val="002B6D23"/>
    <w:rsid w:val="002B7B00"/>
    <w:rsid w:val="002B7C44"/>
    <w:rsid w:val="002C1083"/>
    <w:rsid w:val="002C2B17"/>
    <w:rsid w:val="002C3956"/>
    <w:rsid w:val="002C6873"/>
    <w:rsid w:val="002C6B4B"/>
    <w:rsid w:val="002C722C"/>
    <w:rsid w:val="002D0B07"/>
    <w:rsid w:val="002D3ABF"/>
    <w:rsid w:val="002D3DD0"/>
    <w:rsid w:val="002D53A3"/>
    <w:rsid w:val="002E1F3A"/>
    <w:rsid w:val="002E1F72"/>
    <w:rsid w:val="002E23D0"/>
    <w:rsid w:val="002E298A"/>
    <w:rsid w:val="002E40A4"/>
    <w:rsid w:val="002E4298"/>
    <w:rsid w:val="002E5C84"/>
    <w:rsid w:val="002E6DCD"/>
    <w:rsid w:val="002F114B"/>
    <w:rsid w:val="002F157E"/>
    <w:rsid w:val="002F2666"/>
    <w:rsid w:val="002F4536"/>
    <w:rsid w:val="002F6190"/>
    <w:rsid w:val="002F631B"/>
    <w:rsid w:val="00301978"/>
    <w:rsid w:val="00301D3C"/>
    <w:rsid w:val="00301F2D"/>
    <w:rsid w:val="00301FC5"/>
    <w:rsid w:val="00302523"/>
    <w:rsid w:val="0030332C"/>
    <w:rsid w:val="00304509"/>
    <w:rsid w:val="003051C2"/>
    <w:rsid w:val="00305646"/>
    <w:rsid w:val="0030584C"/>
    <w:rsid w:val="00310013"/>
    <w:rsid w:val="00310883"/>
    <w:rsid w:val="00311C18"/>
    <w:rsid w:val="00312296"/>
    <w:rsid w:val="0031323C"/>
    <w:rsid w:val="00313AF0"/>
    <w:rsid w:val="00314348"/>
    <w:rsid w:val="00314BA0"/>
    <w:rsid w:val="00314F0E"/>
    <w:rsid w:val="0031538A"/>
    <w:rsid w:val="00317FF6"/>
    <w:rsid w:val="00321D8E"/>
    <w:rsid w:val="0032209F"/>
    <w:rsid w:val="003246E9"/>
    <w:rsid w:val="00325928"/>
    <w:rsid w:val="00332863"/>
    <w:rsid w:val="00333A2A"/>
    <w:rsid w:val="00333E52"/>
    <w:rsid w:val="003346D1"/>
    <w:rsid w:val="00334DD9"/>
    <w:rsid w:val="00336532"/>
    <w:rsid w:val="0033684D"/>
    <w:rsid w:val="00337B42"/>
    <w:rsid w:val="00340356"/>
    <w:rsid w:val="00341B42"/>
    <w:rsid w:val="00342EF7"/>
    <w:rsid w:val="0034348F"/>
    <w:rsid w:val="003441D3"/>
    <w:rsid w:val="00344E62"/>
    <w:rsid w:val="00345F68"/>
    <w:rsid w:val="0034657E"/>
    <w:rsid w:val="003479FF"/>
    <w:rsid w:val="0035006D"/>
    <w:rsid w:val="0035426A"/>
    <w:rsid w:val="00356419"/>
    <w:rsid w:val="00356653"/>
    <w:rsid w:val="00356738"/>
    <w:rsid w:val="0035677C"/>
    <w:rsid w:val="0035743F"/>
    <w:rsid w:val="00357BE2"/>
    <w:rsid w:val="00360548"/>
    <w:rsid w:val="0036170C"/>
    <w:rsid w:val="0036436D"/>
    <w:rsid w:val="003650B8"/>
    <w:rsid w:val="00365DE0"/>
    <w:rsid w:val="003660BA"/>
    <w:rsid w:val="00366E0F"/>
    <w:rsid w:val="0037093A"/>
    <w:rsid w:val="0037188E"/>
    <w:rsid w:val="00371BED"/>
    <w:rsid w:val="00372779"/>
    <w:rsid w:val="00372EED"/>
    <w:rsid w:val="00374137"/>
    <w:rsid w:val="00374504"/>
    <w:rsid w:val="003752FC"/>
    <w:rsid w:val="0038187D"/>
    <w:rsid w:val="00381A72"/>
    <w:rsid w:val="00382D53"/>
    <w:rsid w:val="00383143"/>
    <w:rsid w:val="00384676"/>
    <w:rsid w:val="00385DBA"/>
    <w:rsid w:val="00385E0C"/>
    <w:rsid w:val="00390857"/>
    <w:rsid w:val="00391151"/>
    <w:rsid w:val="00391B15"/>
    <w:rsid w:val="00393593"/>
    <w:rsid w:val="0039433E"/>
    <w:rsid w:val="00395CF8"/>
    <w:rsid w:val="00396A50"/>
    <w:rsid w:val="00397766"/>
    <w:rsid w:val="00397885"/>
    <w:rsid w:val="003A1C65"/>
    <w:rsid w:val="003A3009"/>
    <w:rsid w:val="003A4BF3"/>
    <w:rsid w:val="003A6A1A"/>
    <w:rsid w:val="003A77A5"/>
    <w:rsid w:val="003A78A5"/>
    <w:rsid w:val="003B1A09"/>
    <w:rsid w:val="003B420D"/>
    <w:rsid w:val="003B576E"/>
    <w:rsid w:val="003B6897"/>
    <w:rsid w:val="003B6F52"/>
    <w:rsid w:val="003B7E24"/>
    <w:rsid w:val="003B7EE1"/>
    <w:rsid w:val="003C2679"/>
    <w:rsid w:val="003C2CB1"/>
    <w:rsid w:val="003C3301"/>
    <w:rsid w:val="003C524E"/>
    <w:rsid w:val="003C656D"/>
    <w:rsid w:val="003C682F"/>
    <w:rsid w:val="003C6C16"/>
    <w:rsid w:val="003D2B85"/>
    <w:rsid w:val="003D2F4B"/>
    <w:rsid w:val="003D31CE"/>
    <w:rsid w:val="003D67D0"/>
    <w:rsid w:val="003D794D"/>
    <w:rsid w:val="003E01C2"/>
    <w:rsid w:val="003E0340"/>
    <w:rsid w:val="003E1043"/>
    <w:rsid w:val="003E26BB"/>
    <w:rsid w:val="003E3058"/>
    <w:rsid w:val="003E40E7"/>
    <w:rsid w:val="003E453E"/>
    <w:rsid w:val="003E54FF"/>
    <w:rsid w:val="003E616D"/>
    <w:rsid w:val="003E64FE"/>
    <w:rsid w:val="003E76A9"/>
    <w:rsid w:val="003F03F3"/>
    <w:rsid w:val="003F0809"/>
    <w:rsid w:val="003F10E1"/>
    <w:rsid w:val="003F1C34"/>
    <w:rsid w:val="003F2034"/>
    <w:rsid w:val="003F2192"/>
    <w:rsid w:val="003F24AE"/>
    <w:rsid w:val="003F2FFF"/>
    <w:rsid w:val="003F43E9"/>
    <w:rsid w:val="003F49F0"/>
    <w:rsid w:val="003F4B39"/>
    <w:rsid w:val="003F6A8C"/>
    <w:rsid w:val="003F755C"/>
    <w:rsid w:val="004004C4"/>
    <w:rsid w:val="004006EF"/>
    <w:rsid w:val="00406CB6"/>
    <w:rsid w:val="00406F01"/>
    <w:rsid w:val="00407758"/>
    <w:rsid w:val="00407DF6"/>
    <w:rsid w:val="00410F19"/>
    <w:rsid w:val="0041252D"/>
    <w:rsid w:val="00412FAC"/>
    <w:rsid w:val="004134CD"/>
    <w:rsid w:val="00413ECC"/>
    <w:rsid w:val="00416B2E"/>
    <w:rsid w:val="00416D50"/>
    <w:rsid w:val="00416FD5"/>
    <w:rsid w:val="004173CB"/>
    <w:rsid w:val="00417772"/>
    <w:rsid w:val="00420E6A"/>
    <w:rsid w:val="00421BEA"/>
    <w:rsid w:val="00423B16"/>
    <w:rsid w:val="004246F4"/>
    <w:rsid w:val="00425995"/>
    <w:rsid w:val="00425A9E"/>
    <w:rsid w:val="0042642B"/>
    <w:rsid w:val="00426D57"/>
    <w:rsid w:val="00426D6B"/>
    <w:rsid w:val="00427822"/>
    <w:rsid w:val="0043058F"/>
    <w:rsid w:val="004305C3"/>
    <w:rsid w:val="004305C5"/>
    <w:rsid w:val="0043190A"/>
    <w:rsid w:val="00431E6C"/>
    <w:rsid w:val="00432ED1"/>
    <w:rsid w:val="004333C0"/>
    <w:rsid w:val="00433CE7"/>
    <w:rsid w:val="0043699C"/>
    <w:rsid w:val="004369D6"/>
    <w:rsid w:val="00437F69"/>
    <w:rsid w:val="0044099A"/>
    <w:rsid w:val="00440F50"/>
    <w:rsid w:val="0044131C"/>
    <w:rsid w:val="004474AB"/>
    <w:rsid w:val="0044770D"/>
    <w:rsid w:val="00447FAF"/>
    <w:rsid w:val="00450292"/>
    <w:rsid w:val="00451010"/>
    <w:rsid w:val="00452738"/>
    <w:rsid w:val="004547C8"/>
    <w:rsid w:val="004558DC"/>
    <w:rsid w:val="00455994"/>
    <w:rsid w:val="00455A99"/>
    <w:rsid w:val="00455D23"/>
    <w:rsid w:val="00456091"/>
    <w:rsid w:val="004560D4"/>
    <w:rsid w:val="00456359"/>
    <w:rsid w:val="00456FDA"/>
    <w:rsid w:val="004575BE"/>
    <w:rsid w:val="004602D8"/>
    <w:rsid w:val="00461FCF"/>
    <w:rsid w:val="00466321"/>
    <w:rsid w:val="0047054B"/>
    <w:rsid w:val="00470D3C"/>
    <w:rsid w:val="00470DDD"/>
    <w:rsid w:val="0047271B"/>
    <w:rsid w:val="00472BEA"/>
    <w:rsid w:val="004746FD"/>
    <w:rsid w:val="00474F81"/>
    <w:rsid w:val="0047602C"/>
    <w:rsid w:val="00476322"/>
    <w:rsid w:val="004779BA"/>
    <w:rsid w:val="00480695"/>
    <w:rsid w:val="00483989"/>
    <w:rsid w:val="00483B39"/>
    <w:rsid w:val="004843CB"/>
    <w:rsid w:val="00484B9B"/>
    <w:rsid w:val="004855F6"/>
    <w:rsid w:val="0048661E"/>
    <w:rsid w:val="0049045A"/>
    <w:rsid w:val="0049161A"/>
    <w:rsid w:val="00492190"/>
    <w:rsid w:val="00492C23"/>
    <w:rsid w:val="0049361C"/>
    <w:rsid w:val="004937A8"/>
    <w:rsid w:val="004938A1"/>
    <w:rsid w:val="0049415A"/>
    <w:rsid w:val="00494670"/>
    <w:rsid w:val="00494747"/>
    <w:rsid w:val="0049601B"/>
    <w:rsid w:val="004961C9"/>
    <w:rsid w:val="00496327"/>
    <w:rsid w:val="004A05D7"/>
    <w:rsid w:val="004A0E4C"/>
    <w:rsid w:val="004A0F8B"/>
    <w:rsid w:val="004A1E53"/>
    <w:rsid w:val="004A3502"/>
    <w:rsid w:val="004A3823"/>
    <w:rsid w:val="004A534F"/>
    <w:rsid w:val="004A6FBB"/>
    <w:rsid w:val="004B17DE"/>
    <w:rsid w:val="004B5CEA"/>
    <w:rsid w:val="004B6CEE"/>
    <w:rsid w:val="004B6E81"/>
    <w:rsid w:val="004B736A"/>
    <w:rsid w:val="004B7C16"/>
    <w:rsid w:val="004C075B"/>
    <w:rsid w:val="004C2759"/>
    <w:rsid w:val="004C45C5"/>
    <w:rsid w:val="004C4E76"/>
    <w:rsid w:val="004D07D7"/>
    <w:rsid w:val="004D0EAE"/>
    <w:rsid w:val="004D116D"/>
    <w:rsid w:val="004D4A52"/>
    <w:rsid w:val="004E02DE"/>
    <w:rsid w:val="004E0FDB"/>
    <w:rsid w:val="004E6946"/>
    <w:rsid w:val="004E7787"/>
    <w:rsid w:val="004E7EEE"/>
    <w:rsid w:val="004F024C"/>
    <w:rsid w:val="004F1332"/>
    <w:rsid w:val="004F1AD8"/>
    <w:rsid w:val="004F1BFD"/>
    <w:rsid w:val="004F2C1A"/>
    <w:rsid w:val="004F3082"/>
    <w:rsid w:val="004F5F1D"/>
    <w:rsid w:val="004F7A43"/>
    <w:rsid w:val="0050023D"/>
    <w:rsid w:val="005013CA"/>
    <w:rsid w:val="00502863"/>
    <w:rsid w:val="005039CB"/>
    <w:rsid w:val="00504C29"/>
    <w:rsid w:val="00504CB9"/>
    <w:rsid w:val="0050558F"/>
    <w:rsid w:val="00505687"/>
    <w:rsid w:val="00506286"/>
    <w:rsid w:val="00506F65"/>
    <w:rsid w:val="00510813"/>
    <w:rsid w:val="00510F75"/>
    <w:rsid w:val="00511990"/>
    <w:rsid w:val="00511DE0"/>
    <w:rsid w:val="005120F9"/>
    <w:rsid w:val="0051454D"/>
    <w:rsid w:val="00514870"/>
    <w:rsid w:val="00514984"/>
    <w:rsid w:val="00514B9B"/>
    <w:rsid w:val="00517921"/>
    <w:rsid w:val="00517F02"/>
    <w:rsid w:val="00520D2D"/>
    <w:rsid w:val="00521CAD"/>
    <w:rsid w:val="00522102"/>
    <w:rsid w:val="005225DD"/>
    <w:rsid w:val="00524303"/>
    <w:rsid w:val="005258A2"/>
    <w:rsid w:val="00527CDD"/>
    <w:rsid w:val="005322BE"/>
    <w:rsid w:val="005332F2"/>
    <w:rsid w:val="00533B12"/>
    <w:rsid w:val="00537161"/>
    <w:rsid w:val="005375DF"/>
    <w:rsid w:val="005401AE"/>
    <w:rsid w:val="00541317"/>
    <w:rsid w:val="00542E07"/>
    <w:rsid w:val="00545424"/>
    <w:rsid w:val="00545D0C"/>
    <w:rsid w:val="00545E85"/>
    <w:rsid w:val="005502CF"/>
    <w:rsid w:val="00554A7B"/>
    <w:rsid w:val="0055572C"/>
    <w:rsid w:val="00555F4F"/>
    <w:rsid w:val="0056106A"/>
    <w:rsid w:val="005614BD"/>
    <w:rsid w:val="00562758"/>
    <w:rsid w:val="00562843"/>
    <w:rsid w:val="00563C3F"/>
    <w:rsid w:val="00564206"/>
    <w:rsid w:val="00571105"/>
    <w:rsid w:val="005720AE"/>
    <w:rsid w:val="00572276"/>
    <w:rsid w:val="0057564B"/>
    <w:rsid w:val="00575662"/>
    <w:rsid w:val="005771E6"/>
    <w:rsid w:val="00582C24"/>
    <w:rsid w:val="00582DBD"/>
    <w:rsid w:val="005839E3"/>
    <w:rsid w:val="00586F9C"/>
    <w:rsid w:val="005901C8"/>
    <w:rsid w:val="005901DE"/>
    <w:rsid w:val="005921FB"/>
    <w:rsid w:val="00594D77"/>
    <w:rsid w:val="00595075"/>
    <w:rsid w:val="005957A6"/>
    <w:rsid w:val="005965D8"/>
    <w:rsid w:val="005969E4"/>
    <w:rsid w:val="005A06B7"/>
    <w:rsid w:val="005A09AC"/>
    <w:rsid w:val="005A1759"/>
    <w:rsid w:val="005A2924"/>
    <w:rsid w:val="005A5419"/>
    <w:rsid w:val="005A68A7"/>
    <w:rsid w:val="005A7B69"/>
    <w:rsid w:val="005B111B"/>
    <w:rsid w:val="005B16C6"/>
    <w:rsid w:val="005B388F"/>
    <w:rsid w:val="005B4CC4"/>
    <w:rsid w:val="005B51DF"/>
    <w:rsid w:val="005B7E8F"/>
    <w:rsid w:val="005C06E9"/>
    <w:rsid w:val="005C103B"/>
    <w:rsid w:val="005C1517"/>
    <w:rsid w:val="005C1580"/>
    <w:rsid w:val="005C3EA0"/>
    <w:rsid w:val="005C636A"/>
    <w:rsid w:val="005D15E4"/>
    <w:rsid w:val="005D2B04"/>
    <w:rsid w:val="005D36AB"/>
    <w:rsid w:val="005D4ECB"/>
    <w:rsid w:val="005D6120"/>
    <w:rsid w:val="005D65F3"/>
    <w:rsid w:val="005D6B97"/>
    <w:rsid w:val="005E123E"/>
    <w:rsid w:val="005E2D62"/>
    <w:rsid w:val="005E3715"/>
    <w:rsid w:val="005E4274"/>
    <w:rsid w:val="005F1AC6"/>
    <w:rsid w:val="005F22BC"/>
    <w:rsid w:val="00600593"/>
    <w:rsid w:val="00600726"/>
    <w:rsid w:val="00600847"/>
    <w:rsid w:val="00602D90"/>
    <w:rsid w:val="00604355"/>
    <w:rsid w:val="006047C2"/>
    <w:rsid w:val="006077DC"/>
    <w:rsid w:val="00612208"/>
    <w:rsid w:val="006171BA"/>
    <w:rsid w:val="00617511"/>
    <w:rsid w:val="00617CBF"/>
    <w:rsid w:val="00617CC3"/>
    <w:rsid w:val="006205FE"/>
    <w:rsid w:val="00620A17"/>
    <w:rsid w:val="006216F3"/>
    <w:rsid w:val="00621EF5"/>
    <w:rsid w:val="00622020"/>
    <w:rsid w:val="006236D8"/>
    <w:rsid w:val="0062418D"/>
    <w:rsid w:val="00625527"/>
    <w:rsid w:val="00625719"/>
    <w:rsid w:val="006260FD"/>
    <w:rsid w:val="00626445"/>
    <w:rsid w:val="0063031E"/>
    <w:rsid w:val="00632FA7"/>
    <w:rsid w:val="0063372F"/>
    <w:rsid w:val="00634EE9"/>
    <w:rsid w:val="0063561E"/>
    <w:rsid w:val="00636392"/>
    <w:rsid w:val="006377A6"/>
    <w:rsid w:val="00637A3D"/>
    <w:rsid w:val="00637C21"/>
    <w:rsid w:val="00640790"/>
    <w:rsid w:val="006411EF"/>
    <w:rsid w:val="00645FA5"/>
    <w:rsid w:val="00646318"/>
    <w:rsid w:val="006506DE"/>
    <w:rsid w:val="00650957"/>
    <w:rsid w:val="006532BD"/>
    <w:rsid w:val="0065383A"/>
    <w:rsid w:val="00653B0F"/>
    <w:rsid w:val="00655BFB"/>
    <w:rsid w:val="00656C45"/>
    <w:rsid w:val="00657237"/>
    <w:rsid w:val="00660365"/>
    <w:rsid w:val="006604E3"/>
    <w:rsid w:val="00660F89"/>
    <w:rsid w:val="00661175"/>
    <w:rsid w:val="00661787"/>
    <w:rsid w:val="00662F66"/>
    <w:rsid w:val="0066580F"/>
    <w:rsid w:val="00666F73"/>
    <w:rsid w:val="0066798A"/>
    <w:rsid w:val="00671DAD"/>
    <w:rsid w:val="00672A13"/>
    <w:rsid w:val="0067309C"/>
    <w:rsid w:val="006748B8"/>
    <w:rsid w:val="00676B7C"/>
    <w:rsid w:val="006775C3"/>
    <w:rsid w:val="00677719"/>
    <w:rsid w:val="00680DED"/>
    <w:rsid w:val="00681C0C"/>
    <w:rsid w:val="006834C4"/>
    <w:rsid w:val="00685EE2"/>
    <w:rsid w:val="0068615C"/>
    <w:rsid w:val="006861F1"/>
    <w:rsid w:val="006913E2"/>
    <w:rsid w:val="006918C4"/>
    <w:rsid w:val="0069290A"/>
    <w:rsid w:val="00692C5B"/>
    <w:rsid w:val="00695ADD"/>
    <w:rsid w:val="0069723E"/>
    <w:rsid w:val="0069775A"/>
    <w:rsid w:val="00697813"/>
    <w:rsid w:val="006A00CC"/>
    <w:rsid w:val="006A0470"/>
    <w:rsid w:val="006A3435"/>
    <w:rsid w:val="006A3EE8"/>
    <w:rsid w:val="006A3FE7"/>
    <w:rsid w:val="006A6FEB"/>
    <w:rsid w:val="006A7042"/>
    <w:rsid w:val="006A72BF"/>
    <w:rsid w:val="006B03F2"/>
    <w:rsid w:val="006B070B"/>
    <w:rsid w:val="006B2918"/>
    <w:rsid w:val="006B37DC"/>
    <w:rsid w:val="006B3C61"/>
    <w:rsid w:val="006B4F68"/>
    <w:rsid w:val="006B52E0"/>
    <w:rsid w:val="006B5B05"/>
    <w:rsid w:val="006B5B99"/>
    <w:rsid w:val="006B6346"/>
    <w:rsid w:val="006B67A5"/>
    <w:rsid w:val="006B69A0"/>
    <w:rsid w:val="006B6B01"/>
    <w:rsid w:val="006C0592"/>
    <w:rsid w:val="006C0EF8"/>
    <w:rsid w:val="006C272E"/>
    <w:rsid w:val="006C35B0"/>
    <w:rsid w:val="006C36EE"/>
    <w:rsid w:val="006C3894"/>
    <w:rsid w:val="006C398C"/>
    <w:rsid w:val="006C4557"/>
    <w:rsid w:val="006C5479"/>
    <w:rsid w:val="006C73F7"/>
    <w:rsid w:val="006D09B4"/>
    <w:rsid w:val="006D13B5"/>
    <w:rsid w:val="006D1884"/>
    <w:rsid w:val="006D1F41"/>
    <w:rsid w:val="006D2D5E"/>
    <w:rsid w:val="006D31AB"/>
    <w:rsid w:val="006D39CD"/>
    <w:rsid w:val="006D5E2E"/>
    <w:rsid w:val="006E0CE7"/>
    <w:rsid w:val="006E0F2D"/>
    <w:rsid w:val="006E12FF"/>
    <w:rsid w:val="006E1CD1"/>
    <w:rsid w:val="006E2F4F"/>
    <w:rsid w:val="006E3C36"/>
    <w:rsid w:val="006E5ADB"/>
    <w:rsid w:val="006E607E"/>
    <w:rsid w:val="006E68F7"/>
    <w:rsid w:val="006E7369"/>
    <w:rsid w:val="006E7848"/>
    <w:rsid w:val="006F0293"/>
    <w:rsid w:val="006F1F73"/>
    <w:rsid w:val="006F2BCC"/>
    <w:rsid w:val="006F3EE8"/>
    <w:rsid w:val="006F4B9E"/>
    <w:rsid w:val="00701E48"/>
    <w:rsid w:val="0070264F"/>
    <w:rsid w:val="00703280"/>
    <w:rsid w:val="00703F19"/>
    <w:rsid w:val="00705F3D"/>
    <w:rsid w:val="00706C5D"/>
    <w:rsid w:val="007078F1"/>
    <w:rsid w:val="00711615"/>
    <w:rsid w:val="0071161F"/>
    <w:rsid w:val="00715297"/>
    <w:rsid w:val="00715826"/>
    <w:rsid w:val="00717620"/>
    <w:rsid w:val="00717CBA"/>
    <w:rsid w:val="00720D52"/>
    <w:rsid w:val="00721548"/>
    <w:rsid w:val="00721696"/>
    <w:rsid w:val="007226E0"/>
    <w:rsid w:val="00724953"/>
    <w:rsid w:val="00730C0D"/>
    <w:rsid w:val="00731612"/>
    <w:rsid w:val="00732922"/>
    <w:rsid w:val="007359CC"/>
    <w:rsid w:val="007417A2"/>
    <w:rsid w:val="007417CC"/>
    <w:rsid w:val="0075049E"/>
    <w:rsid w:val="00750BF1"/>
    <w:rsid w:val="00750C20"/>
    <w:rsid w:val="0075104D"/>
    <w:rsid w:val="0075162E"/>
    <w:rsid w:val="007523A0"/>
    <w:rsid w:val="00753C6D"/>
    <w:rsid w:val="00753EC3"/>
    <w:rsid w:val="00754034"/>
    <w:rsid w:val="00754918"/>
    <w:rsid w:val="00755876"/>
    <w:rsid w:val="00756556"/>
    <w:rsid w:val="00760E7E"/>
    <w:rsid w:val="007618C4"/>
    <w:rsid w:val="007619DC"/>
    <w:rsid w:val="00764D3F"/>
    <w:rsid w:val="00765038"/>
    <w:rsid w:val="00765907"/>
    <w:rsid w:val="00766160"/>
    <w:rsid w:val="00766E58"/>
    <w:rsid w:val="007671E8"/>
    <w:rsid w:val="00767980"/>
    <w:rsid w:val="00767A9D"/>
    <w:rsid w:val="00770562"/>
    <w:rsid w:val="00770B19"/>
    <w:rsid w:val="00770F7C"/>
    <w:rsid w:val="007741EE"/>
    <w:rsid w:val="0077463F"/>
    <w:rsid w:val="00775C7F"/>
    <w:rsid w:val="00780206"/>
    <w:rsid w:val="007802DF"/>
    <w:rsid w:val="00780C7B"/>
    <w:rsid w:val="0078132D"/>
    <w:rsid w:val="00781A30"/>
    <w:rsid w:val="0078234C"/>
    <w:rsid w:val="007828A7"/>
    <w:rsid w:val="007836EA"/>
    <w:rsid w:val="00784CDA"/>
    <w:rsid w:val="007872D9"/>
    <w:rsid w:val="007906C4"/>
    <w:rsid w:val="00790C31"/>
    <w:rsid w:val="007912E5"/>
    <w:rsid w:val="0079292A"/>
    <w:rsid w:val="00793F95"/>
    <w:rsid w:val="007940EA"/>
    <w:rsid w:val="00795BDB"/>
    <w:rsid w:val="00795E98"/>
    <w:rsid w:val="00795FA9"/>
    <w:rsid w:val="007966D7"/>
    <w:rsid w:val="007967E8"/>
    <w:rsid w:val="007A0EAB"/>
    <w:rsid w:val="007A20BA"/>
    <w:rsid w:val="007A2170"/>
    <w:rsid w:val="007A22BF"/>
    <w:rsid w:val="007A2A0D"/>
    <w:rsid w:val="007A318B"/>
    <w:rsid w:val="007A3323"/>
    <w:rsid w:val="007A5570"/>
    <w:rsid w:val="007A6C8B"/>
    <w:rsid w:val="007A6FD9"/>
    <w:rsid w:val="007B1164"/>
    <w:rsid w:val="007B1330"/>
    <w:rsid w:val="007B1416"/>
    <w:rsid w:val="007B1DD8"/>
    <w:rsid w:val="007B348A"/>
    <w:rsid w:val="007B3531"/>
    <w:rsid w:val="007B5173"/>
    <w:rsid w:val="007B5D91"/>
    <w:rsid w:val="007B5E6C"/>
    <w:rsid w:val="007B62B4"/>
    <w:rsid w:val="007B72B8"/>
    <w:rsid w:val="007B7A58"/>
    <w:rsid w:val="007C1F24"/>
    <w:rsid w:val="007C21B5"/>
    <w:rsid w:val="007C3B5D"/>
    <w:rsid w:val="007C4E2C"/>
    <w:rsid w:val="007C7297"/>
    <w:rsid w:val="007C7C58"/>
    <w:rsid w:val="007D01DE"/>
    <w:rsid w:val="007D1A6E"/>
    <w:rsid w:val="007D1B1A"/>
    <w:rsid w:val="007E01E5"/>
    <w:rsid w:val="007E28BB"/>
    <w:rsid w:val="007E3971"/>
    <w:rsid w:val="007E40FA"/>
    <w:rsid w:val="007E4BD2"/>
    <w:rsid w:val="007F2BBB"/>
    <w:rsid w:val="007F3059"/>
    <w:rsid w:val="007F3857"/>
    <w:rsid w:val="007F56BA"/>
    <w:rsid w:val="007F56EC"/>
    <w:rsid w:val="007F5938"/>
    <w:rsid w:val="007F742E"/>
    <w:rsid w:val="007F7FDF"/>
    <w:rsid w:val="008011E2"/>
    <w:rsid w:val="00801393"/>
    <w:rsid w:val="00801F1F"/>
    <w:rsid w:val="0080252A"/>
    <w:rsid w:val="00802F88"/>
    <w:rsid w:val="008030CD"/>
    <w:rsid w:val="0080556B"/>
    <w:rsid w:val="008124B8"/>
    <w:rsid w:val="00812635"/>
    <w:rsid w:val="0081293E"/>
    <w:rsid w:val="00814D61"/>
    <w:rsid w:val="00815465"/>
    <w:rsid w:val="008168C9"/>
    <w:rsid w:val="0081748A"/>
    <w:rsid w:val="00817B6F"/>
    <w:rsid w:val="00817DE6"/>
    <w:rsid w:val="00817E9A"/>
    <w:rsid w:val="00817F5B"/>
    <w:rsid w:val="00820486"/>
    <w:rsid w:val="00820923"/>
    <w:rsid w:val="00824228"/>
    <w:rsid w:val="00825253"/>
    <w:rsid w:val="00826C8D"/>
    <w:rsid w:val="00826D2A"/>
    <w:rsid w:val="00827264"/>
    <w:rsid w:val="008306BD"/>
    <w:rsid w:val="0083190E"/>
    <w:rsid w:val="00831A80"/>
    <w:rsid w:val="00831F0B"/>
    <w:rsid w:val="008336C4"/>
    <w:rsid w:val="00833743"/>
    <w:rsid w:val="008340A4"/>
    <w:rsid w:val="0083459A"/>
    <w:rsid w:val="00834FCA"/>
    <w:rsid w:val="008351B3"/>
    <w:rsid w:val="008357BB"/>
    <w:rsid w:val="008361CD"/>
    <w:rsid w:val="00837805"/>
    <w:rsid w:val="008410D6"/>
    <w:rsid w:val="00841564"/>
    <w:rsid w:val="0084238C"/>
    <w:rsid w:val="00846409"/>
    <w:rsid w:val="00846E97"/>
    <w:rsid w:val="00847E24"/>
    <w:rsid w:val="0085021E"/>
    <w:rsid w:val="008532D2"/>
    <w:rsid w:val="00853AC7"/>
    <w:rsid w:val="008553CE"/>
    <w:rsid w:val="0085601D"/>
    <w:rsid w:val="00857940"/>
    <w:rsid w:val="00857B1E"/>
    <w:rsid w:val="008600BD"/>
    <w:rsid w:val="008601BD"/>
    <w:rsid w:val="00863068"/>
    <w:rsid w:val="00863774"/>
    <w:rsid w:val="008652AF"/>
    <w:rsid w:val="008658BA"/>
    <w:rsid w:val="008673D3"/>
    <w:rsid w:val="0087135F"/>
    <w:rsid w:val="0087163E"/>
    <w:rsid w:val="00872D94"/>
    <w:rsid w:val="00873FF9"/>
    <w:rsid w:val="00874D0F"/>
    <w:rsid w:val="00876767"/>
    <w:rsid w:val="00880364"/>
    <w:rsid w:val="008858B0"/>
    <w:rsid w:val="00886323"/>
    <w:rsid w:val="00886C54"/>
    <w:rsid w:val="008908BF"/>
    <w:rsid w:val="00890B22"/>
    <w:rsid w:val="00891592"/>
    <w:rsid w:val="00891E9E"/>
    <w:rsid w:val="008923F2"/>
    <w:rsid w:val="008A1D82"/>
    <w:rsid w:val="008A2EA2"/>
    <w:rsid w:val="008A2F68"/>
    <w:rsid w:val="008A53BB"/>
    <w:rsid w:val="008A55EB"/>
    <w:rsid w:val="008A5E68"/>
    <w:rsid w:val="008A5F80"/>
    <w:rsid w:val="008A768C"/>
    <w:rsid w:val="008A7B4F"/>
    <w:rsid w:val="008B44F5"/>
    <w:rsid w:val="008B4940"/>
    <w:rsid w:val="008B4FA6"/>
    <w:rsid w:val="008B5282"/>
    <w:rsid w:val="008B6252"/>
    <w:rsid w:val="008B65B0"/>
    <w:rsid w:val="008B7A46"/>
    <w:rsid w:val="008B7C17"/>
    <w:rsid w:val="008C1757"/>
    <w:rsid w:val="008C2D01"/>
    <w:rsid w:val="008C38EE"/>
    <w:rsid w:val="008C40E6"/>
    <w:rsid w:val="008C48B6"/>
    <w:rsid w:val="008C4E74"/>
    <w:rsid w:val="008C7865"/>
    <w:rsid w:val="008D0B91"/>
    <w:rsid w:val="008D0F7A"/>
    <w:rsid w:val="008D6775"/>
    <w:rsid w:val="008D68E4"/>
    <w:rsid w:val="008D7454"/>
    <w:rsid w:val="008D7890"/>
    <w:rsid w:val="008D7AED"/>
    <w:rsid w:val="008D7CD9"/>
    <w:rsid w:val="008E0506"/>
    <w:rsid w:val="008E0CFF"/>
    <w:rsid w:val="008E1A82"/>
    <w:rsid w:val="008E2B93"/>
    <w:rsid w:val="008E382C"/>
    <w:rsid w:val="008E5D6B"/>
    <w:rsid w:val="008E5DC4"/>
    <w:rsid w:val="008E6678"/>
    <w:rsid w:val="008E6AE4"/>
    <w:rsid w:val="008E76F0"/>
    <w:rsid w:val="008F15FE"/>
    <w:rsid w:val="008F270E"/>
    <w:rsid w:val="008F2D29"/>
    <w:rsid w:val="008F41CA"/>
    <w:rsid w:val="008F5187"/>
    <w:rsid w:val="008F5322"/>
    <w:rsid w:val="008F60D8"/>
    <w:rsid w:val="008F6C8A"/>
    <w:rsid w:val="0090164A"/>
    <w:rsid w:val="00902727"/>
    <w:rsid w:val="00902956"/>
    <w:rsid w:val="0090312B"/>
    <w:rsid w:val="00904028"/>
    <w:rsid w:val="009062BE"/>
    <w:rsid w:val="0090686D"/>
    <w:rsid w:val="009108E2"/>
    <w:rsid w:val="009126EC"/>
    <w:rsid w:val="00913B50"/>
    <w:rsid w:val="00914733"/>
    <w:rsid w:val="00914E3F"/>
    <w:rsid w:val="00915655"/>
    <w:rsid w:val="00915FC9"/>
    <w:rsid w:val="0091703F"/>
    <w:rsid w:val="0091736D"/>
    <w:rsid w:val="00922234"/>
    <w:rsid w:val="0092239B"/>
    <w:rsid w:val="009230CD"/>
    <w:rsid w:val="0093037A"/>
    <w:rsid w:val="00933ADC"/>
    <w:rsid w:val="009340FE"/>
    <w:rsid w:val="0093468C"/>
    <w:rsid w:val="0093577F"/>
    <w:rsid w:val="009360AF"/>
    <w:rsid w:val="0094015E"/>
    <w:rsid w:val="0094154D"/>
    <w:rsid w:val="00941DF2"/>
    <w:rsid w:val="009427B6"/>
    <w:rsid w:val="00942C8C"/>
    <w:rsid w:val="00942F76"/>
    <w:rsid w:val="0094396E"/>
    <w:rsid w:val="009475A8"/>
    <w:rsid w:val="0094797F"/>
    <w:rsid w:val="0095155F"/>
    <w:rsid w:val="009515AC"/>
    <w:rsid w:val="0095287B"/>
    <w:rsid w:val="00952BDD"/>
    <w:rsid w:val="00953B28"/>
    <w:rsid w:val="00954429"/>
    <w:rsid w:val="00955D7B"/>
    <w:rsid w:val="009563CE"/>
    <w:rsid w:val="009601C9"/>
    <w:rsid w:val="009603E3"/>
    <w:rsid w:val="00963417"/>
    <w:rsid w:val="00964532"/>
    <w:rsid w:val="009653F5"/>
    <w:rsid w:val="00965F59"/>
    <w:rsid w:val="009667D1"/>
    <w:rsid w:val="00967EDA"/>
    <w:rsid w:val="009715D8"/>
    <w:rsid w:val="009743C8"/>
    <w:rsid w:val="00974E37"/>
    <w:rsid w:val="00975A6A"/>
    <w:rsid w:val="00976328"/>
    <w:rsid w:val="0097680D"/>
    <w:rsid w:val="00977EDA"/>
    <w:rsid w:val="00982438"/>
    <w:rsid w:val="0098404C"/>
    <w:rsid w:val="00985283"/>
    <w:rsid w:val="00985477"/>
    <w:rsid w:val="00985F48"/>
    <w:rsid w:val="00987222"/>
    <w:rsid w:val="0099078F"/>
    <w:rsid w:val="00991CFD"/>
    <w:rsid w:val="00992BED"/>
    <w:rsid w:val="00995366"/>
    <w:rsid w:val="00995992"/>
    <w:rsid w:val="00996418"/>
    <w:rsid w:val="009A03E5"/>
    <w:rsid w:val="009A0F3B"/>
    <w:rsid w:val="009A1BB4"/>
    <w:rsid w:val="009A2628"/>
    <w:rsid w:val="009A2ACA"/>
    <w:rsid w:val="009A3200"/>
    <w:rsid w:val="009A4313"/>
    <w:rsid w:val="009A5BB9"/>
    <w:rsid w:val="009B02C2"/>
    <w:rsid w:val="009B0897"/>
    <w:rsid w:val="009B11C4"/>
    <w:rsid w:val="009B3E9C"/>
    <w:rsid w:val="009B4387"/>
    <w:rsid w:val="009B5500"/>
    <w:rsid w:val="009B6630"/>
    <w:rsid w:val="009B6FDB"/>
    <w:rsid w:val="009B7BD9"/>
    <w:rsid w:val="009C173E"/>
    <w:rsid w:val="009C33AC"/>
    <w:rsid w:val="009C36DE"/>
    <w:rsid w:val="009C54AC"/>
    <w:rsid w:val="009C581E"/>
    <w:rsid w:val="009C7549"/>
    <w:rsid w:val="009C7DD5"/>
    <w:rsid w:val="009D081A"/>
    <w:rsid w:val="009D13A7"/>
    <w:rsid w:val="009D143E"/>
    <w:rsid w:val="009D1EF9"/>
    <w:rsid w:val="009D3695"/>
    <w:rsid w:val="009D4873"/>
    <w:rsid w:val="009D4DD6"/>
    <w:rsid w:val="009D55CC"/>
    <w:rsid w:val="009D794B"/>
    <w:rsid w:val="009E04E3"/>
    <w:rsid w:val="009E227D"/>
    <w:rsid w:val="009E5019"/>
    <w:rsid w:val="009E768B"/>
    <w:rsid w:val="009F04FA"/>
    <w:rsid w:val="009F09C0"/>
    <w:rsid w:val="009F0AF2"/>
    <w:rsid w:val="009F1B31"/>
    <w:rsid w:val="009F44A9"/>
    <w:rsid w:val="009F4E52"/>
    <w:rsid w:val="009F6D89"/>
    <w:rsid w:val="009F76EB"/>
    <w:rsid w:val="00A01ECA"/>
    <w:rsid w:val="00A0308B"/>
    <w:rsid w:val="00A0391B"/>
    <w:rsid w:val="00A04A51"/>
    <w:rsid w:val="00A04F1B"/>
    <w:rsid w:val="00A04FE2"/>
    <w:rsid w:val="00A0501B"/>
    <w:rsid w:val="00A06AEE"/>
    <w:rsid w:val="00A115E4"/>
    <w:rsid w:val="00A119E4"/>
    <w:rsid w:val="00A12CE3"/>
    <w:rsid w:val="00A143B2"/>
    <w:rsid w:val="00A14947"/>
    <w:rsid w:val="00A149D9"/>
    <w:rsid w:val="00A14D40"/>
    <w:rsid w:val="00A14F7C"/>
    <w:rsid w:val="00A15A54"/>
    <w:rsid w:val="00A16586"/>
    <w:rsid w:val="00A16DF1"/>
    <w:rsid w:val="00A17B3E"/>
    <w:rsid w:val="00A2090C"/>
    <w:rsid w:val="00A2099E"/>
    <w:rsid w:val="00A213F0"/>
    <w:rsid w:val="00A2309F"/>
    <w:rsid w:val="00A236AC"/>
    <w:rsid w:val="00A23F10"/>
    <w:rsid w:val="00A25F8F"/>
    <w:rsid w:val="00A315CC"/>
    <w:rsid w:val="00A32A7E"/>
    <w:rsid w:val="00A32A83"/>
    <w:rsid w:val="00A33EF5"/>
    <w:rsid w:val="00A33F27"/>
    <w:rsid w:val="00A3405F"/>
    <w:rsid w:val="00A368DB"/>
    <w:rsid w:val="00A37CEE"/>
    <w:rsid w:val="00A405C1"/>
    <w:rsid w:val="00A419B7"/>
    <w:rsid w:val="00A423AA"/>
    <w:rsid w:val="00A45AA2"/>
    <w:rsid w:val="00A46216"/>
    <w:rsid w:val="00A47AA4"/>
    <w:rsid w:val="00A505E6"/>
    <w:rsid w:val="00A515FD"/>
    <w:rsid w:val="00A53EC6"/>
    <w:rsid w:val="00A55C0F"/>
    <w:rsid w:val="00A560E9"/>
    <w:rsid w:val="00A57AA0"/>
    <w:rsid w:val="00A60C58"/>
    <w:rsid w:val="00A61CF9"/>
    <w:rsid w:val="00A61E02"/>
    <w:rsid w:val="00A61E7B"/>
    <w:rsid w:val="00A63C9A"/>
    <w:rsid w:val="00A647BF"/>
    <w:rsid w:val="00A660D1"/>
    <w:rsid w:val="00A6786E"/>
    <w:rsid w:val="00A7057F"/>
    <w:rsid w:val="00A71894"/>
    <w:rsid w:val="00A73CEA"/>
    <w:rsid w:val="00A751F4"/>
    <w:rsid w:val="00A7538F"/>
    <w:rsid w:val="00A7577F"/>
    <w:rsid w:val="00A76BAB"/>
    <w:rsid w:val="00A813CC"/>
    <w:rsid w:val="00A82A3C"/>
    <w:rsid w:val="00A84B3D"/>
    <w:rsid w:val="00A86D29"/>
    <w:rsid w:val="00A8713F"/>
    <w:rsid w:val="00A90142"/>
    <w:rsid w:val="00A907B7"/>
    <w:rsid w:val="00A90BA1"/>
    <w:rsid w:val="00A9495D"/>
    <w:rsid w:val="00A97A9A"/>
    <w:rsid w:val="00AA0671"/>
    <w:rsid w:val="00AA2531"/>
    <w:rsid w:val="00AA42C5"/>
    <w:rsid w:val="00AA480F"/>
    <w:rsid w:val="00AA6630"/>
    <w:rsid w:val="00AB081D"/>
    <w:rsid w:val="00AB1E09"/>
    <w:rsid w:val="00AB245A"/>
    <w:rsid w:val="00AB4B4C"/>
    <w:rsid w:val="00AB5330"/>
    <w:rsid w:val="00AB5B8B"/>
    <w:rsid w:val="00AB7747"/>
    <w:rsid w:val="00AC14CE"/>
    <w:rsid w:val="00AC2A56"/>
    <w:rsid w:val="00AC47DB"/>
    <w:rsid w:val="00AC756C"/>
    <w:rsid w:val="00AD055E"/>
    <w:rsid w:val="00AD0A2F"/>
    <w:rsid w:val="00AD3FB0"/>
    <w:rsid w:val="00AD47A7"/>
    <w:rsid w:val="00AD5E1F"/>
    <w:rsid w:val="00AD61CB"/>
    <w:rsid w:val="00AE06D4"/>
    <w:rsid w:val="00AE0F11"/>
    <w:rsid w:val="00AE2952"/>
    <w:rsid w:val="00AE6DDF"/>
    <w:rsid w:val="00AF0BA0"/>
    <w:rsid w:val="00AF0CBF"/>
    <w:rsid w:val="00AF1C9A"/>
    <w:rsid w:val="00AF257F"/>
    <w:rsid w:val="00AF33CF"/>
    <w:rsid w:val="00AF4D50"/>
    <w:rsid w:val="00AF5DEC"/>
    <w:rsid w:val="00AF5FD8"/>
    <w:rsid w:val="00AF6179"/>
    <w:rsid w:val="00AF6EAA"/>
    <w:rsid w:val="00AF78AB"/>
    <w:rsid w:val="00B01CD9"/>
    <w:rsid w:val="00B03736"/>
    <w:rsid w:val="00B04DE5"/>
    <w:rsid w:val="00B05538"/>
    <w:rsid w:val="00B10545"/>
    <w:rsid w:val="00B12139"/>
    <w:rsid w:val="00B1295A"/>
    <w:rsid w:val="00B16844"/>
    <w:rsid w:val="00B16FF8"/>
    <w:rsid w:val="00B17A3D"/>
    <w:rsid w:val="00B20A45"/>
    <w:rsid w:val="00B20DF2"/>
    <w:rsid w:val="00B2135E"/>
    <w:rsid w:val="00B225BA"/>
    <w:rsid w:val="00B22C5C"/>
    <w:rsid w:val="00B24F30"/>
    <w:rsid w:val="00B31629"/>
    <w:rsid w:val="00B31ABF"/>
    <w:rsid w:val="00B31BB9"/>
    <w:rsid w:val="00B33BE3"/>
    <w:rsid w:val="00B353A6"/>
    <w:rsid w:val="00B35F0F"/>
    <w:rsid w:val="00B363F2"/>
    <w:rsid w:val="00B3680E"/>
    <w:rsid w:val="00B3725D"/>
    <w:rsid w:val="00B4048C"/>
    <w:rsid w:val="00B40D82"/>
    <w:rsid w:val="00B442A6"/>
    <w:rsid w:val="00B45C94"/>
    <w:rsid w:val="00B479B7"/>
    <w:rsid w:val="00B50F66"/>
    <w:rsid w:val="00B51176"/>
    <w:rsid w:val="00B51441"/>
    <w:rsid w:val="00B51929"/>
    <w:rsid w:val="00B53112"/>
    <w:rsid w:val="00B53B5D"/>
    <w:rsid w:val="00B57390"/>
    <w:rsid w:val="00B5759B"/>
    <w:rsid w:val="00B6055E"/>
    <w:rsid w:val="00B6317D"/>
    <w:rsid w:val="00B63D50"/>
    <w:rsid w:val="00B64217"/>
    <w:rsid w:val="00B6501A"/>
    <w:rsid w:val="00B65965"/>
    <w:rsid w:val="00B66715"/>
    <w:rsid w:val="00B66ED2"/>
    <w:rsid w:val="00B717C9"/>
    <w:rsid w:val="00B736EC"/>
    <w:rsid w:val="00B74D1E"/>
    <w:rsid w:val="00B7723F"/>
    <w:rsid w:val="00B80534"/>
    <w:rsid w:val="00B82B05"/>
    <w:rsid w:val="00B8433C"/>
    <w:rsid w:val="00B84E6C"/>
    <w:rsid w:val="00B856E3"/>
    <w:rsid w:val="00B85931"/>
    <w:rsid w:val="00B859F2"/>
    <w:rsid w:val="00B867E2"/>
    <w:rsid w:val="00B8687F"/>
    <w:rsid w:val="00B87491"/>
    <w:rsid w:val="00B8751F"/>
    <w:rsid w:val="00B87850"/>
    <w:rsid w:val="00B90CD6"/>
    <w:rsid w:val="00B917A9"/>
    <w:rsid w:val="00B9364B"/>
    <w:rsid w:val="00BA0192"/>
    <w:rsid w:val="00BA1434"/>
    <w:rsid w:val="00BA2735"/>
    <w:rsid w:val="00BA299D"/>
    <w:rsid w:val="00BA29E9"/>
    <w:rsid w:val="00BA2A9D"/>
    <w:rsid w:val="00BA695D"/>
    <w:rsid w:val="00BA7142"/>
    <w:rsid w:val="00BB237C"/>
    <w:rsid w:val="00BB2C03"/>
    <w:rsid w:val="00BB3577"/>
    <w:rsid w:val="00BB41A3"/>
    <w:rsid w:val="00BB4DB5"/>
    <w:rsid w:val="00BB5F8D"/>
    <w:rsid w:val="00BB7380"/>
    <w:rsid w:val="00BB7E39"/>
    <w:rsid w:val="00BC1D0B"/>
    <w:rsid w:val="00BC2D62"/>
    <w:rsid w:val="00BC32DC"/>
    <w:rsid w:val="00BC331B"/>
    <w:rsid w:val="00BC35B6"/>
    <w:rsid w:val="00BC3790"/>
    <w:rsid w:val="00BC3799"/>
    <w:rsid w:val="00BC38E7"/>
    <w:rsid w:val="00BD0DF5"/>
    <w:rsid w:val="00BD12F0"/>
    <w:rsid w:val="00BD1B51"/>
    <w:rsid w:val="00BD2C8E"/>
    <w:rsid w:val="00BD31F2"/>
    <w:rsid w:val="00BD3EBD"/>
    <w:rsid w:val="00BD4061"/>
    <w:rsid w:val="00BD41FD"/>
    <w:rsid w:val="00BD4596"/>
    <w:rsid w:val="00BD5BD9"/>
    <w:rsid w:val="00BD6E98"/>
    <w:rsid w:val="00BD72E4"/>
    <w:rsid w:val="00BD78DE"/>
    <w:rsid w:val="00BD7B7C"/>
    <w:rsid w:val="00BE1405"/>
    <w:rsid w:val="00BE26B7"/>
    <w:rsid w:val="00BE312D"/>
    <w:rsid w:val="00BE3962"/>
    <w:rsid w:val="00BE4801"/>
    <w:rsid w:val="00BE6CC6"/>
    <w:rsid w:val="00BF12D8"/>
    <w:rsid w:val="00BF1C20"/>
    <w:rsid w:val="00BF3DF4"/>
    <w:rsid w:val="00BF4320"/>
    <w:rsid w:val="00BF6075"/>
    <w:rsid w:val="00BF7277"/>
    <w:rsid w:val="00BF7802"/>
    <w:rsid w:val="00C04186"/>
    <w:rsid w:val="00C05B5B"/>
    <w:rsid w:val="00C05DC0"/>
    <w:rsid w:val="00C05DED"/>
    <w:rsid w:val="00C0600F"/>
    <w:rsid w:val="00C0738B"/>
    <w:rsid w:val="00C10578"/>
    <w:rsid w:val="00C105DD"/>
    <w:rsid w:val="00C11BE1"/>
    <w:rsid w:val="00C126C2"/>
    <w:rsid w:val="00C12D60"/>
    <w:rsid w:val="00C12DEE"/>
    <w:rsid w:val="00C135BC"/>
    <w:rsid w:val="00C148A0"/>
    <w:rsid w:val="00C15C95"/>
    <w:rsid w:val="00C1697E"/>
    <w:rsid w:val="00C232ED"/>
    <w:rsid w:val="00C256DF"/>
    <w:rsid w:val="00C2596A"/>
    <w:rsid w:val="00C25A53"/>
    <w:rsid w:val="00C27537"/>
    <w:rsid w:val="00C2783F"/>
    <w:rsid w:val="00C27CC2"/>
    <w:rsid w:val="00C31051"/>
    <w:rsid w:val="00C328FE"/>
    <w:rsid w:val="00C33507"/>
    <w:rsid w:val="00C35064"/>
    <w:rsid w:val="00C354C1"/>
    <w:rsid w:val="00C41F5C"/>
    <w:rsid w:val="00C42B94"/>
    <w:rsid w:val="00C42E40"/>
    <w:rsid w:val="00C4409D"/>
    <w:rsid w:val="00C44B8E"/>
    <w:rsid w:val="00C44E72"/>
    <w:rsid w:val="00C4516D"/>
    <w:rsid w:val="00C455F3"/>
    <w:rsid w:val="00C45A06"/>
    <w:rsid w:val="00C46104"/>
    <w:rsid w:val="00C47E5B"/>
    <w:rsid w:val="00C50265"/>
    <w:rsid w:val="00C5080C"/>
    <w:rsid w:val="00C50D3E"/>
    <w:rsid w:val="00C51E31"/>
    <w:rsid w:val="00C55F4D"/>
    <w:rsid w:val="00C567F9"/>
    <w:rsid w:val="00C56CEB"/>
    <w:rsid w:val="00C57B0B"/>
    <w:rsid w:val="00C61478"/>
    <w:rsid w:val="00C61E4B"/>
    <w:rsid w:val="00C62310"/>
    <w:rsid w:val="00C637D5"/>
    <w:rsid w:val="00C63A24"/>
    <w:rsid w:val="00C64A60"/>
    <w:rsid w:val="00C64BFF"/>
    <w:rsid w:val="00C662F7"/>
    <w:rsid w:val="00C667AD"/>
    <w:rsid w:val="00C70356"/>
    <w:rsid w:val="00C704E9"/>
    <w:rsid w:val="00C720FF"/>
    <w:rsid w:val="00C74224"/>
    <w:rsid w:val="00C742DE"/>
    <w:rsid w:val="00C74827"/>
    <w:rsid w:val="00C763C9"/>
    <w:rsid w:val="00C77176"/>
    <w:rsid w:val="00C774BB"/>
    <w:rsid w:val="00C77AA7"/>
    <w:rsid w:val="00C80057"/>
    <w:rsid w:val="00C80F37"/>
    <w:rsid w:val="00C812A4"/>
    <w:rsid w:val="00C81901"/>
    <w:rsid w:val="00C82232"/>
    <w:rsid w:val="00C822CF"/>
    <w:rsid w:val="00C82913"/>
    <w:rsid w:val="00C82EAE"/>
    <w:rsid w:val="00C858B0"/>
    <w:rsid w:val="00C85D32"/>
    <w:rsid w:val="00C87366"/>
    <w:rsid w:val="00C874E6"/>
    <w:rsid w:val="00C90054"/>
    <w:rsid w:val="00C9226F"/>
    <w:rsid w:val="00C92ADB"/>
    <w:rsid w:val="00C93B20"/>
    <w:rsid w:val="00C94EC4"/>
    <w:rsid w:val="00C95AD8"/>
    <w:rsid w:val="00C9626F"/>
    <w:rsid w:val="00C9667C"/>
    <w:rsid w:val="00C96B1F"/>
    <w:rsid w:val="00C96BA5"/>
    <w:rsid w:val="00C96EB9"/>
    <w:rsid w:val="00C972B1"/>
    <w:rsid w:val="00C97A88"/>
    <w:rsid w:val="00CA13B8"/>
    <w:rsid w:val="00CA2CCE"/>
    <w:rsid w:val="00CA32CB"/>
    <w:rsid w:val="00CA43FD"/>
    <w:rsid w:val="00CA65E9"/>
    <w:rsid w:val="00CA7046"/>
    <w:rsid w:val="00CA7AF2"/>
    <w:rsid w:val="00CA7EF8"/>
    <w:rsid w:val="00CB018F"/>
    <w:rsid w:val="00CB0D6E"/>
    <w:rsid w:val="00CB1392"/>
    <w:rsid w:val="00CB2354"/>
    <w:rsid w:val="00CB2A7E"/>
    <w:rsid w:val="00CB5E61"/>
    <w:rsid w:val="00CC11BA"/>
    <w:rsid w:val="00CC1C05"/>
    <w:rsid w:val="00CC2313"/>
    <w:rsid w:val="00CC47EB"/>
    <w:rsid w:val="00CC489B"/>
    <w:rsid w:val="00CC6386"/>
    <w:rsid w:val="00CC6845"/>
    <w:rsid w:val="00CD0C51"/>
    <w:rsid w:val="00CD181D"/>
    <w:rsid w:val="00CD2237"/>
    <w:rsid w:val="00CD2BCD"/>
    <w:rsid w:val="00CD3A4C"/>
    <w:rsid w:val="00CD787E"/>
    <w:rsid w:val="00CE031F"/>
    <w:rsid w:val="00CE10E9"/>
    <w:rsid w:val="00CE2910"/>
    <w:rsid w:val="00CE2AA1"/>
    <w:rsid w:val="00CE3D6F"/>
    <w:rsid w:val="00CE43AB"/>
    <w:rsid w:val="00CE5393"/>
    <w:rsid w:val="00CE5A77"/>
    <w:rsid w:val="00CE7EDD"/>
    <w:rsid w:val="00CF02F6"/>
    <w:rsid w:val="00CF090E"/>
    <w:rsid w:val="00CF1095"/>
    <w:rsid w:val="00CF2042"/>
    <w:rsid w:val="00CF2F0E"/>
    <w:rsid w:val="00CF334A"/>
    <w:rsid w:val="00CF36BE"/>
    <w:rsid w:val="00CF6000"/>
    <w:rsid w:val="00CF7480"/>
    <w:rsid w:val="00CF74AA"/>
    <w:rsid w:val="00CF780C"/>
    <w:rsid w:val="00D003F3"/>
    <w:rsid w:val="00D00CFF"/>
    <w:rsid w:val="00D00D3D"/>
    <w:rsid w:val="00D02DB2"/>
    <w:rsid w:val="00D0364F"/>
    <w:rsid w:val="00D03F71"/>
    <w:rsid w:val="00D04E17"/>
    <w:rsid w:val="00D06834"/>
    <w:rsid w:val="00D075C6"/>
    <w:rsid w:val="00D103F9"/>
    <w:rsid w:val="00D1322A"/>
    <w:rsid w:val="00D13975"/>
    <w:rsid w:val="00D14B17"/>
    <w:rsid w:val="00D157C5"/>
    <w:rsid w:val="00D170E3"/>
    <w:rsid w:val="00D23066"/>
    <w:rsid w:val="00D241BA"/>
    <w:rsid w:val="00D2481B"/>
    <w:rsid w:val="00D267CA"/>
    <w:rsid w:val="00D27414"/>
    <w:rsid w:val="00D308ED"/>
    <w:rsid w:val="00D328CC"/>
    <w:rsid w:val="00D32FFB"/>
    <w:rsid w:val="00D33635"/>
    <w:rsid w:val="00D34275"/>
    <w:rsid w:val="00D36D86"/>
    <w:rsid w:val="00D40E8F"/>
    <w:rsid w:val="00D42789"/>
    <w:rsid w:val="00D428AA"/>
    <w:rsid w:val="00D44C54"/>
    <w:rsid w:val="00D507BC"/>
    <w:rsid w:val="00D50A34"/>
    <w:rsid w:val="00D539EC"/>
    <w:rsid w:val="00D53EFA"/>
    <w:rsid w:val="00D57FF4"/>
    <w:rsid w:val="00D603C8"/>
    <w:rsid w:val="00D62516"/>
    <w:rsid w:val="00D62F7B"/>
    <w:rsid w:val="00D656BC"/>
    <w:rsid w:val="00D73F2E"/>
    <w:rsid w:val="00D761A8"/>
    <w:rsid w:val="00D809B8"/>
    <w:rsid w:val="00D80F0F"/>
    <w:rsid w:val="00D82BCC"/>
    <w:rsid w:val="00D833DD"/>
    <w:rsid w:val="00D83D0E"/>
    <w:rsid w:val="00D85122"/>
    <w:rsid w:val="00D87761"/>
    <w:rsid w:val="00D91EDB"/>
    <w:rsid w:val="00D94095"/>
    <w:rsid w:val="00D94A7C"/>
    <w:rsid w:val="00D956F3"/>
    <w:rsid w:val="00D95896"/>
    <w:rsid w:val="00D9766A"/>
    <w:rsid w:val="00DA2B33"/>
    <w:rsid w:val="00DA2CE5"/>
    <w:rsid w:val="00DA4520"/>
    <w:rsid w:val="00DA5671"/>
    <w:rsid w:val="00DA6529"/>
    <w:rsid w:val="00DA6A33"/>
    <w:rsid w:val="00DB04F5"/>
    <w:rsid w:val="00DB21F4"/>
    <w:rsid w:val="00DB23BD"/>
    <w:rsid w:val="00DB25F0"/>
    <w:rsid w:val="00DB2983"/>
    <w:rsid w:val="00DB3D30"/>
    <w:rsid w:val="00DB42DA"/>
    <w:rsid w:val="00DB436F"/>
    <w:rsid w:val="00DB4414"/>
    <w:rsid w:val="00DB4BD7"/>
    <w:rsid w:val="00DB62F6"/>
    <w:rsid w:val="00DB720A"/>
    <w:rsid w:val="00DB7CC6"/>
    <w:rsid w:val="00DC09F2"/>
    <w:rsid w:val="00DC0ABB"/>
    <w:rsid w:val="00DC1257"/>
    <w:rsid w:val="00DC2F0C"/>
    <w:rsid w:val="00DC3DC0"/>
    <w:rsid w:val="00DC5B2B"/>
    <w:rsid w:val="00DC7A16"/>
    <w:rsid w:val="00DC7F5F"/>
    <w:rsid w:val="00DD0E83"/>
    <w:rsid w:val="00DD11A0"/>
    <w:rsid w:val="00DD1765"/>
    <w:rsid w:val="00DD25A4"/>
    <w:rsid w:val="00DD318D"/>
    <w:rsid w:val="00DD50A1"/>
    <w:rsid w:val="00DD5F7F"/>
    <w:rsid w:val="00DE3C03"/>
    <w:rsid w:val="00DE3E4B"/>
    <w:rsid w:val="00DF2895"/>
    <w:rsid w:val="00DF2E12"/>
    <w:rsid w:val="00DF514A"/>
    <w:rsid w:val="00DF6690"/>
    <w:rsid w:val="00DF6804"/>
    <w:rsid w:val="00DF7037"/>
    <w:rsid w:val="00DF7CEF"/>
    <w:rsid w:val="00E02AD3"/>
    <w:rsid w:val="00E03424"/>
    <w:rsid w:val="00E0358D"/>
    <w:rsid w:val="00E04323"/>
    <w:rsid w:val="00E05328"/>
    <w:rsid w:val="00E055BB"/>
    <w:rsid w:val="00E070A2"/>
    <w:rsid w:val="00E07B2F"/>
    <w:rsid w:val="00E07DDE"/>
    <w:rsid w:val="00E07FC9"/>
    <w:rsid w:val="00E1204A"/>
    <w:rsid w:val="00E15ADE"/>
    <w:rsid w:val="00E20E05"/>
    <w:rsid w:val="00E224C6"/>
    <w:rsid w:val="00E22D2A"/>
    <w:rsid w:val="00E23944"/>
    <w:rsid w:val="00E24737"/>
    <w:rsid w:val="00E2656A"/>
    <w:rsid w:val="00E278E3"/>
    <w:rsid w:val="00E30D45"/>
    <w:rsid w:val="00E3374A"/>
    <w:rsid w:val="00E34AA9"/>
    <w:rsid w:val="00E3565E"/>
    <w:rsid w:val="00E356C7"/>
    <w:rsid w:val="00E361FE"/>
    <w:rsid w:val="00E371FE"/>
    <w:rsid w:val="00E412D0"/>
    <w:rsid w:val="00E45A54"/>
    <w:rsid w:val="00E46CE7"/>
    <w:rsid w:val="00E5026F"/>
    <w:rsid w:val="00E50B6C"/>
    <w:rsid w:val="00E56322"/>
    <w:rsid w:val="00E56848"/>
    <w:rsid w:val="00E60982"/>
    <w:rsid w:val="00E60BA1"/>
    <w:rsid w:val="00E62405"/>
    <w:rsid w:val="00E62C62"/>
    <w:rsid w:val="00E64535"/>
    <w:rsid w:val="00E654C1"/>
    <w:rsid w:val="00E6559C"/>
    <w:rsid w:val="00E65D97"/>
    <w:rsid w:val="00E66124"/>
    <w:rsid w:val="00E66A03"/>
    <w:rsid w:val="00E72A5A"/>
    <w:rsid w:val="00E73354"/>
    <w:rsid w:val="00E77111"/>
    <w:rsid w:val="00E77E90"/>
    <w:rsid w:val="00E82F9E"/>
    <w:rsid w:val="00E85F31"/>
    <w:rsid w:val="00E900B7"/>
    <w:rsid w:val="00E9070B"/>
    <w:rsid w:val="00E9242D"/>
    <w:rsid w:val="00E93024"/>
    <w:rsid w:val="00E94151"/>
    <w:rsid w:val="00E949D5"/>
    <w:rsid w:val="00E95425"/>
    <w:rsid w:val="00E9574D"/>
    <w:rsid w:val="00E95CDB"/>
    <w:rsid w:val="00EA1DB7"/>
    <w:rsid w:val="00EA25A2"/>
    <w:rsid w:val="00EA3945"/>
    <w:rsid w:val="00EA4B62"/>
    <w:rsid w:val="00EA619D"/>
    <w:rsid w:val="00EA75D5"/>
    <w:rsid w:val="00EB286D"/>
    <w:rsid w:val="00EB3B89"/>
    <w:rsid w:val="00EB51E7"/>
    <w:rsid w:val="00EB5255"/>
    <w:rsid w:val="00EB5C47"/>
    <w:rsid w:val="00EB7936"/>
    <w:rsid w:val="00EC00DA"/>
    <w:rsid w:val="00EC186B"/>
    <w:rsid w:val="00EC2BC0"/>
    <w:rsid w:val="00EC2CAE"/>
    <w:rsid w:val="00EC3FCA"/>
    <w:rsid w:val="00EC684E"/>
    <w:rsid w:val="00ED0491"/>
    <w:rsid w:val="00ED0639"/>
    <w:rsid w:val="00ED121B"/>
    <w:rsid w:val="00ED20F8"/>
    <w:rsid w:val="00ED34AE"/>
    <w:rsid w:val="00ED4660"/>
    <w:rsid w:val="00EE0497"/>
    <w:rsid w:val="00EE09B5"/>
    <w:rsid w:val="00EE0BF9"/>
    <w:rsid w:val="00EE1D02"/>
    <w:rsid w:val="00EE230C"/>
    <w:rsid w:val="00EE2D10"/>
    <w:rsid w:val="00EE2E5C"/>
    <w:rsid w:val="00EE4D12"/>
    <w:rsid w:val="00EE5E64"/>
    <w:rsid w:val="00EF0A71"/>
    <w:rsid w:val="00EF0D05"/>
    <w:rsid w:val="00EF2E5A"/>
    <w:rsid w:val="00EF4466"/>
    <w:rsid w:val="00EF4755"/>
    <w:rsid w:val="00EF59FF"/>
    <w:rsid w:val="00EF7135"/>
    <w:rsid w:val="00F000DE"/>
    <w:rsid w:val="00F00804"/>
    <w:rsid w:val="00F0101E"/>
    <w:rsid w:val="00F016CD"/>
    <w:rsid w:val="00F0181D"/>
    <w:rsid w:val="00F027DB"/>
    <w:rsid w:val="00F1421A"/>
    <w:rsid w:val="00F144D1"/>
    <w:rsid w:val="00F14A7A"/>
    <w:rsid w:val="00F150D8"/>
    <w:rsid w:val="00F15124"/>
    <w:rsid w:val="00F20B3D"/>
    <w:rsid w:val="00F22985"/>
    <w:rsid w:val="00F23540"/>
    <w:rsid w:val="00F2378C"/>
    <w:rsid w:val="00F244E9"/>
    <w:rsid w:val="00F24E32"/>
    <w:rsid w:val="00F2657E"/>
    <w:rsid w:val="00F30F75"/>
    <w:rsid w:val="00F31A47"/>
    <w:rsid w:val="00F33522"/>
    <w:rsid w:val="00F3383E"/>
    <w:rsid w:val="00F374F0"/>
    <w:rsid w:val="00F42893"/>
    <w:rsid w:val="00F43E58"/>
    <w:rsid w:val="00F465A7"/>
    <w:rsid w:val="00F46F07"/>
    <w:rsid w:val="00F50B7C"/>
    <w:rsid w:val="00F533F0"/>
    <w:rsid w:val="00F550E6"/>
    <w:rsid w:val="00F55AF9"/>
    <w:rsid w:val="00F5711C"/>
    <w:rsid w:val="00F57D80"/>
    <w:rsid w:val="00F57E83"/>
    <w:rsid w:val="00F610E4"/>
    <w:rsid w:val="00F61925"/>
    <w:rsid w:val="00F61F7D"/>
    <w:rsid w:val="00F62F04"/>
    <w:rsid w:val="00F631AF"/>
    <w:rsid w:val="00F63A88"/>
    <w:rsid w:val="00F6462E"/>
    <w:rsid w:val="00F67D44"/>
    <w:rsid w:val="00F7029F"/>
    <w:rsid w:val="00F70751"/>
    <w:rsid w:val="00F72EA3"/>
    <w:rsid w:val="00F73032"/>
    <w:rsid w:val="00F7310B"/>
    <w:rsid w:val="00F74345"/>
    <w:rsid w:val="00F74BD3"/>
    <w:rsid w:val="00F76E55"/>
    <w:rsid w:val="00F7755B"/>
    <w:rsid w:val="00F7762B"/>
    <w:rsid w:val="00F80A0A"/>
    <w:rsid w:val="00F81AB3"/>
    <w:rsid w:val="00F82B19"/>
    <w:rsid w:val="00F82F0A"/>
    <w:rsid w:val="00F84884"/>
    <w:rsid w:val="00F8557A"/>
    <w:rsid w:val="00F90362"/>
    <w:rsid w:val="00F911A1"/>
    <w:rsid w:val="00F91399"/>
    <w:rsid w:val="00F91D50"/>
    <w:rsid w:val="00F9212D"/>
    <w:rsid w:val="00F92525"/>
    <w:rsid w:val="00F95129"/>
    <w:rsid w:val="00F965DA"/>
    <w:rsid w:val="00F96C46"/>
    <w:rsid w:val="00FA1082"/>
    <w:rsid w:val="00FA1B95"/>
    <w:rsid w:val="00FA210A"/>
    <w:rsid w:val="00FA406A"/>
    <w:rsid w:val="00FA776D"/>
    <w:rsid w:val="00FB056B"/>
    <w:rsid w:val="00FB503A"/>
    <w:rsid w:val="00FB516C"/>
    <w:rsid w:val="00FB55F9"/>
    <w:rsid w:val="00FB6A62"/>
    <w:rsid w:val="00FB716E"/>
    <w:rsid w:val="00FC2651"/>
    <w:rsid w:val="00FC3AB1"/>
    <w:rsid w:val="00FC535B"/>
    <w:rsid w:val="00FC5ED4"/>
    <w:rsid w:val="00FC7110"/>
    <w:rsid w:val="00FD0236"/>
    <w:rsid w:val="00FD05E4"/>
    <w:rsid w:val="00FD10D2"/>
    <w:rsid w:val="00FD18F4"/>
    <w:rsid w:val="00FD1CED"/>
    <w:rsid w:val="00FD1DBF"/>
    <w:rsid w:val="00FD2ACC"/>
    <w:rsid w:val="00FD2FB7"/>
    <w:rsid w:val="00FD3669"/>
    <w:rsid w:val="00FD4A57"/>
    <w:rsid w:val="00FD54DB"/>
    <w:rsid w:val="00FD619F"/>
    <w:rsid w:val="00FE0117"/>
    <w:rsid w:val="00FE058E"/>
    <w:rsid w:val="00FE09B9"/>
    <w:rsid w:val="00FE1321"/>
    <w:rsid w:val="00FE1740"/>
    <w:rsid w:val="00FE33FD"/>
    <w:rsid w:val="00FE5CD0"/>
    <w:rsid w:val="00FE653D"/>
    <w:rsid w:val="00FE6999"/>
    <w:rsid w:val="00FF00D2"/>
    <w:rsid w:val="00FF07E5"/>
    <w:rsid w:val="00FF1557"/>
    <w:rsid w:val="00FF2C2F"/>
    <w:rsid w:val="00FF5389"/>
    <w:rsid w:val="00FF637F"/>
    <w:rsid w:val="010B405F"/>
    <w:rsid w:val="01183C2B"/>
    <w:rsid w:val="01290F7E"/>
    <w:rsid w:val="013E344F"/>
    <w:rsid w:val="014139FA"/>
    <w:rsid w:val="014A1931"/>
    <w:rsid w:val="015D1E09"/>
    <w:rsid w:val="01785B98"/>
    <w:rsid w:val="017B1567"/>
    <w:rsid w:val="018236CF"/>
    <w:rsid w:val="01983877"/>
    <w:rsid w:val="01A07ABF"/>
    <w:rsid w:val="01A40741"/>
    <w:rsid w:val="01B91D0C"/>
    <w:rsid w:val="01BA5D80"/>
    <w:rsid w:val="01CA216C"/>
    <w:rsid w:val="01E46D89"/>
    <w:rsid w:val="01E66FA5"/>
    <w:rsid w:val="01F3139C"/>
    <w:rsid w:val="01F67647"/>
    <w:rsid w:val="01FD3C3C"/>
    <w:rsid w:val="020C62E0"/>
    <w:rsid w:val="021C29C7"/>
    <w:rsid w:val="0227136C"/>
    <w:rsid w:val="022F565F"/>
    <w:rsid w:val="0233381D"/>
    <w:rsid w:val="024104C5"/>
    <w:rsid w:val="02697903"/>
    <w:rsid w:val="0279131F"/>
    <w:rsid w:val="027A149C"/>
    <w:rsid w:val="027F60AF"/>
    <w:rsid w:val="029167E5"/>
    <w:rsid w:val="02AC112D"/>
    <w:rsid w:val="02AC5A72"/>
    <w:rsid w:val="02B11247"/>
    <w:rsid w:val="02B22F5A"/>
    <w:rsid w:val="02C72207"/>
    <w:rsid w:val="02C941D1"/>
    <w:rsid w:val="02E828A9"/>
    <w:rsid w:val="02F96569"/>
    <w:rsid w:val="031321AD"/>
    <w:rsid w:val="032901FD"/>
    <w:rsid w:val="033E39E9"/>
    <w:rsid w:val="0347712E"/>
    <w:rsid w:val="0360785E"/>
    <w:rsid w:val="036A59B4"/>
    <w:rsid w:val="0370464D"/>
    <w:rsid w:val="038500F8"/>
    <w:rsid w:val="038A7152"/>
    <w:rsid w:val="03B453AA"/>
    <w:rsid w:val="03B6092B"/>
    <w:rsid w:val="03D245C3"/>
    <w:rsid w:val="03D251BA"/>
    <w:rsid w:val="03EA7B21"/>
    <w:rsid w:val="04161698"/>
    <w:rsid w:val="041A5316"/>
    <w:rsid w:val="042B7FA3"/>
    <w:rsid w:val="045126D0"/>
    <w:rsid w:val="046E3571"/>
    <w:rsid w:val="047B0592"/>
    <w:rsid w:val="049A05B6"/>
    <w:rsid w:val="049B394B"/>
    <w:rsid w:val="04A12538"/>
    <w:rsid w:val="04AD0435"/>
    <w:rsid w:val="04B24C31"/>
    <w:rsid w:val="04B862AB"/>
    <w:rsid w:val="04C47046"/>
    <w:rsid w:val="04C86939"/>
    <w:rsid w:val="04E946B7"/>
    <w:rsid w:val="04FC380B"/>
    <w:rsid w:val="04FD0162"/>
    <w:rsid w:val="04FD5A07"/>
    <w:rsid w:val="050175A3"/>
    <w:rsid w:val="052F3922"/>
    <w:rsid w:val="053F077B"/>
    <w:rsid w:val="0543670B"/>
    <w:rsid w:val="05486D44"/>
    <w:rsid w:val="054C60AE"/>
    <w:rsid w:val="05CE5983"/>
    <w:rsid w:val="05D0625C"/>
    <w:rsid w:val="05E00935"/>
    <w:rsid w:val="05E235E7"/>
    <w:rsid w:val="05F83EAE"/>
    <w:rsid w:val="06053772"/>
    <w:rsid w:val="063E7D85"/>
    <w:rsid w:val="06472E60"/>
    <w:rsid w:val="067B1C86"/>
    <w:rsid w:val="067B371F"/>
    <w:rsid w:val="06A43013"/>
    <w:rsid w:val="06B34F7C"/>
    <w:rsid w:val="06DE46EF"/>
    <w:rsid w:val="06E95FD1"/>
    <w:rsid w:val="070C5A29"/>
    <w:rsid w:val="071579E5"/>
    <w:rsid w:val="07293586"/>
    <w:rsid w:val="07295285"/>
    <w:rsid w:val="072A7934"/>
    <w:rsid w:val="072E58CA"/>
    <w:rsid w:val="073C2AFB"/>
    <w:rsid w:val="074B1271"/>
    <w:rsid w:val="07504EC1"/>
    <w:rsid w:val="07636392"/>
    <w:rsid w:val="076E3F95"/>
    <w:rsid w:val="07770C56"/>
    <w:rsid w:val="07BD4337"/>
    <w:rsid w:val="07D23B28"/>
    <w:rsid w:val="07FC0BA5"/>
    <w:rsid w:val="08064C1D"/>
    <w:rsid w:val="08190C33"/>
    <w:rsid w:val="082D0D5E"/>
    <w:rsid w:val="083A27B3"/>
    <w:rsid w:val="084D4E00"/>
    <w:rsid w:val="085A5FF7"/>
    <w:rsid w:val="085D7896"/>
    <w:rsid w:val="088B29B2"/>
    <w:rsid w:val="08A93663"/>
    <w:rsid w:val="0910058F"/>
    <w:rsid w:val="092217DD"/>
    <w:rsid w:val="092B7994"/>
    <w:rsid w:val="092E2FE0"/>
    <w:rsid w:val="09391A25"/>
    <w:rsid w:val="093A7294"/>
    <w:rsid w:val="096B2D0D"/>
    <w:rsid w:val="097D7E05"/>
    <w:rsid w:val="098A2F97"/>
    <w:rsid w:val="099077F7"/>
    <w:rsid w:val="09AB63DF"/>
    <w:rsid w:val="09B259BF"/>
    <w:rsid w:val="09B27F25"/>
    <w:rsid w:val="09B554AF"/>
    <w:rsid w:val="09B94F9F"/>
    <w:rsid w:val="09CD45A7"/>
    <w:rsid w:val="09D726B7"/>
    <w:rsid w:val="09DE5F1B"/>
    <w:rsid w:val="09E35B78"/>
    <w:rsid w:val="0A226664"/>
    <w:rsid w:val="0A263993"/>
    <w:rsid w:val="0A2D3AC2"/>
    <w:rsid w:val="0A343DF3"/>
    <w:rsid w:val="0A4B27D0"/>
    <w:rsid w:val="0A6C28EA"/>
    <w:rsid w:val="0A73379C"/>
    <w:rsid w:val="0A79472F"/>
    <w:rsid w:val="0A830887"/>
    <w:rsid w:val="0AA755DF"/>
    <w:rsid w:val="0AB93DBB"/>
    <w:rsid w:val="0AC42355"/>
    <w:rsid w:val="0ACB1C73"/>
    <w:rsid w:val="0ADD5DCA"/>
    <w:rsid w:val="0AE0030A"/>
    <w:rsid w:val="0AE443EE"/>
    <w:rsid w:val="0AF93041"/>
    <w:rsid w:val="0B02362F"/>
    <w:rsid w:val="0B0E131B"/>
    <w:rsid w:val="0B120D44"/>
    <w:rsid w:val="0B226A39"/>
    <w:rsid w:val="0B6D4294"/>
    <w:rsid w:val="0B772A1C"/>
    <w:rsid w:val="0B792C38"/>
    <w:rsid w:val="0B966F8A"/>
    <w:rsid w:val="0BAA6037"/>
    <w:rsid w:val="0BC33EB3"/>
    <w:rsid w:val="0BC35255"/>
    <w:rsid w:val="0BC65752"/>
    <w:rsid w:val="0BD27BF6"/>
    <w:rsid w:val="0BE15F86"/>
    <w:rsid w:val="0BE463B7"/>
    <w:rsid w:val="0BFA2AF5"/>
    <w:rsid w:val="0C020E1C"/>
    <w:rsid w:val="0C0452F3"/>
    <w:rsid w:val="0C1200E4"/>
    <w:rsid w:val="0C2273EC"/>
    <w:rsid w:val="0C294098"/>
    <w:rsid w:val="0C3841E3"/>
    <w:rsid w:val="0C3B3C7D"/>
    <w:rsid w:val="0C41302A"/>
    <w:rsid w:val="0C48085D"/>
    <w:rsid w:val="0C584B4F"/>
    <w:rsid w:val="0C6236CC"/>
    <w:rsid w:val="0C76701F"/>
    <w:rsid w:val="0CAB2EAE"/>
    <w:rsid w:val="0CC23281"/>
    <w:rsid w:val="0CEA0E58"/>
    <w:rsid w:val="0CF956B3"/>
    <w:rsid w:val="0D0C38CA"/>
    <w:rsid w:val="0D110C4F"/>
    <w:rsid w:val="0D383700"/>
    <w:rsid w:val="0D4B3C0C"/>
    <w:rsid w:val="0D621C7D"/>
    <w:rsid w:val="0D66383B"/>
    <w:rsid w:val="0D754339"/>
    <w:rsid w:val="0D75742F"/>
    <w:rsid w:val="0D780CCE"/>
    <w:rsid w:val="0D865199"/>
    <w:rsid w:val="0D955DE9"/>
    <w:rsid w:val="0D9B5DDE"/>
    <w:rsid w:val="0DB51DAB"/>
    <w:rsid w:val="0DDC300B"/>
    <w:rsid w:val="0E083E00"/>
    <w:rsid w:val="0E0F33E0"/>
    <w:rsid w:val="0E1E7AF4"/>
    <w:rsid w:val="0E1F6BCA"/>
    <w:rsid w:val="0E4C3A57"/>
    <w:rsid w:val="0E5139F9"/>
    <w:rsid w:val="0E5434E9"/>
    <w:rsid w:val="0E5C0B86"/>
    <w:rsid w:val="0E73034D"/>
    <w:rsid w:val="0E923261"/>
    <w:rsid w:val="0E9360EE"/>
    <w:rsid w:val="0EA77CB0"/>
    <w:rsid w:val="0EC20C1F"/>
    <w:rsid w:val="0EC229F2"/>
    <w:rsid w:val="0EC35E1A"/>
    <w:rsid w:val="0EC96EE3"/>
    <w:rsid w:val="0ED9579C"/>
    <w:rsid w:val="0EDE2CC0"/>
    <w:rsid w:val="0F05762C"/>
    <w:rsid w:val="0F0E37EA"/>
    <w:rsid w:val="0F13775A"/>
    <w:rsid w:val="0F2E7BB5"/>
    <w:rsid w:val="0F3078D4"/>
    <w:rsid w:val="0F312DC9"/>
    <w:rsid w:val="0F340C24"/>
    <w:rsid w:val="0F4C2412"/>
    <w:rsid w:val="0F5D017B"/>
    <w:rsid w:val="0F5F45FE"/>
    <w:rsid w:val="0F6518F3"/>
    <w:rsid w:val="0F9A112B"/>
    <w:rsid w:val="0FA321DB"/>
    <w:rsid w:val="0FA61B22"/>
    <w:rsid w:val="0FAB7138"/>
    <w:rsid w:val="0FD23122"/>
    <w:rsid w:val="0FDC7731"/>
    <w:rsid w:val="0FFB28AC"/>
    <w:rsid w:val="102D7AEA"/>
    <w:rsid w:val="10320C31"/>
    <w:rsid w:val="106D2F64"/>
    <w:rsid w:val="106F63B8"/>
    <w:rsid w:val="108300B5"/>
    <w:rsid w:val="10AF6730"/>
    <w:rsid w:val="10B63710"/>
    <w:rsid w:val="10B734BB"/>
    <w:rsid w:val="10F10820"/>
    <w:rsid w:val="10F66F8C"/>
    <w:rsid w:val="110A2518"/>
    <w:rsid w:val="111C2F7A"/>
    <w:rsid w:val="113849D4"/>
    <w:rsid w:val="113B3B72"/>
    <w:rsid w:val="11527AA7"/>
    <w:rsid w:val="11566DE6"/>
    <w:rsid w:val="115C68DE"/>
    <w:rsid w:val="11665CA1"/>
    <w:rsid w:val="116C28F7"/>
    <w:rsid w:val="11A30A08"/>
    <w:rsid w:val="11B22B48"/>
    <w:rsid w:val="11D02E86"/>
    <w:rsid w:val="11D30BC8"/>
    <w:rsid w:val="11ED34E7"/>
    <w:rsid w:val="12046FD4"/>
    <w:rsid w:val="124414E8"/>
    <w:rsid w:val="125C5BC1"/>
    <w:rsid w:val="12714AC1"/>
    <w:rsid w:val="12C0114D"/>
    <w:rsid w:val="12C10F3D"/>
    <w:rsid w:val="12E50E1D"/>
    <w:rsid w:val="130575AF"/>
    <w:rsid w:val="13300405"/>
    <w:rsid w:val="13332608"/>
    <w:rsid w:val="134B0678"/>
    <w:rsid w:val="135B0E75"/>
    <w:rsid w:val="136325A4"/>
    <w:rsid w:val="138322F2"/>
    <w:rsid w:val="1385499D"/>
    <w:rsid w:val="13951726"/>
    <w:rsid w:val="13A01524"/>
    <w:rsid w:val="13CF06B1"/>
    <w:rsid w:val="13E40E6B"/>
    <w:rsid w:val="140413EF"/>
    <w:rsid w:val="14264771"/>
    <w:rsid w:val="142A61B5"/>
    <w:rsid w:val="142F2704"/>
    <w:rsid w:val="14396509"/>
    <w:rsid w:val="1487408F"/>
    <w:rsid w:val="14946EB4"/>
    <w:rsid w:val="14B30FF0"/>
    <w:rsid w:val="14DD2C3C"/>
    <w:rsid w:val="14FD3AE7"/>
    <w:rsid w:val="15005841"/>
    <w:rsid w:val="15090827"/>
    <w:rsid w:val="15190FE8"/>
    <w:rsid w:val="153E7F13"/>
    <w:rsid w:val="15497818"/>
    <w:rsid w:val="154A7926"/>
    <w:rsid w:val="154F0CCC"/>
    <w:rsid w:val="1555552C"/>
    <w:rsid w:val="156141A0"/>
    <w:rsid w:val="15666092"/>
    <w:rsid w:val="15756B49"/>
    <w:rsid w:val="15802E15"/>
    <w:rsid w:val="158B1575"/>
    <w:rsid w:val="158F3058"/>
    <w:rsid w:val="15B778E8"/>
    <w:rsid w:val="15E04517"/>
    <w:rsid w:val="15E2660A"/>
    <w:rsid w:val="15EA028F"/>
    <w:rsid w:val="15F2355C"/>
    <w:rsid w:val="15FA6724"/>
    <w:rsid w:val="1606331B"/>
    <w:rsid w:val="16087E1D"/>
    <w:rsid w:val="160A26DF"/>
    <w:rsid w:val="161355EE"/>
    <w:rsid w:val="16322361"/>
    <w:rsid w:val="165E095B"/>
    <w:rsid w:val="16616780"/>
    <w:rsid w:val="1669342A"/>
    <w:rsid w:val="169B185C"/>
    <w:rsid w:val="16B20DAC"/>
    <w:rsid w:val="16B366F9"/>
    <w:rsid w:val="16E64EFA"/>
    <w:rsid w:val="16EA7CB4"/>
    <w:rsid w:val="172274E8"/>
    <w:rsid w:val="173151C4"/>
    <w:rsid w:val="17683B61"/>
    <w:rsid w:val="17701D14"/>
    <w:rsid w:val="17735226"/>
    <w:rsid w:val="1777334C"/>
    <w:rsid w:val="17864BFE"/>
    <w:rsid w:val="179D1A5D"/>
    <w:rsid w:val="17AF79E2"/>
    <w:rsid w:val="17DF3628"/>
    <w:rsid w:val="17DF6847"/>
    <w:rsid w:val="17E23BBC"/>
    <w:rsid w:val="17FC6F30"/>
    <w:rsid w:val="182A7068"/>
    <w:rsid w:val="182C4B8E"/>
    <w:rsid w:val="183B7D83"/>
    <w:rsid w:val="185F3779"/>
    <w:rsid w:val="18636A0E"/>
    <w:rsid w:val="18663041"/>
    <w:rsid w:val="18833083"/>
    <w:rsid w:val="18910E95"/>
    <w:rsid w:val="189F624C"/>
    <w:rsid w:val="18A72787"/>
    <w:rsid w:val="18A77880"/>
    <w:rsid w:val="18C01435"/>
    <w:rsid w:val="18C62076"/>
    <w:rsid w:val="18DC2461"/>
    <w:rsid w:val="18E45B15"/>
    <w:rsid w:val="191E4E1F"/>
    <w:rsid w:val="19240BBF"/>
    <w:rsid w:val="194C0ED4"/>
    <w:rsid w:val="1955075E"/>
    <w:rsid w:val="198A5A5A"/>
    <w:rsid w:val="19A64A85"/>
    <w:rsid w:val="19BA4B78"/>
    <w:rsid w:val="19C42AEA"/>
    <w:rsid w:val="19D144C1"/>
    <w:rsid w:val="19F75ECC"/>
    <w:rsid w:val="1A172A15"/>
    <w:rsid w:val="1A1C66C0"/>
    <w:rsid w:val="1A233F3A"/>
    <w:rsid w:val="1A246465"/>
    <w:rsid w:val="1A295829"/>
    <w:rsid w:val="1A42393B"/>
    <w:rsid w:val="1A4C59BC"/>
    <w:rsid w:val="1A5D7847"/>
    <w:rsid w:val="1A68449D"/>
    <w:rsid w:val="1A6C1BBA"/>
    <w:rsid w:val="1A8415E5"/>
    <w:rsid w:val="1A913E26"/>
    <w:rsid w:val="1A930EF5"/>
    <w:rsid w:val="1AAD45DE"/>
    <w:rsid w:val="1AB1523A"/>
    <w:rsid w:val="1AB55E29"/>
    <w:rsid w:val="1ADC2FA3"/>
    <w:rsid w:val="1AEE1179"/>
    <w:rsid w:val="1AF04731"/>
    <w:rsid w:val="1B046F80"/>
    <w:rsid w:val="1B122762"/>
    <w:rsid w:val="1B1242D6"/>
    <w:rsid w:val="1B2771BD"/>
    <w:rsid w:val="1B302BE8"/>
    <w:rsid w:val="1B3267B5"/>
    <w:rsid w:val="1B334486"/>
    <w:rsid w:val="1B3F131C"/>
    <w:rsid w:val="1B40161D"/>
    <w:rsid w:val="1B441859"/>
    <w:rsid w:val="1B521CD8"/>
    <w:rsid w:val="1B6606B1"/>
    <w:rsid w:val="1B6F7A31"/>
    <w:rsid w:val="1BA23CC7"/>
    <w:rsid w:val="1BA41D1E"/>
    <w:rsid w:val="1BAE23F1"/>
    <w:rsid w:val="1BBC26CD"/>
    <w:rsid w:val="1BBD091F"/>
    <w:rsid w:val="1BD45C69"/>
    <w:rsid w:val="1BDD3F75"/>
    <w:rsid w:val="1BDD488D"/>
    <w:rsid w:val="1BDE0896"/>
    <w:rsid w:val="1BF95F5B"/>
    <w:rsid w:val="1C177904"/>
    <w:rsid w:val="1C580A30"/>
    <w:rsid w:val="1C5E7925"/>
    <w:rsid w:val="1C705B1F"/>
    <w:rsid w:val="1C7132DC"/>
    <w:rsid w:val="1C782A98"/>
    <w:rsid w:val="1C7B24E2"/>
    <w:rsid w:val="1C986C96"/>
    <w:rsid w:val="1CC26829"/>
    <w:rsid w:val="1CC57909"/>
    <w:rsid w:val="1CD619DC"/>
    <w:rsid w:val="1CE05AC6"/>
    <w:rsid w:val="1CE77487"/>
    <w:rsid w:val="1CF7482D"/>
    <w:rsid w:val="1CF941B7"/>
    <w:rsid w:val="1CFD070F"/>
    <w:rsid w:val="1D00621A"/>
    <w:rsid w:val="1D1E3640"/>
    <w:rsid w:val="1D325A96"/>
    <w:rsid w:val="1D41732E"/>
    <w:rsid w:val="1D4726CE"/>
    <w:rsid w:val="1D5E3C71"/>
    <w:rsid w:val="1D5F1CD4"/>
    <w:rsid w:val="1D5F6196"/>
    <w:rsid w:val="1D6005A8"/>
    <w:rsid w:val="1D6132A5"/>
    <w:rsid w:val="1D730B6A"/>
    <w:rsid w:val="1D7E601C"/>
    <w:rsid w:val="1D8E56D5"/>
    <w:rsid w:val="1D994D98"/>
    <w:rsid w:val="1DA216B5"/>
    <w:rsid w:val="1DA5704F"/>
    <w:rsid w:val="1DAA659A"/>
    <w:rsid w:val="1DAD5595"/>
    <w:rsid w:val="1DB63878"/>
    <w:rsid w:val="1DBB7F27"/>
    <w:rsid w:val="1DC37D43"/>
    <w:rsid w:val="1DD7559C"/>
    <w:rsid w:val="1DDC2709"/>
    <w:rsid w:val="1E3474C8"/>
    <w:rsid w:val="1E567848"/>
    <w:rsid w:val="1E5F672D"/>
    <w:rsid w:val="1E675887"/>
    <w:rsid w:val="1E680B69"/>
    <w:rsid w:val="1E6E4A7A"/>
    <w:rsid w:val="1E7A43DA"/>
    <w:rsid w:val="1E833266"/>
    <w:rsid w:val="1E8D5A3F"/>
    <w:rsid w:val="1EB10CE8"/>
    <w:rsid w:val="1EBF67EB"/>
    <w:rsid w:val="1EC6177F"/>
    <w:rsid w:val="1EC82648"/>
    <w:rsid w:val="1ED3045A"/>
    <w:rsid w:val="1F022B7B"/>
    <w:rsid w:val="1F301408"/>
    <w:rsid w:val="1F363F96"/>
    <w:rsid w:val="1F3A06C3"/>
    <w:rsid w:val="1F620DFF"/>
    <w:rsid w:val="1F775289"/>
    <w:rsid w:val="1FB4024E"/>
    <w:rsid w:val="1FC009DE"/>
    <w:rsid w:val="1FD20711"/>
    <w:rsid w:val="1FDF698A"/>
    <w:rsid w:val="1FE7539E"/>
    <w:rsid w:val="1FF74882"/>
    <w:rsid w:val="20671BE0"/>
    <w:rsid w:val="207846EE"/>
    <w:rsid w:val="20874757"/>
    <w:rsid w:val="20963CB8"/>
    <w:rsid w:val="20A14610"/>
    <w:rsid w:val="20A81A1B"/>
    <w:rsid w:val="20B07FB6"/>
    <w:rsid w:val="20B646FB"/>
    <w:rsid w:val="20BE22D6"/>
    <w:rsid w:val="20C22534"/>
    <w:rsid w:val="20EA3301"/>
    <w:rsid w:val="21025026"/>
    <w:rsid w:val="21254871"/>
    <w:rsid w:val="213B74B1"/>
    <w:rsid w:val="214B18A0"/>
    <w:rsid w:val="215018EE"/>
    <w:rsid w:val="215A09BE"/>
    <w:rsid w:val="215A2310"/>
    <w:rsid w:val="216127E4"/>
    <w:rsid w:val="21710A4D"/>
    <w:rsid w:val="217C558A"/>
    <w:rsid w:val="21933ED0"/>
    <w:rsid w:val="21A67A19"/>
    <w:rsid w:val="21B93462"/>
    <w:rsid w:val="21C13980"/>
    <w:rsid w:val="21DE318A"/>
    <w:rsid w:val="21DF2C72"/>
    <w:rsid w:val="21EB1FBF"/>
    <w:rsid w:val="21EF5B80"/>
    <w:rsid w:val="21F958D2"/>
    <w:rsid w:val="21FD1485"/>
    <w:rsid w:val="22117958"/>
    <w:rsid w:val="222B78D5"/>
    <w:rsid w:val="223651A4"/>
    <w:rsid w:val="22412273"/>
    <w:rsid w:val="224D02EF"/>
    <w:rsid w:val="22576990"/>
    <w:rsid w:val="226D79AE"/>
    <w:rsid w:val="22995516"/>
    <w:rsid w:val="22B84EB0"/>
    <w:rsid w:val="22F02F4C"/>
    <w:rsid w:val="22F47480"/>
    <w:rsid w:val="22F67252"/>
    <w:rsid w:val="23070A66"/>
    <w:rsid w:val="23083C8E"/>
    <w:rsid w:val="23257791"/>
    <w:rsid w:val="234E16D0"/>
    <w:rsid w:val="235558E1"/>
    <w:rsid w:val="2355768F"/>
    <w:rsid w:val="23616C54"/>
    <w:rsid w:val="23643939"/>
    <w:rsid w:val="23645B24"/>
    <w:rsid w:val="23734083"/>
    <w:rsid w:val="239D1036"/>
    <w:rsid w:val="23A360C7"/>
    <w:rsid w:val="23A3664D"/>
    <w:rsid w:val="23B87B36"/>
    <w:rsid w:val="23C30737"/>
    <w:rsid w:val="23CD1F8A"/>
    <w:rsid w:val="23D94EC9"/>
    <w:rsid w:val="23DE1C48"/>
    <w:rsid w:val="23E32EED"/>
    <w:rsid w:val="23E85177"/>
    <w:rsid w:val="23FF584D"/>
    <w:rsid w:val="240210CD"/>
    <w:rsid w:val="244B43E3"/>
    <w:rsid w:val="24681644"/>
    <w:rsid w:val="247C6164"/>
    <w:rsid w:val="24950587"/>
    <w:rsid w:val="249917FE"/>
    <w:rsid w:val="24B65F0C"/>
    <w:rsid w:val="24BF09F7"/>
    <w:rsid w:val="24C40807"/>
    <w:rsid w:val="24E2181C"/>
    <w:rsid w:val="25057DA8"/>
    <w:rsid w:val="252D53FE"/>
    <w:rsid w:val="253A3592"/>
    <w:rsid w:val="254E5A36"/>
    <w:rsid w:val="25632C06"/>
    <w:rsid w:val="257A61D2"/>
    <w:rsid w:val="2584425C"/>
    <w:rsid w:val="25933310"/>
    <w:rsid w:val="259C46BD"/>
    <w:rsid w:val="25BC1C48"/>
    <w:rsid w:val="25C92241"/>
    <w:rsid w:val="25CE49D9"/>
    <w:rsid w:val="25D47E03"/>
    <w:rsid w:val="25DF1492"/>
    <w:rsid w:val="25E55E64"/>
    <w:rsid w:val="25EC2D81"/>
    <w:rsid w:val="26192BF6"/>
    <w:rsid w:val="261F21D6"/>
    <w:rsid w:val="263054C0"/>
    <w:rsid w:val="26334F09"/>
    <w:rsid w:val="263F0183"/>
    <w:rsid w:val="265A320F"/>
    <w:rsid w:val="26634B2F"/>
    <w:rsid w:val="267B565F"/>
    <w:rsid w:val="268977CD"/>
    <w:rsid w:val="268F3BD0"/>
    <w:rsid w:val="269F25A7"/>
    <w:rsid w:val="26AD2B71"/>
    <w:rsid w:val="26AF028F"/>
    <w:rsid w:val="26BA7AA5"/>
    <w:rsid w:val="26BC535F"/>
    <w:rsid w:val="26C81E2F"/>
    <w:rsid w:val="26F10503"/>
    <w:rsid w:val="272560F0"/>
    <w:rsid w:val="274E2D73"/>
    <w:rsid w:val="2751190E"/>
    <w:rsid w:val="275C6092"/>
    <w:rsid w:val="277057A2"/>
    <w:rsid w:val="27873B8F"/>
    <w:rsid w:val="27DA63B5"/>
    <w:rsid w:val="2826463E"/>
    <w:rsid w:val="282E45BA"/>
    <w:rsid w:val="283A5E96"/>
    <w:rsid w:val="285A7F1F"/>
    <w:rsid w:val="285B3CC3"/>
    <w:rsid w:val="285C2E4A"/>
    <w:rsid w:val="28D353DF"/>
    <w:rsid w:val="28D42E04"/>
    <w:rsid w:val="28E026ED"/>
    <w:rsid w:val="28E9700A"/>
    <w:rsid w:val="290B3D89"/>
    <w:rsid w:val="291D4228"/>
    <w:rsid w:val="29206000"/>
    <w:rsid w:val="2920604A"/>
    <w:rsid w:val="29206EB8"/>
    <w:rsid w:val="2942749F"/>
    <w:rsid w:val="29595666"/>
    <w:rsid w:val="29610315"/>
    <w:rsid w:val="296F60AE"/>
    <w:rsid w:val="297037AD"/>
    <w:rsid w:val="297828A6"/>
    <w:rsid w:val="297D798E"/>
    <w:rsid w:val="297F4232"/>
    <w:rsid w:val="29874881"/>
    <w:rsid w:val="29882C1C"/>
    <w:rsid w:val="298E50DF"/>
    <w:rsid w:val="29A0718A"/>
    <w:rsid w:val="29AE2DAD"/>
    <w:rsid w:val="29B274E5"/>
    <w:rsid w:val="29DF4A6F"/>
    <w:rsid w:val="29E325E0"/>
    <w:rsid w:val="2A140A5C"/>
    <w:rsid w:val="2A1D4E7B"/>
    <w:rsid w:val="2A202079"/>
    <w:rsid w:val="2A230C9B"/>
    <w:rsid w:val="2A307B20"/>
    <w:rsid w:val="2A336250"/>
    <w:rsid w:val="2A43463F"/>
    <w:rsid w:val="2A452503"/>
    <w:rsid w:val="2A4E54E8"/>
    <w:rsid w:val="2A5C6069"/>
    <w:rsid w:val="2A681272"/>
    <w:rsid w:val="2A7E571E"/>
    <w:rsid w:val="2A8A2314"/>
    <w:rsid w:val="2AA146F2"/>
    <w:rsid w:val="2ACB0237"/>
    <w:rsid w:val="2B0B38BD"/>
    <w:rsid w:val="2B2226C7"/>
    <w:rsid w:val="2B395F7F"/>
    <w:rsid w:val="2B3B74A1"/>
    <w:rsid w:val="2B4F21B4"/>
    <w:rsid w:val="2B742A09"/>
    <w:rsid w:val="2B756A06"/>
    <w:rsid w:val="2B851320"/>
    <w:rsid w:val="2B942D1F"/>
    <w:rsid w:val="2BA72275"/>
    <w:rsid w:val="2BA936A8"/>
    <w:rsid w:val="2BBC5615"/>
    <w:rsid w:val="2BC01D66"/>
    <w:rsid w:val="2BD31A99"/>
    <w:rsid w:val="2BE912BD"/>
    <w:rsid w:val="2C072B97"/>
    <w:rsid w:val="2C315A5A"/>
    <w:rsid w:val="2C3E7096"/>
    <w:rsid w:val="2C46226B"/>
    <w:rsid w:val="2C4B1C25"/>
    <w:rsid w:val="2C4B5AD3"/>
    <w:rsid w:val="2C5030EA"/>
    <w:rsid w:val="2C7D7687"/>
    <w:rsid w:val="2CAD22EA"/>
    <w:rsid w:val="2CFC24CD"/>
    <w:rsid w:val="2D0D3934"/>
    <w:rsid w:val="2D335FEA"/>
    <w:rsid w:val="2D346567"/>
    <w:rsid w:val="2D53577E"/>
    <w:rsid w:val="2D79041E"/>
    <w:rsid w:val="2D8D2C52"/>
    <w:rsid w:val="2D9E56F5"/>
    <w:rsid w:val="2DC76FCF"/>
    <w:rsid w:val="2DCE0F02"/>
    <w:rsid w:val="2DE51610"/>
    <w:rsid w:val="2E00222B"/>
    <w:rsid w:val="2E0F2B31"/>
    <w:rsid w:val="2E24482E"/>
    <w:rsid w:val="2E406FC4"/>
    <w:rsid w:val="2E450300"/>
    <w:rsid w:val="2E4D4C86"/>
    <w:rsid w:val="2E5640A3"/>
    <w:rsid w:val="2E597998"/>
    <w:rsid w:val="2E5A5DFA"/>
    <w:rsid w:val="2E610457"/>
    <w:rsid w:val="2E667F96"/>
    <w:rsid w:val="2E6739BF"/>
    <w:rsid w:val="2E6C11DA"/>
    <w:rsid w:val="2E7A61FC"/>
    <w:rsid w:val="2E7F447D"/>
    <w:rsid w:val="2E8226AB"/>
    <w:rsid w:val="2E860788"/>
    <w:rsid w:val="2E911C52"/>
    <w:rsid w:val="2E951F55"/>
    <w:rsid w:val="2EB10CDE"/>
    <w:rsid w:val="2ED169AC"/>
    <w:rsid w:val="2ED57A07"/>
    <w:rsid w:val="2EE06969"/>
    <w:rsid w:val="2EE113A8"/>
    <w:rsid w:val="2EE163AD"/>
    <w:rsid w:val="2EE95130"/>
    <w:rsid w:val="2EEA5024"/>
    <w:rsid w:val="2F0E4E31"/>
    <w:rsid w:val="2F2A2F86"/>
    <w:rsid w:val="2F377112"/>
    <w:rsid w:val="2F381748"/>
    <w:rsid w:val="2F382824"/>
    <w:rsid w:val="2F3F7372"/>
    <w:rsid w:val="2F5466E1"/>
    <w:rsid w:val="2F650C5A"/>
    <w:rsid w:val="2F683F08"/>
    <w:rsid w:val="2F6B49CC"/>
    <w:rsid w:val="2F754C15"/>
    <w:rsid w:val="2FA430E4"/>
    <w:rsid w:val="2FB53218"/>
    <w:rsid w:val="2FC06745"/>
    <w:rsid w:val="2FD065E6"/>
    <w:rsid w:val="2FD96870"/>
    <w:rsid w:val="2FDB53C0"/>
    <w:rsid w:val="2FEC2B66"/>
    <w:rsid w:val="2FF02762"/>
    <w:rsid w:val="3014442E"/>
    <w:rsid w:val="30156509"/>
    <w:rsid w:val="30172C4A"/>
    <w:rsid w:val="30197C97"/>
    <w:rsid w:val="303743D2"/>
    <w:rsid w:val="30580BC9"/>
    <w:rsid w:val="305A62E5"/>
    <w:rsid w:val="3070265D"/>
    <w:rsid w:val="308101D7"/>
    <w:rsid w:val="30814BA1"/>
    <w:rsid w:val="3088073D"/>
    <w:rsid w:val="309641D1"/>
    <w:rsid w:val="309B6A99"/>
    <w:rsid w:val="30A1545F"/>
    <w:rsid w:val="30A92DC8"/>
    <w:rsid w:val="30AF6576"/>
    <w:rsid w:val="30D140CD"/>
    <w:rsid w:val="30D27F7E"/>
    <w:rsid w:val="30D84848"/>
    <w:rsid w:val="30E85D10"/>
    <w:rsid w:val="30EB1633"/>
    <w:rsid w:val="30F15CDC"/>
    <w:rsid w:val="30F407A7"/>
    <w:rsid w:val="30FD0D95"/>
    <w:rsid w:val="31087285"/>
    <w:rsid w:val="31093867"/>
    <w:rsid w:val="311741D6"/>
    <w:rsid w:val="311C389A"/>
    <w:rsid w:val="311E2ED7"/>
    <w:rsid w:val="314B3E80"/>
    <w:rsid w:val="315619EE"/>
    <w:rsid w:val="315C449C"/>
    <w:rsid w:val="316568CD"/>
    <w:rsid w:val="316B2C57"/>
    <w:rsid w:val="317433D6"/>
    <w:rsid w:val="319F38CE"/>
    <w:rsid w:val="31AD0696"/>
    <w:rsid w:val="31B7355C"/>
    <w:rsid w:val="31B82709"/>
    <w:rsid w:val="31C5792B"/>
    <w:rsid w:val="31CD2AE7"/>
    <w:rsid w:val="31D05482"/>
    <w:rsid w:val="31D66EE9"/>
    <w:rsid w:val="31FA6D9F"/>
    <w:rsid w:val="320F4EAD"/>
    <w:rsid w:val="32186458"/>
    <w:rsid w:val="322F72FD"/>
    <w:rsid w:val="32400B34"/>
    <w:rsid w:val="326276D3"/>
    <w:rsid w:val="328E671A"/>
    <w:rsid w:val="329E6876"/>
    <w:rsid w:val="32BD6FFF"/>
    <w:rsid w:val="32D560F7"/>
    <w:rsid w:val="32E225C2"/>
    <w:rsid w:val="32F32A21"/>
    <w:rsid w:val="331721C3"/>
    <w:rsid w:val="3317670F"/>
    <w:rsid w:val="333015F2"/>
    <w:rsid w:val="334B6320"/>
    <w:rsid w:val="334E07A6"/>
    <w:rsid w:val="33552D94"/>
    <w:rsid w:val="33846C67"/>
    <w:rsid w:val="33A15302"/>
    <w:rsid w:val="33A412DC"/>
    <w:rsid w:val="33D934D4"/>
    <w:rsid w:val="33FE2F6A"/>
    <w:rsid w:val="340E07E5"/>
    <w:rsid w:val="34235BF7"/>
    <w:rsid w:val="34531429"/>
    <w:rsid w:val="345D3208"/>
    <w:rsid w:val="34602FDD"/>
    <w:rsid w:val="347F706F"/>
    <w:rsid w:val="34E16037"/>
    <w:rsid w:val="34F32864"/>
    <w:rsid w:val="35492DCC"/>
    <w:rsid w:val="354E4AE3"/>
    <w:rsid w:val="35533053"/>
    <w:rsid w:val="35731D6B"/>
    <w:rsid w:val="357363B7"/>
    <w:rsid w:val="3576493C"/>
    <w:rsid w:val="3586715F"/>
    <w:rsid w:val="358C5FA8"/>
    <w:rsid w:val="35926521"/>
    <w:rsid w:val="35943341"/>
    <w:rsid w:val="359673D3"/>
    <w:rsid w:val="35AE7CBF"/>
    <w:rsid w:val="35C15DF1"/>
    <w:rsid w:val="35C30390"/>
    <w:rsid w:val="35DC016C"/>
    <w:rsid w:val="35DE45B0"/>
    <w:rsid w:val="36074A7F"/>
    <w:rsid w:val="36486BE0"/>
    <w:rsid w:val="365366A3"/>
    <w:rsid w:val="366817EF"/>
    <w:rsid w:val="36716136"/>
    <w:rsid w:val="36806379"/>
    <w:rsid w:val="368E1235"/>
    <w:rsid w:val="36923549"/>
    <w:rsid w:val="36973A65"/>
    <w:rsid w:val="36AE738B"/>
    <w:rsid w:val="36B06643"/>
    <w:rsid w:val="36B75FBF"/>
    <w:rsid w:val="36BD0C45"/>
    <w:rsid w:val="36C400A0"/>
    <w:rsid w:val="36F47CE2"/>
    <w:rsid w:val="36FC30A3"/>
    <w:rsid w:val="37036E21"/>
    <w:rsid w:val="370B05AB"/>
    <w:rsid w:val="37271276"/>
    <w:rsid w:val="37377380"/>
    <w:rsid w:val="37405B09"/>
    <w:rsid w:val="375A12C0"/>
    <w:rsid w:val="3761653E"/>
    <w:rsid w:val="37625508"/>
    <w:rsid w:val="376B00B0"/>
    <w:rsid w:val="376E5B7E"/>
    <w:rsid w:val="37807A1C"/>
    <w:rsid w:val="37830AE7"/>
    <w:rsid w:val="378D0A0B"/>
    <w:rsid w:val="379B7E94"/>
    <w:rsid w:val="37A04A05"/>
    <w:rsid w:val="37A75B88"/>
    <w:rsid w:val="37E00298"/>
    <w:rsid w:val="37E40B8A"/>
    <w:rsid w:val="37ED5C91"/>
    <w:rsid w:val="37F214F9"/>
    <w:rsid w:val="37FF1366"/>
    <w:rsid w:val="38093155"/>
    <w:rsid w:val="382B67B9"/>
    <w:rsid w:val="3857135C"/>
    <w:rsid w:val="386341A5"/>
    <w:rsid w:val="38673C95"/>
    <w:rsid w:val="38773ACC"/>
    <w:rsid w:val="387D7D1C"/>
    <w:rsid w:val="389C5B4C"/>
    <w:rsid w:val="38B07939"/>
    <w:rsid w:val="38B302F9"/>
    <w:rsid w:val="38BE771C"/>
    <w:rsid w:val="38CA7D80"/>
    <w:rsid w:val="38EC24CB"/>
    <w:rsid w:val="38F12CD3"/>
    <w:rsid w:val="38F35173"/>
    <w:rsid w:val="38F8669B"/>
    <w:rsid w:val="38F94775"/>
    <w:rsid w:val="38FD6EBD"/>
    <w:rsid w:val="39161217"/>
    <w:rsid w:val="391B682D"/>
    <w:rsid w:val="392971ED"/>
    <w:rsid w:val="392E2DE3"/>
    <w:rsid w:val="39325651"/>
    <w:rsid w:val="39374ADD"/>
    <w:rsid w:val="393E6305"/>
    <w:rsid w:val="39472B23"/>
    <w:rsid w:val="39523D86"/>
    <w:rsid w:val="395A55A8"/>
    <w:rsid w:val="39755C60"/>
    <w:rsid w:val="39842625"/>
    <w:rsid w:val="399D36E6"/>
    <w:rsid w:val="39B7566E"/>
    <w:rsid w:val="39DC7D6B"/>
    <w:rsid w:val="3A042A9E"/>
    <w:rsid w:val="3A070B98"/>
    <w:rsid w:val="3A0B2151"/>
    <w:rsid w:val="3A20427C"/>
    <w:rsid w:val="3A3758E9"/>
    <w:rsid w:val="3A397547"/>
    <w:rsid w:val="3A872856"/>
    <w:rsid w:val="3AE63FE8"/>
    <w:rsid w:val="3AF863C4"/>
    <w:rsid w:val="3B222629"/>
    <w:rsid w:val="3B2E0210"/>
    <w:rsid w:val="3B3763D1"/>
    <w:rsid w:val="3B4B0235"/>
    <w:rsid w:val="3B51070A"/>
    <w:rsid w:val="3B571376"/>
    <w:rsid w:val="3B791E52"/>
    <w:rsid w:val="3BAD22F7"/>
    <w:rsid w:val="3BC031BF"/>
    <w:rsid w:val="3BCB69EF"/>
    <w:rsid w:val="3BCD0B24"/>
    <w:rsid w:val="3BE949C1"/>
    <w:rsid w:val="3BF93444"/>
    <w:rsid w:val="3BFD503A"/>
    <w:rsid w:val="3C017F5D"/>
    <w:rsid w:val="3C100ED6"/>
    <w:rsid w:val="3C2F6E1E"/>
    <w:rsid w:val="3C446345"/>
    <w:rsid w:val="3C4B76EA"/>
    <w:rsid w:val="3C4F64BA"/>
    <w:rsid w:val="3C63550D"/>
    <w:rsid w:val="3C771FCD"/>
    <w:rsid w:val="3C961E40"/>
    <w:rsid w:val="3C9A0E61"/>
    <w:rsid w:val="3CB44FCF"/>
    <w:rsid w:val="3CDA245A"/>
    <w:rsid w:val="3CEA279F"/>
    <w:rsid w:val="3CFF77C3"/>
    <w:rsid w:val="3D17730C"/>
    <w:rsid w:val="3D1D4460"/>
    <w:rsid w:val="3D1E06B7"/>
    <w:rsid w:val="3D40214C"/>
    <w:rsid w:val="3D717ED1"/>
    <w:rsid w:val="3D996062"/>
    <w:rsid w:val="3D9C6460"/>
    <w:rsid w:val="3DCA3169"/>
    <w:rsid w:val="3DDF607B"/>
    <w:rsid w:val="3DE73182"/>
    <w:rsid w:val="3DE8745E"/>
    <w:rsid w:val="3DED146C"/>
    <w:rsid w:val="3DF80EEB"/>
    <w:rsid w:val="3DF86485"/>
    <w:rsid w:val="3E280AB6"/>
    <w:rsid w:val="3E570308"/>
    <w:rsid w:val="3E784DEA"/>
    <w:rsid w:val="3E7A446C"/>
    <w:rsid w:val="3E946E66"/>
    <w:rsid w:val="3E9E1A93"/>
    <w:rsid w:val="3EC51715"/>
    <w:rsid w:val="3EC51A06"/>
    <w:rsid w:val="3EDA0523"/>
    <w:rsid w:val="3EE623D1"/>
    <w:rsid w:val="3EEC4EF4"/>
    <w:rsid w:val="3EF55F56"/>
    <w:rsid w:val="3F1D1D3F"/>
    <w:rsid w:val="3F343DA0"/>
    <w:rsid w:val="3F3B388B"/>
    <w:rsid w:val="3F4134FA"/>
    <w:rsid w:val="3F487C50"/>
    <w:rsid w:val="3F5262EB"/>
    <w:rsid w:val="3F5C46E6"/>
    <w:rsid w:val="3F5D7BA0"/>
    <w:rsid w:val="3F6B622A"/>
    <w:rsid w:val="3F796754"/>
    <w:rsid w:val="3F926227"/>
    <w:rsid w:val="3F93711E"/>
    <w:rsid w:val="3F94763F"/>
    <w:rsid w:val="3F956AB6"/>
    <w:rsid w:val="3FD067E3"/>
    <w:rsid w:val="3FD34F25"/>
    <w:rsid w:val="3FDC579F"/>
    <w:rsid w:val="3FE200A5"/>
    <w:rsid w:val="3FF878C8"/>
    <w:rsid w:val="40095632"/>
    <w:rsid w:val="400F6201"/>
    <w:rsid w:val="400F7B12"/>
    <w:rsid w:val="401D7E01"/>
    <w:rsid w:val="403035FF"/>
    <w:rsid w:val="404F7D01"/>
    <w:rsid w:val="405237FD"/>
    <w:rsid w:val="40612931"/>
    <w:rsid w:val="407A6407"/>
    <w:rsid w:val="40957E2C"/>
    <w:rsid w:val="40963E5D"/>
    <w:rsid w:val="40A47108"/>
    <w:rsid w:val="40CF687B"/>
    <w:rsid w:val="40D07EFD"/>
    <w:rsid w:val="40E8566F"/>
    <w:rsid w:val="41055F09"/>
    <w:rsid w:val="414E7F32"/>
    <w:rsid w:val="41597EF3"/>
    <w:rsid w:val="41633578"/>
    <w:rsid w:val="416F3BBA"/>
    <w:rsid w:val="41706A33"/>
    <w:rsid w:val="41814FFF"/>
    <w:rsid w:val="41A35402"/>
    <w:rsid w:val="41B6527A"/>
    <w:rsid w:val="41D77E86"/>
    <w:rsid w:val="4200449D"/>
    <w:rsid w:val="42355B4F"/>
    <w:rsid w:val="423A3BCC"/>
    <w:rsid w:val="423E5C7F"/>
    <w:rsid w:val="42415B02"/>
    <w:rsid w:val="424E57D2"/>
    <w:rsid w:val="425B1450"/>
    <w:rsid w:val="427B7848"/>
    <w:rsid w:val="42925DB2"/>
    <w:rsid w:val="42A11B51"/>
    <w:rsid w:val="42B26C49"/>
    <w:rsid w:val="42FC147E"/>
    <w:rsid w:val="430D3587"/>
    <w:rsid w:val="433A6FE6"/>
    <w:rsid w:val="434227C5"/>
    <w:rsid w:val="43480868"/>
    <w:rsid w:val="4350713C"/>
    <w:rsid w:val="436653E0"/>
    <w:rsid w:val="436E4B10"/>
    <w:rsid w:val="436F49F9"/>
    <w:rsid w:val="43814017"/>
    <w:rsid w:val="43BC29BB"/>
    <w:rsid w:val="43BD0F6E"/>
    <w:rsid w:val="43BD6E5F"/>
    <w:rsid w:val="43BF7315"/>
    <w:rsid w:val="43C4431A"/>
    <w:rsid w:val="43D13BDA"/>
    <w:rsid w:val="43E268C5"/>
    <w:rsid w:val="43E7775F"/>
    <w:rsid w:val="43EA671A"/>
    <w:rsid w:val="440A7BCA"/>
    <w:rsid w:val="440D3C5A"/>
    <w:rsid w:val="442B3EE9"/>
    <w:rsid w:val="443E401C"/>
    <w:rsid w:val="447137A5"/>
    <w:rsid w:val="4488746D"/>
    <w:rsid w:val="449A71A0"/>
    <w:rsid w:val="449D218D"/>
    <w:rsid w:val="44B951CC"/>
    <w:rsid w:val="44BE2E8F"/>
    <w:rsid w:val="44C67A8A"/>
    <w:rsid w:val="44CD14E0"/>
    <w:rsid w:val="44CD7E13"/>
    <w:rsid w:val="44E35A2E"/>
    <w:rsid w:val="44F20B0B"/>
    <w:rsid w:val="45100203"/>
    <w:rsid w:val="451231DA"/>
    <w:rsid w:val="45126D2D"/>
    <w:rsid w:val="452A7294"/>
    <w:rsid w:val="452B7DF8"/>
    <w:rsid w:val="452E5F4C"/>
    <w:rsid w:val="45356B95"/>
    <w:rsid w:val="45372C41"/>
    <w:rsid w:val="454021E6"/>
    <w:rsid w:val="45526AFF"/>
    <w:rsid w:val="45612018"/>
    <w:rsid w:val="458946E9"/>
    <w:rsid w:val="45A47C0E"/>
    <w:rsid w:val="45AD30C5"/>
    <w:rsid w:val="45B140E3"/>
    <w:rsid w:val="45D40490"/>
    <w:rsid w:val="45D71D2E"/>
    <w:rsid w:val="45E52077"/>
    <w:rsid w:val="460C7E91"/>
    <w:rsid w:val="46113492"/>
    <w:rsid w:val="462D6C1B"/>
    <w:rsid w:val="462D7172"/>
    <w:rsid w:val="46456C98"/>
    <w:rsid w:val="46496788"/>
    <w:rsid w:val="46577FD6"/>
    <w:rsid w:val="467A20DB"/>
    <w:rsid w:val="46845A12"/>
    <w:rsid w:val="46D955A7"/>
    <w:rsid w:val="46F030A7"/>
    <w:rsid w:val="46F17818"/>
    <w:rsid w:val="46FC6FC1"/>
    <w:rsid w:val="47093A73"/>
    <w:rsid w:val="47133957"/>
    <w:rsid w:val="474F1D27"/>
    <w:rsid w:val="476461BE"/>
    <w:rsid w:val="477737C9"/>
    <w:rsid w:val="47906638"/>
    <w:rsid w:val="47A07E0C"/>
    <w:rsid w:val="47A16222"/>
    <w:rsid w:val="47D44777"/>
    <w:rsid w:val="47FF4729"/>
    <w:rsid w:val="48081741"/>
    <w:rsid w:val="480D18E1"/>
    <w:rsid w:val="481C5448"/>
    <w:rsid w:val="484C70D7"/>
    <w:rsid w:val="4858307D"/>
    <w:rsid w:val="486755EB"/>
    <w:rsid w:val="4870272E"/>
    <w:rsid w:val="48A24875"/>
    <w:rsid w:val="48B40DA3"/>
    <w:rsid w:val="48D17A0D"/>
    <w:rsid w:val="48F50E49"/>
    <w:rsid w:val="48F549A5"/>
    <w:rsid w:val="49497BDC"/>
    <w:rsid w:val="496863A6"/>
    <w:rsid w:val="4968786D"/>
    <w:rsid w:val="49786131"/>
    <w:rsid w:val="4979723C"/>
    <w:rsid w:val="497C0C22"/>
    <w:rsid w:val="498220E6"/>
    <w:rsid w:val="498B57E2"/>
    <w:rsid w:val="499C7517"/>
    <w:rsid w:val="49C76CAB"/>
    <w:rsid w:val="49DC7715"/>
    <w:rsid w:val="49E620CF"/>
    <w:rsid w:val="49EC1F28"/>
    <w:rsid w:val="4A023139"/>
    <w:rsid w:val="4A1B37FC"/>
    <w:rsid w:val="4A25767D"/>
    <w:rsid w:val="4A4C6847"/>
    <w:rsid w:val="4A5673B8"/>
    <w:rsid w:val="4A602910"/>
    <w:rsid w:val="4A611FC4"/>
    <w:rsid w:val="4A723167"/>
    <w:rsid w:val="4A7B576F"/>
    <w:rsid w:val="4A815424"/>
    <w:rsid w:val="4A892AA5"/>
    <w:rsid w:val="4A8C27E6"/>
    <w:rsid w:val="4AF34F14"/>
    <w:rsid w:val="4AF561A9"/>
    <w:rsid w:val="4B1A4B97"/>
    <w:rsid w:val="4B1B26BD"/>
    <w:rsid w:val="4B2515FD"/>
    <w:rsid w:val="4B4B4D50"/>
    <w:rsid w:val="4B4E65EF"/>
    <w:rsid w:val="4B555BCF"/>
    <w:rsid w:val="4B702A09"/>
    <w:rsid w:val="4B7327E6"/>
    <w:rsid w:val="4B756271"/>
    <w:rsid w:val="4B92472D"/>
    <w:rsid w:val="4B9A64FB"/>
    <w:rsid w:val="4B9C6F93"/>
    <w:rsid w:val="4BA206E8"/>
    <w:rsid w:val="4BB27829"/>
    <w:rsid w:val="4BB941BC"/>
    <w:rsid w:val="4BBF68F6"/>
    <w:rsid w:val="4BD6051A"/>
    <w:rsid w:val="4BE07B8E"/>
    <w:rsid w:val="4C186C68"/>
    <w:rsid w:val="4C4A0649"/>
    <w:rsid w:val="4C7E5ECA"/>
    <w:rsid w:val="4C876AA5"/>
    <w:rsid w:val="4C9E09F7"/>
    <w:rsid w:val="4CB87F65"/>
    <w:rsid w:val="4CBD7B10"/>
    <w:rsid w:val="4CC22F86"/>
    <w:rsid w:val="4CC254E6"/>
    <w:rsid w:val="4CC312AD"/>
    <w:rsid w:val="4CC610F0"/>
    <w:rsid w:val="4CEA67EB"/>
    <w:rsid w:val="4CEF4F02"/>
    <w:rsid w:val="4CF75AB0"/>
    <w:rsid w:val="4CFB6302"/>
    <w:rsid w:val="4D01672A"/>
    <w:rsid w:val="4D0E00FB"/>
    <w:rsid w:val="4D10183F"/>
    <w:rsid w:val="4D176606"/>
    <w:rsid w:val="4D4D11A6"/>
    <w:rsid w:val="4D697710"/>
    <w:rsid w:val="4DA22C22"/>
    <w:rsid w:val="4DA364F2"/>
    <w:rsid w:val="4DC332C4"/>
    <w:rsid w:val="4DC66797"/>
    <w:rsid w:val="4DCE3A17"/>
    <w:rsid w:val="4DE35F39"/>
    <w:rsid w:val="4DEC4FB0"/>
    <w:rsid w:val="4DF214C3"/>
    <w:rsid w:val="4DFA0CB0"/>
    <w:rsid w:val="4E075D8A"/>
    <w:rsid w:val="4E093A17"/>
    <w:rsid w:val="4E096E86"/>
    <w:rsid w:val="4E173E84"/>
    <w:rsid w:val="4E2F6BAB"/>
    <w:rsid w:val="4E516B22"/>
    <w:rsid w:val="4E530EBE"/>
    <w:rsid w:val="4E561001"/>
    <w:rsid w:val="4E6D3230"/>
    <w:rsid w:val="4EB40842"/>
    <w:rsid w:val="4EB62E28"/>
    <w:rsid w:val="4EC00FAD"/>
    <w:rsid w:val="4EFB424F"/>
    <w:rsid w:val="4F253B0A"/>
    <w:rsid w:val="4F455F5A"/>
    <w:rsid w:val="4F4A36BE"/>
    <w:rsid w:val="4F5827B5"/>
    <w:rsid w:val="4F8272FA"/>
    <w:rsid w:val="4F864551"/>
    <w:rsid w:val="4F9843DC"/>
    <w:rsid w:val="4FBF11AA"/>
    <w:rsid w:val="4FC60F3A"/>
    <w:rsid w:val="4FC62A8C"/>
    <w:rsid w:val="4FE20F0D"/>
    <w:rsid w:val="4FE47521"/>
    <w:rsid w:val="4FE51552"/>
    <w:rsid w:val="4FF5653C"/>
    <w:rsid w:val="4FFA054B"/>
    <w:rsid w:val="50013F50"/>
    <w:rsid w:val="50111EE2"/>
    <w:rsid w:val="501D04CE"/>
    <w:rsid w:val="5023629C"/>
    <w:rsid w:val="50303B05"/>
    <w:rsid w:val="5031572A"/>
    <w:rsid w:val="504F2CD4"/>
    <w:rsid w:val="50504C4B"/>
    <w:rsid w:val="505437C8"/>
    <w:rsid w:val="505E3973"/>
    <w:rsid w:val="5066262C"/>
    <w:rsid w:val="50722D7F"/>
    <w:rsid w:val="509C6E7C"/>
    <w:rsid w:val="50C04D6B"/>
    <w:rsid w:val="50C60EF7"/>
    <w:rsid w:val="50DD7286"/>
    <w:rsid w:val="50FC089B"/>
    <w:rsid w:val="510C31D4"/>
    <w:rsid w:val="510F05CE"/>
    <w:rsid w:val="51174780"/>
    <w:rsid w:val="51200A2D"/>
    <w:rsid w:val="513A1AEF"/>
    <w:rsid w:val="514F6FF6"/>
    <w:rsid w:val="5162104E"/>
    <w:rsid w:val="51673850"/>
    <w:rsid w:val="51B36AED"/>
    <w:rsid w:val="51E1640E"/>
    <w:rsid w:val="51E67581"/>
    <w:rsid w:val="51F07F4B"/>
    <w:rsid w:val="521758C8"/>
    <w:rsid w:val="52360B8B"/>
    <w:rsid w:val="52366E7C"/>
    <w:rsid w:val="523B3EDA"/>
    <w:rsid w:val="523E73BD"/>
    <w:rsid w:val="52410886"/>
    <w:rsid w:val="524B3BB4"/>
    <w:rsid w:val="5250485D"/>
    <w:rsid w:val="526F3A1A"/>
    <w:rsid w:val="52744BA5"/>
    <w:rsid w:val="527821A3"/>
    <w:rsid w:val="527A442E"/>
    <w:rsid w:val="529E1010"/>
    <w:rsid w:val="52AB4326"/>
    <w:rsid w:val="52B5378E"/>
    <w:rsid w:val="52B96A43"/>
    <w:rsid w:val="52C553E8"/>
    <w:rsid w:val="52CD63B2"/>
    <w:rsid w:val="53051C89"/>
    <w:rsid w:val="53053561"/>
    <w:rsid w:val="530A6B20"/>
    <w:rsid w:val="53206AC2"/>
    <w:rsid w:val="534112A6"/>
    <w:rsid w:val="534529CD"/>
    <w:rsid w:val="5358034C"/>
    <w:rsid w:val="536B720E"/>
    <w:rsid w:val="53705894"/>
    <w:rsid w:val="53A039CC"/>
    <w:rsid w:val="53A1505A"/>
    <w:rsid w:val="53C402D2"/>
    <w:rsid w:val="53EC1861"/>
    <w:rsid w:val="53FC12DE"/>
    <w:rsid w:val="53FF5A3F"/>
    <w:rsid w:val="54063E08"/>
    <w:rsid w:val="540D0DB2"/>
    <w:rsid w:val="540E1011"/>
    <w:rsid w:val="54293E31"/>
    <w:rsid w:val="543437E8"/>
    <w:rsid w:val="543A78B4"/>
    <w:rsid w:val="545D6F6D"/>
    <w:rsid w:val="54720CF8"/>
    <w:rsid w:val="549513A8"/>
    <w:rsid w:val="54984662"/>
    <w:rsid w:val="549B5FE3"/>
    <w:rsid w:val="54AE00FE"/>
    <w:rsid w:val="54B75204"/>
    <w:rsid w:val="54BF230B"/>
    <w:rsid w:val="54DA6459"/>
    <w:rsid w:val="54F73313"/>
    <w:rsid w:val="54F80955"/>
    <w:rsid w:val="54F839D0"/>
    <w:rsid w:val="552C341D"/>
    <w:rsid w:val="55314FB7"/>
    <w:rsid w:val="554F368F"/>
    <w:rsid w:val="555170A7"/>
    <w:rsid w:val="55520454"/>
    <w:rsid w:val="55853555"/>
    <w:rsid w:val="5587536D"/>
    <w:rsid w:val="559B174B"/>
    <w:rsid w:val="55A10450"/>
    <w:rsid w:val="55B22172"/>
    <w:rsid w:val="55B24970"/>
    <w:rsid w:val="55C91693"/>
    <w:rsid w:val="55CE0CF4"/>
    <w:rsid w:val="55D02241"/>
    <w:rsid w:val="55D3255C"/>
    <w:rsid w:val="55E97640"/>
    <w:rsid w:val="55EE10FA"/>
    <w:rsid w:val="56004989"/>
    <w:rsid w:val="56373205"/>
    <w:rsid w:val="56373A45"/>
    <w:rsid w:val="566D62CB"/>
    <w:rsid w:val="566D67EB"/>
    <w:rsid w:val="56723AD9"/>
    <w:rsid w:val="56872972"/>
    <w:rsid w:val="568B455C"/>
    <w:rsid w:val="56A20F7C"/>
    <w:rsid w:val="56AF5FD6"/>
    <w:rsid w:val="56B210D7"/>
    <w:rsid w:val="56B22A9C"/>
    <w:rsid w:val="56C12C6B"/>
    <w:rsid w:val="56C1680E"/>
    <w:rsid w:val="56CD51B3"/>
    <w:rsid w:val="56D7393C"/>
    <w:rsid w:val="56DE7495"/>
    <w:rsid w:val="56E024CA"/>
    <w:rsid w:val="56EA2FE5"/>
    <w:rsid w:val="56FF5B35"/>
    <w:rsid w:val="57085403"/>
    <w:rsid w:val="570E19B8"/>
    <w:rsid w:val="571F691E"/>
    <w:rsid w:val="57426116"/>
    <w:rsid w:val="574261D1"/>
    <w:rsid w:val="574F3E1A"/>
    <w:rsid w:val="57532F8E"/>
    <w:rsid w:val="576F1DC6"/>
    <w:rsid w:val="57772010"/>
    <w:rsid w:val="577A05B5"/>
    <w:rsid w:val="578A4E52"/>
    <w:rsid w:val="57A777B2"/>
    <w:rsid w:val="57AD375A"/>
    <w:rsid w:val="57B72A76"/>
    <w:rsid w:val="57C2639A"/>
    <w:rsid w:val="57C3426C"/>
    <w:rsid w:val="57CE1F93"/>
    <w:rsid w:val="57D61E46"/>
    <w:rsid w:val="57DF519E"/>
    <w:rsid w:val="58027C9C"/>
    <w:rsid w:val="58093FC9"/>
    <w:rsid w:val="581949DE"/>
    <w:rsid w:val="583C42B6"/>
    <w:rsid w:val="58670D6E"/>
    <w:rsid w:val="586D09FC"/>
    <w:rsid w:val="58725E54"/>
    <w:rsid w:val="58726012"/>
    <w:rsid w:val="588743D1"/>
    <w:rsid w:val="5887701A"/>
    <w:rsid w:val="589774CF"/>
    <w:rsid w:val="589F1382"/>
    <w:rsid w:val="58A43CF2"/>
    <w:rsid w:val="58D16117"/>
    <w:rsid w:val="58D57158"/>
    <w:rsid w:val="58FB25DD"/>
    <w:rsid w:val="58FC1D80"/>
    <w:rsid w:val="590957E4"/>
    <w:rsid w:val="59120BC1"/>
    <w:rsid w:val="5919648E"/>
    <w:rsid w:val="592D018B"/>
    <w:rsid w:val="598B6C60"/>
    <w:rsid w:val="59925215"/>
    <w:rsid w:val="599D70BF"/>
    <w:rsid w:val="59C0439F"/>
    <w:rsid w:val="59CC40DA"/>
    <w:rsid w:val="59DB1995"/>
    <w:rsid w:val="5A0A04CC"/>
    <w:rsid w:val="5A0A4204"/>
    <w:rsid w:val="5A205E72"/>
    <w:rsid w:val="5A3A4BF5"/>
    <w:rsid w:val="5A47702B"/>
    <w:rsid w:val="5A7F2485"/>
    <w:rsid w:val="5A9B4598"/>
    <w:rsid w:val="5ABE2233"/>
    <w:rsid w:val="5AC02939"/>
    <w:rsid w:val="5AE605F2"/>
    <w:rsid w:val="5AE70EB7"/>
    <w:rsid w:val="5AEB5C08"/>
    <w:rsid w:val="5B106CEA"/>
    <w:rsid w:val="5B153663"/>
    <w:rsid w:val="5B1B2D14"/>
    <w:rsid w:val="5B3E6680"/>
    <w:rsid w:val="5BBC287D"/>
    <w:rsid w:val="5BC54DAD"/>
    <w:rsid w:val="5BDD7C46"/>
    <w:rsid w:val="5BDF5D95"/>
    <w:rsid w:val="5BFE5E0F"/>
    <w:rsid w:val="5BFE7528"/>
    <w:rsid w:val="5C1F3637"/>
    <w:rsid w:val="5C217E2B"/>
    <w:rsid w:val="5C2A2760"/>
    <w:rsid w:val="5C3B496D"/>
    <w:rsid w:val="5C4943A0"/>
    <w:rsid w:val="5C5D48E3"/>
    <w:rsid w:val="5CF1327E"/>
    <w:rsid w:val="5D0530DC"/>
    <w:rsid w:val="5D150526"/>
    <w:rsid w:val="5D284EF1"/>
    <w:rsid w:val="5D3B29D7"/>
    <w:rsid w:val="5D4C029F"/>
    <w:rsid w:val="5D526412"/>
    <w:rsid w:val="5D5C103F"/>
    <w:rsid w:val="5D760AA6"/>
    <w:rsid w:val="5D80754E"/>
    <w:rsid w:val="5D9B7CF5"/>
    <w:rsid w:val="5DCC1624"/>
    <w:rsid w:val="5DD3593E"/>
    <w:rsid w:val="5DE54B90"/>
    <w:rsid w:val="5E164AF7"/>
    <w:rsid w:val="5E1E00A2"/>
    <w:rsid w:val="5E2467F1"/>
    <w:rsid w:val="5E4B08DB"/>
    <w:rsid w:val="5E5341F0"/>
    <w:rsid w:val="5E573D11"/>
    <w:rsid w:val="5E841515"/>
    <w:rsid w:val="5E875C6B"/>
    <w:rsid w:val="5E911837"/>
    <w:rsid w:val="5E967ED9"/>
    <w:rsid w:val="5EAD0409"/>
    <w:rsid w:val="5EBC30A5"/>
    <w:rsid w:val="5EF55450"/>
    <w:rsid w:val="5F1A2B43"/>
    <w:rsid w:val="5F2136D8"/>
    <w:rsid w:val="5F430218"/>
    <w:rsid w:val="5F5C5FB8"/>
    <w:rsid w:val="5F95306B"/>
    <w:rsid w:val="5FA236FB"/>
    <w:rsid w:val="5FA545A4"/>
    <w:rsid w:val="5FAA0EAA"/>
    <w:rsid w:val="5FB837BB"/>
    <w:rsid w:val="5FBF7D7B"/>
    <w:rsid w:val="5FD96977"/>
    <w:rsid w:val="5FEA4962"/>
    <w:rsid w:val="5FF64E8D"/>
    <w:rsid w:val="5FF87E9A"/>
    <w:rsid w:val="600C24C2"/>
    <w:rsid w:val="60112CA1"/>
    <w:rsid w:val="603B17F6"/>
    <w:rsid w:val="603D5747"/>
    <w:rsid w:val="60430FDA"/>
    <w:rsid w:val="605E5A86"/>
    <w:rsid w:val="607700FB"/>
    <w:rsid w:val="607B1FFF"/>
    <w:rsid w:val="60851757"/>
    <w:rsid w:val="60A725D1"/>
    <w:rsid w:val="60CC405A"/>
    <w:rsid w:val="60D05D1B"/>
    <w:rsid w:val="610D0BD0"/>
    <w:rsid w:val="610F5757"/>
    <w:rsid w:val="61181721"/>
    <w:rsid w:val="612105D5"/>
    <w:rsid w:val="61302A02"/>
    <w:rsid w:val="615E238B"/>
    <w:rsid w:val="61693D2A"/>
    <w:rsid w:val="61811074"/>
    <w:rsid w:val="61874052"/>
    <w:rsid w:val="61891CD7"/>
    <w:rsid w:val="61AA30B4"/>
    <w:rsid w:val="61C467F7"/>
    <w:rsid w:val="61E215D8"/>
    <w:rsid w:val="61E6232A"/>
    <w:rsid w:val="61FE26C5"/>
    <w:rsid w:val="6200468F"/>
    <w:rsid w:val="621B3775"/>
    <w:rsid w:val="62273D50"/>
    <w:rsid w:val="62364782"/>
    <w:rsid w:val="62397BA1"/>
    <w:rsid w:val="623C4449"/>
    <w:rsid w:val="625A58C6"/>
    <w:rsid w:val="6275017D"/>
    <w:rsid w:val="62AA708A"/>
    <w:rsid w:val="62DD4B3D"/>
    <w:rsid w:val="62DF2DB2"/>
    <w:rsid w:val="62E73159"/>
    <w:rsid w:val="62F128A8"/>
    <w:rsid w:val="62F769D0"/>
    <w:rsid w:val="633C4575"/>
    <w:rsid w:val="63534C92"/>
    <w:rsid w:val="636724EC"/>
    <w:rsid w:val="637322FD"/>
    <w:rsid w:val="63732C3E"/>
    <w:rsid w:val="638547A7"/>
    <w:rsid w:val="6394356A"/>
    <w:rsid w:val="63AD4637"/>
    <w:rsid w:val="63C61B2C"/>
    <w:rsid w:val="63D40BE9"/>
    <w:rsid w:val="63ED18DE"/>
    <w:rsid w:val="640E648B"/>
    <w:rsid w:val="64102431"/>
    <w:rsid w:val="64114199"/>
    <w:rsid w:val="64287ECD"/>
    <w:rsid w:val="6435353A"/>
    <w:rsid w:val="644F5459"/>
    <w:rsid w:val="64703839"/>
    <w:rsid w:val="64835103"/>
    <w:rsid w:val="64953CF2"/>
    <w:rsid w:val="649C5640"/>
    <w:rsid w:val="64A5243A"/>
    <w:rsid w:val="64CD585D"/>
    <w:rsid w:val="64ED07CF"/>
    <w:rsid w:val="64F531DE"/>
    <w:rsid w:val="64F92717"/>
    <w:rsid w:val="65075602"/>
    <w:rsid w:val="650A3B2D"/>
    <w:rsid w:val="65373578"/>
    <w:rsid w:val="653A0992"/>
    <w:rsid w:val="65411F74"/>
    <w:rsid w:val="65570C29"/>
    <w:rsid w:val="65626BE9"/>
    <w:rsid w:val="6566711C"/>
    <w:rsid w:val="65BF28EC"/>
    <w:rsid w:val="65C43C25"/>
    <w:rsid w:val="65E16216"/>
    <w:rsid w:val="65F938CF"/>
    <w:rsid w:val="66066336"/>
    <w:rsid w:val="661E7CAB"/>
    <w:rsid w:val="662A6CE6"/>
    <w:rsid w:val="662C5E95"/>
    <w:rsid w:val="664C4B61"/>
    <w:rsid w:val="664D2F80"/>
    <w:rsid w:val="66614167"/>
    <w:rsid w:val="666207F9"/>
    <w:rsid w:val="66941A4D"/>
    <w:rsid w:val="66B13E06"/>
    <w:rsid w:val="66CE0A06"/>
    <w:rsid w:val="66D36268"/>
    <w:rsid w:val="66E2321F"/>
    <w:rsid w:val="66EC3434"/>
    <w:rsid w:val="66EC5D4F"/>
    <w:rsid w:val="66F2031E"/>
    <w:rsid w:val="670562A3"/>
    <w:rsid w:val="670A567F"/>
    <w:rsid w:val="67106001"/>
    <w:rsid w:val="67137B2E"/>
    <w:rsid w:val="671A2875"/>
    <w:rsid w:val="671B0B60"/>
    <w:rsid w:val="671F124A"/>
    <w:rsid w:val="6726639E"/>
    <w:rsid w:val="677A33C6"/>
    <w:rsid w:val="67851192"/>
    <w:rsid w:val="679338AF"/>
    <w:rsid w:val="67A55390"/>
    <w:rsid w:val="67DB78E3"/>
    <w:rsid w:val="67E05E01"/>
    <w:rsid w:val="67E50B7E"/>
    <w:rsid w:val="67FE0901"/>
    <w:rsid w:val="68104D86"/>
    <w:rsid w:val="681F15E7"/>
    <w:rsid w:val="681F6961"/>
    <w:rsid w:val="68610A2F"/>
    <w:rsid w:val="686C3201"/>
    <w:rsid w:val="68805514"/>
    <w:rsid w:val="688C2C55"/>
    <w:rsid w:val="68921DB9"/>
    <w:rsid w:val="689618A9"/>
    <w:rsid w:val="68CA50AF"/>
    <w:rsid w:val="68CD2DF1"/>
    <w:rsid w:val="68DB550E"/>
    <w:rsid w:val="68DC3034"/>
    <w:rsid w:val="68E334D4"/>
    <w:rsid w:val="68FB03B5"/>
    <w:rsid w:val="6931512E"/>
    <w:rsid w:val="69316E2F"/>
    <w:rsid w:val="693654E7"/>
    <w:rsid w:val="6940349D"/>
    <w:rsid w:val="69407A67"/>
    <w:rsid w:val="694427FC"/>
    <w:rsid w:val="69456E2B"/>
    <w:rsid w:val="694E2071"/>
    <w:rsid w:val="69702FED"/>
    <w:rsid w:val="697509FA"/>
    <w:rsid w:val="69766163"/>
    <w:rsid w:val="697A3B33"/>
    <w:rsid w:val="69D44760"/>
    <w:rsid w:val="69E41123"/>
    <w:rsid w:val="69EB1ABC"/>
    <w:rsid w:val="69F506C2"/>
    <w:rsid w:val="69F85C4B"/>
    <w:rsid w:val="6A273964"/>
    <w:rsid w:val="6A3E6CC0"/>
    <w:rsid w:val="6A520EC7"/>
    <w:rsid w:val="6A8D6CDC"/>
    <w:rsid w:val="6ABA5D84"/>
    <w:rsid w:val="6ADB5DB0"/>
    <w:rsid w:val="6AF87310"/>
    <w:rsid w:val="6AF87E20"/>
    <w:rsid w:val="6AFD62C2"/>
    <w:rsid w:val="6B0A32B9"/>
    <w:rsid w:val="6B126460"/>
    <w:rsid w:val="6B1C3BBC"/>
    <w:rsid w:val="6B2B3DFF"/>
    <w:rsid w:val="6B2F38EF"/>
    <w:rsid w:val="6B322639"/>
    <w:rsid w:val="6B524310"/>
    <w:rsid w:val="6BB20DE7"/>
    <w:rsid w:val="6BD85E8F"/>
    <w:rsid w:val="6BFA784B"/>
    <w:rsid w:val="6BFE089B"/>
    <w:rsid w:val="6C1B5B96"/>
    <w:rsid w:val="6C206C75"/>
    <w:rsid w:val="6C2C6F23"/>
    <w:rsid w:val="6C4F2C87"/>
    <w:rsid w:val="6C636C38"/>
    <w:rsid w:val="6C7517D5"/>
    <w:rsid w:val="6C76067F"/>
    <w:rsid w:val="6C78592B"/>
    <w:rsid w:val="6C891725"/>
    <w:rsid w:val="6CA976D1"/>
    <w:rsid w:val="6CDE580B"/>
    <w:rsid w:val="6CDE59F2"/>
    <w:rsid w:val="6CE00E08"/>
    <w:rsid w:val="6CFF5543"/>
    <w:rsid w:val="6D136CF8"/>
    <w:rsid w:val="6D140D7C"/>
    <w:rsid w:val="6D1722B4"/>
    <w:rsid w:val="6D1C7EA3"/>
    <w:rsid w:val="6D3E42BD"/>
    <w:rsid w:val="6D497DB3"/>
    <w:rsid w:val="6D542186"/>
    <w:rsid w:val="6D561607"/>
    <w:rsid w:val="6D8617C0"/>
    <w:rsid w:val="6D8754F4"/>
    <w:rsid w:val="6D9179B8"/>
    <w:rsid w:val="6D960B32"/>
    <w:rsid w:val="6DAB5BAA"/>
    <w:rsid w:val="6DB34098"/>
    <w:rsid w:val="6DB545B6"/>
    <w:rsid w:val="6DBE6481"/>
    <w:rsid w:val="6DC01176"/>
    <w:rsid w:val="6DD16EDF"/>
    <w:rsid w:val="6DE02FB4"/>
    <w:rsid w:val="6DFB45FB"/>
    <w:rsid w:val="6E1042A7"/>
    <w:rsid w:val="6E15258B"/>
    <w:rsid w:val="6E3631E6"/>
    <w:rsid w:val="6E514CED"/>
    <w:rsid w:val="6E9248C1"/>
    <w:rsid w:val="6EB563D5"/>
    <w:rsid w:val="6EC24A7A"/>
    <w:rsid w:val="6EC513F0"/>
    <w:rsid w:val="6ED92677"/>
    <w:rsid w:val="6F084689"/>
    <w:rsid w:val="6F200852"/>
    <w:rsid w:val="6F225983"/>
    <w:rsid w:val="6F316A46"/>
    <w:rsid w:val="6F4212CD"/>
    <w:rsid w:val="6F481423"/>
    <w:rsid w:val="6F4F6C88"/>
    <w:rsid w:val="6F5A2396"/>
    <w:rsid w:val="6F5F39F0"/>
    <w:rsid w:val="6F8B2FC1"/>
    <w:rsid w:val="6F937367"/>
    <w:rsid w:val="6FA128E1"/>
    <w:rsid w:val="6FA7548E"/>
    <w:rsid w:val="6FD20CED"/>
    <w:rsid w:val="6FD66A2F"/>
    <w:rsid w:val="6FE51DE9"/>
    <w:rsid w:val="6FE74798"/>
    <w:rsid w:val="6FE97D61"/>
    <w:rsid w:val="6FED5B27"/>
    <w:rsid w:val="6FEF5D43"/>
    <w:rsid w:val="6FF43359"/>
    <w:rsid w:val="6FF8720A"/>
    <w:rsid w:val="6FFC5590"/>
    <w:rsid w:val="70187047"/>
    <w:rsid w:val="70241CE7"/>
    <w:rsid w:val="703655FA"/>
    <w:rsid w:val="705D2AE3"/>
    <w:rsid w:val="706D1DD0"/>
    <w:rsid w:val="708060CD"/>
    <w:rsid w:val="70856B87"/>
    <w:rsid w:val="70AF3D23"/>
    <w:rsid w:val="70D527EE"/>
    <w:rsid w:val="70DA254F"/>
    <w:rsid w:val="70E5288C"/>
    <w:rsid w:val="70EC1407"/>
    <w:rsid w:val="70EC5DDE"/>
    <w:rsid w:val="70EE5FFA"/>
    <w:rsid w:val="70FA674D"/>
    <w:rsid w:val="71353C29"/>
    <w:rsid w:val="714B50D2"/>
    <w:rsid w:val="715B5300"/>
    <w:rsid w:val="715E6CDC"/>
    <w:rsid w:val="71775FF0"/>
    <w:rsid w:val="71824B4E"/>
    <w:rsid w:val="71836742"/>
    <w:rsid w:val="71855563"/>
    <w:rsid w:val="719B67A2"/>
    <w:rsid w:val="71B47019"/>
    <w:rsid w:val="71C373A8"/>
    <w:rsid w:val="71D27F8A"/>
    <w:rsid w:val="720122A6"/>
    <w:rsid w:val="72170CD9"/>
    <w:rsid w:val="72243521"/>
    <w:rsid w:val="724C3491"/>
    <w:rsid w:val="72544D8D"/>
    <w:rsid w:val="72553024"/>
    <w:rsid w:val="725D01F5"/>
    <w:rsid w:val="7285473C"/>
    <w:rsid w:val="728E210C"/>
    <w:rsid w:val="72907646"/>
    <w:rsid w:val="72A66542"/>
    <w:rsid w:val="72B22CB9"/>
    <w:rsid w:val="72BE79D8"/>
    <w:rsid w:val="72C708B1"/>
    <w:rsid w:val="72F2356D"/>
    <w:rsid w:val="7302054C"/>
    <w:rsid w:val="73122968"/>
    <w:rsid w:val="731F5D5E"/>
    <w:rsid w:val="73277CD1"/>
    <w:rsid w:val="73426189"/>
    <w:rsid w:val="736D3206"/>
    <w:rsid w:val="73792049"/>
    <w:rsid w:val="738430F5"/>
    <w:rsid w:val="738C277B"/>
    <w:rsid w:val="73AD3DD2"/>
    <w:rsid w:val="73BF6062"/>
    <w:rsid w:val="73C51AD5"/>
    <w:rsid w:val="73D414D7"/>
    <w:rsid w:val="73E850C1"/>
    <w:rsid w:val="73FB269B"/>
    <w:rsid w:val="73FF4C11"/>
    <w:rsid w:val="73FF599B"/>
    <w:rsid w:val="740578E3"/>
    <w:rsid w:val="74080BD9"/>
    <w:rsid w:val="740F250F"/>
    <w:rsid w:val="741E793C"/>
    <w:rsid w:val="74213FF1"/>
    <w:rsid w:val="745E3944"/>
    <w:rsid w:val="74766FB0"/>
    <w:rsid w:val="748368B7"/>
    <w:rsid w:val="74B650F9"/>
    <w:rsid w:val="74DA6968"/>
    <w:rsid w:val="74DE03B5"/>
    <w:rsid w:val="74E05E61"/>
    <w:rsid w:val="74E93956"/>
    <w:rsid w:val="74F37E49"/>
    <w:rsid w:val="753B35D2"/>
    <w:rsid w:val="75594D2E"/>
    <w:rsid w:val="75614FED"/>
    <w:rsid w:val="759E376F"/>
    <w:rsid w:val="75B90231"/>
    <w:rsid w:val="75BF01D6"/>
    <w:rsid w:val="75CC5CD4"/>
    <w:rsid w:val="75E42B97"/>
    <w:rsid w:val="7635099D"/>
    <w:rsid w:val="76566338"/>
    <w:rsid w:val="765C7562"/>
    <w:rsid w:val="765E353C"/>
    <w:rsid w:val="76683441"/>
    <w:rsid w:val="77100E2A"/>
    <w:rsid w:val="772258AA"/>
    <w:rsid w:val="77440472"/>
    <w:rsid w:val="77762421"/>
    <w:rsid w:val="778B00FF"/>
    <w:rsid w:val="779C3393"/>
    <w:rsid w:val="77AD51AE"/>
    <w:rsid w:val="77B50DB0"/>
    <w:rsid w:val="77B56B1F"/>
    <w:rsid w:val="77F3046A"/>
    <w:rsid w:val="77F66CAD"/>
    <w:rsid w:val="780F09F4"/>
    <w:rsid w:val="78320EC2"/>
    <w:rsid w:val="783A7AFC"/>
    <w:rsid w:val="78457416"/>
    <w:rsid w:val="7851759A"/>
    <w:rsid w:val="785628A3"/>
    <w:rsid w:val="78872FBC"/>
    <w:rsid w:val="788D1EB3"/>
    <w:rsid w:val="78A90480"/>
    <w:rsid w:val="78AF363C"/>
    <w:rsid w:val="78BF26D3"/>
    <w:rsid w:val="78EC3FFA"/>
    <w:rsid w:val="790C526F"/>
    <w:rsid w:val="792B6A91"/>
    <w:rsid w:val="793842B6"/>
    <w:rsid w:val="794F33AE"/>
    <w:rsid w:val="79587640"/>
    <w:rsid w:val="796432FD"/>
    <w:rsid w:val="796A57B5"/>
    <w:rsid w:val="79780B57"/>
    <w:rsid w:val="798219D5"/>
    <w:rsid w:val="79876FEC"/>
    <w:rsid w:val="79AB40B0"/>
    <w:rsid w:val="79AF1190"/>
    <w:rsid w:val="79B7167F"/>
    <w:rsid w:val="79B75266"/>
    <w:rsid w:val="79C43D9C"/>
    <w:rsid w:val="79D42231"/>
    <w:rsid w:val="79F3642F"/>
    <w:rsid w:val="7A2B2765"/>
    <w:rsid w:val="7A364017"/>
    <w:rsid w:val="7A374F60"/>
    <w:rsid w:val="7A3A14C8"/>
    <w:rsid w:val="7A432835"/>
    <w:rsid w:val="7A6D52C9"/>
    <w:rsid w:val="7A8265E1"/>
    <w:rsid w:val="7A886B16"/>
    <w:rsid w:val="7A9715B9"/>
    <w:rsid w:val="7AA03EC1"/>
    <w:rsid w:val="7AB94F83"/>
    <w:rsid w:val="7ACF591C"/>
    <w:rsid w:val="7B022DCE"/>
    <w:rsid w:val="7B106CB9"/>
    <w:rsid w:val="7B1B7885"/>
    <w:rsid w:val="7B242D44"/>
    <w:rsid w:val="7B2C1F4E"/>
    <w:rsid w:val="7B430CF1"/>
    <w:rsid w:val="7B5853BF"/>
    <w:rsid w:val="7B686D42"/>
    <w:rsid w:val="7B841746"/>
    <w:rsid w:val="7B954F14"/>
    <w:rsid w:val="7B98103C"/>
    <w:rsid w:val="7B98570E"/>
    <w:rsid w:val="7BA6040B"/>
    <w:rsid w:val="7BAC2D3A"/>
    <w:rsid w:val="7BC10593"/>
    <w:rsid w:val="7BE97AEA"/>
    <w:rsid w:val="7BEF21FC"/>
    <w:rsid w:val="7BEF6CB9"/>
    <w:rsid w:val="7BFA038C"/>
    <w:rsid w:val="7C130605"/>
    <w:rsid w:val="7C342456"/>
    <w:rsid w:val="7C3A20F4"/>
    <w:rsid w:val="7C3C5E6C"/>
    <w:rsid w:val="7C5331B5"/>
    <w:rsid w:val="7C547659"/>
    <w:rsid w:val="7C556F2D"/>
    <w:rsid w:val="7C6C5AC7"/>
    <w:rsid w:val="7C6F4203"/>
    <w:rsid w:val="7C8D4919"/>
    <w:rsid w:val="7CAC5ED3"/>
    <w:rsid w:val="7CC6544B"/>
    <w:rsid w:val="7CED28A1"/>
    <w:rsid w:val="7CEE73BC"/>
    <w:rsid w:val="7CF6426C"/>
    <w:rsid w:val="7D0071FC"/>
    <w:rsid w:val="7D0239FF"/>
    <w:rsid w:val="7D124C9D"/>
    <w:rsid w:val="7D140B97"/>
    <w:rsid w:val="7D292894"/>
    <w:rsid w:val="7D4B4A05"/>
    <w:rsid w:val="7D5E40CD"/>
    <w:rsid w:val="7D824688"/>
    <w:rsid w:val="7D8C697F"/>
    <w:rsid w:val="7DAA3235"/>
    <w:rsid w:val="7DB56BD4"/>
    <w:rsid w:val="7DBA4260"/>
    <w:rsid w:val="7DBE3FB4"/>
    <w:rsid w:val="7DCD56F2"/>
    <w:rsid w:val="7DE46470"/>
    <w:rsid w:val="7DE91810"/>
    <w:rsid w:val="7DFF1847"/>
    <w:rsid w:val="7E016402"/>
    <w:rsid w:val="7E045519"/>
    <w:rsid w:val="7E074257"/>
    <w:rsid w:val="7E3239CA"/>
    <w:rsid w:val="7E5356EF"/>
    <w:rsid w:val="7E927FC5"/>
    <w:rsid w:val="7ED50BC3"/>
    <w:rsid w:val="7EE0405C"/>
    <w:rsid w:val="7EE11E86"/>
    <w:rsid w:val="7EEB14E1"/>
    <w:rsid w:val="7F001CE7"/>
    <w:rsid w:val="7F0B39A9"/>
    <w:rsid w:val="7F496220"/>
    <w:rsid w:val="7F625F8B"/>
    <w:rsid w:val="7F711AC5"/>
    <w:rsid w:val="7F76108C"/>
    <w:rsid w:val="7F962F83"/>
    <w:rsid w:val="7FB047FF"/>
    <w:rsid w:val="7FC50240"/>
    <w:rsid w:val="7FE47E50"/>
    <w:rsid w:val="7FFA0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semiHidden="0" w:name="heading 3" w:locked="1"/>
    <w:lsdException w:qFormat="1" w:uiPriority="9" w:semiHidden="0" w:name="heading 4" w:locked="1"/>
    <w:lsdException w:qFormat="1" w:uiPriority="9" w:semiHidden="0" w:name="heading 5" w:locked="1"/>
    <w:lsdException w:qFormat="1" w:uiPriority="9" w:semiHidden="0" w:name="heading 6" w:locked="1"/>
    <w:lsdException w:qFormat="1" w:uiPriority="1"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qFormat="1" w:unhideWhenUsed="0"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99"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iPriority="0" w:name="HTML Variable" w:locked="1"/>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9"/>
    <w:unhideWhenUsed/>
    <w:qFormat/>
    <w:locked/>
    <w:uiPriority w:val="9"/>
    <w:pPr>
      <w:keepNext/>
      <w:keepLines/>
      <w:numPr>
        <w:ilvl w:val="1"/>
        <w:numId w:val="1"/>
      </w:numPr>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40"/>
    <w:unhideWhenUsed/>
    <w:qFormat/>
    <w:locked/>
    <w:uiPriority w:val="9"/>
    <w:pPr>
      <w:tabs>
        <w:tab w:val="left" w:pos="644"/>
        <w:tab w:val="left" w:pos="1960"/>
      </w:tabs>
      <w:spacing w:line="360" w:lineRule="auto"/>
      <w:jc w:val="left"/>
      <w:outlineLvl w:val="2"/>
    </w:pPr>
    <w:rPr>
      <w:rFonts w:eastAsia="黑体"/>
      <w:sz w:val="28"/>
      <w:szCs w:val="30"/>
    </w:rPr>
  </w:style>
  <w:style w:type="paragraph" w:styleId="5">
    <w:name w:val="heading 4"/>
    <w:basedOn w:val="1"/>
    <w:next w:val="1"/>
    <w:link w:val="41"/>
    <w:unhideWhenUsed/>
    <w:qFormat/>
    <w:locked/>
    <w:uiPriority w:val="9"/>
    <w:pPr>
      <w:keepNext/>
      <w:keepLines/>
      <w:spacing w:line="360" w:lineRule="auto"/>
      <w:jc w:val="left"/>
      <w:outlineLvl w:val="3"/>
    </w:pPr>
    <w:rPr>
      <w:b/>
      <w:bCs/>
      <w:sz w:val="24"/>
    </w:rPr>
  </w:style>
  <w:style w:type="paragraph" w:styleId="6">
    <w:name w:val="heading 5"/>
    <w:basedOn w:val="1"/>
    <w:link w:val="42"/>
    <w:unhideWhenUsed/>
    <w:qFormat/>
    <w:locked/>
    <w:uiPriority w:val="9"/>
    <w:pPr>
      <w:keepNext/>
      <w:keepLines/>
      <w:spacing w:before="280" w:after="290" w:line="376" w:lineRule="auto"/>
      <w:outlineLvl w:val="4"/>
    </w:pPr>
    <w:rPr>
      <w:b/>
      <w:bCs/>
      <w:sz w:val="28"/>
      <w:szCs w:val="28"/>
    </w:rPr>
  </w:style>
  <w:style w:type="paragraph" w:styleId="7">
    <w:name w:val="heading 6"/>
    <w:basedOn w:val="1"/>
    <w:link w:val="43"/>
    <w:unhideWhenUsed/>
    <w:qFormat/>
    <w:locked/>
    <w:uiPriority w:val="9"/>
    <w:pPr>
      <w:autoSpaceDE w:val="0"/>
      <w:autoSpaceDN w:val="0"/>
      <w:ind w:left="375" w:firstLine="480"/>
      <w:jc w:val="left"/>
      <w:outlineLvl w:val="5"/>
    </w:pPr>
    <w:rPr>
      <w:rFonts w:ascii="宋体" w:hAnsi="宋体" w:cs="宋体"/>
      <w:kern w:val="0"/>
      <w:sz w:val="24"/>
      <w:lang w:eastAsia="en-US"/>
    </w:rPr>
  </w:style>
  <w:style w:type="paragraph" w:styleId="8">
    <w:name w:val="heading 7"/>
    <w:basedOn w:val="1"/>
    <w:next w:val="1"/>
    <w:link w:val="44"/>
    <w:unhideWhenUsed/>
    <w:qFormat/>
    <w:locked/>
    <w:uiPriority w:val="1"/>
    <w:pPr>
      <w:outlineLvl w:val="6"/>
    </w:pPr>
    <w:rPr>
      <w:rFonts w:ascii="宋体" w:hAnsi="宋体" w:cs="宋体"/>
      <w:b/>
      <w:bCs/>
      <w:sz w:val="24"/>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autoRedefine/>
    <w:unhideWhenUsed/>
    <w:qFormat/>
    <w:locked/>
    <w:uiPriority w:val="39"/>
    <w:pPr>
      <w:autoSpaceDE w:val="0"/>
      <w:autoSpaceDN w:val="0"/>
      <w:ind w:left="1320"/>
      <w:jc w:val="left"/>
    </w:pPr>
    <w:rPr>
      <w:rFonts w:cs="宋体" w:asciiTheme="minorHAnsi" w:hAnsiTheme="minorHAnsi"/>
      <w:kern w:val="0"/>
      <w:sz w:val="18"/>
      <w:szCs w:val="18"/>
      <w:lang w:eastAsia="en-US"/>
    </w:rPr>
  </w:style>
  <w:style w:type="paragraph" w:styleId="10">
    <w:name w:val="caption"/>
    <w:basedOn w:val="1"/>
    <w:next w:val="1"/>
    <w:unhideWhenUsed/>
    <w:qFormat/>
    <w:locked/>
    <w:uiPriority w:val="0"/>
    <w:rPr>
      <w:rFonts w:ascii="等线 Light" w:hAnsi="等线 Light" w:eastAsia="黑体"/>
      <w:sz w:val="20"/>
      <w:szCs w:val="20"/>
    </w:rPr>
  </w:style>
  <w:style w:type="paragraph" w:styleId="11">
    <w:name w:val="annotation text"/>
    <w:basedOn w:val="1"/>
    <w:link w:val="45"/>
    <w:semiHidden/>
    <w:qFormat/>
    <w:uiPriority w:val="99"/>
    <w:pPr>
      <w:jc w:val="left"/>
    </w:pPr>
    <w:rPr>
      <w:kern w:val="0"/>
      <w:sz w:val="24"/>
      <w:szCs w:val="20"/>
    </w:rPr>
  </w:style>
  <w:style w:type="paragraph" w:styleId="12">
    <w:name w:val="Body Text"/>
    <w:basedOn w:val="1"/>
    <w:link w:val="46"/>
    <w:qFormat/>
    <w:uiPriority w:val="1"/>
    <w:pPr>
      <w:widowControl/>
      <w:snapToGrid w:val="0"/>
      <w:spacing w:before="60" w:after="160" w:line="259" w:lineRule="auto"/>
      <w:ind w:right="113"/>
    </w:pPr>
    <w:rPr>
      <w:kern w:val="0"/>
      <w:sz w:val="18"/>
      <w:szCs w:val="20"/>
    </w:rPr>
  </w:style>
  <w:style w:type="paragraph" w:styleId="13">
    <w:name w:val="Body Text Indent"/>
    <w:basedOn w:val="1"/>
    <w:link w:val="47"/>
    <w:qFormat/>
    <w:uiPriority w:val="0"/>
    <w:pPr>
      <w:spacing w:after="120"/>
      <w:ind w:left="420" w:leftChars="200"/>
    </w:pPr>
    <w:rPr>
      <w:kern w:val="0"/>
      <w:sz w:val="24"/>
      <w:szCs w:val="20"/>
    </w:rPr>
  </w:style>
  <w:style w:type="paragraph" w:styleId="14">
    <w:name w:val="toc 5"/>
    <w:basedOn w:val="1"/>
    <w:next w:val="1"/>
    <w:autoRedefine/>
    <w:unhideWhenUsed/>
    <w:qFormat/>
    <w:locked/>
    <w:uiPriority w:val="39"/>
    <w:pPr>
      <w:autoSpaceDE w:val="0"/>
      <w:autoSpaceDN w:val="0"/>
      <w:ind w:left="880"/>
      <w:jc w:val="left"/>
    </w:pPr>
    <w:rPr>
      <w:rFonts w:cs="宋体" w:asciiTheme="minorHAnsi" w:hAnsiTheme="minorHAnsi"/>
      <w:kern w:val="0"/>
      <w:sz w:val="18"/>
      <w:szCs w:val="18"/>
      <w:lang w:eastAsia="en-US"/>
    </w:rPr>
  </w:style>
  <w:style w:type="paragraph" w:styleId="15">
    <w:name w:val="toc 3"/>
    <w:basedOn w:val="1"/>
    <w:next w:val="1"/>
    <w:autoRedefine/>
    <w:qFormat/>
    <w:locked/>
    <w:uiPriority w:val="39"/>
    <w:pPr>
      <w:ind w:left="840" w:leftChars="400"/>
    </w:pPr>
  </w:style>
  <w:style w:type="paragraph" w:styleId="16">
    <w:name w:val="toc 8"/>
    <w:basedOn w:val="1"/>
    <w:next w:val="1"/>
    <w:autoRedefine/>
    <w:unhideWhenUsed/>
    <w:qFormat/>
    <w:locked/>
    <w:uiPriority w:val="39"/>
    <w:pPr>
      <w:autoSpaceDE w:val="0"/>
      <w:autoSpaceDN w:val="0"/>
      <w:ind w:left="1540"/>
      <w:jc w:val="left"/>
    </w:pPr>
    <w:rPr>
      <w:rFonts w:cs="宋体" w:asciiTheme="minorHAnsi" w:hAnsiTheme="minorHAnsi"/>
      <w:kern w:val="0"/>
      <w:sz w:val="18"/>
      <w:szCs w:val="18"/>
      <w:lang w:eastAsia="en-US"/>
    </w:rPr>
  </w:style>
  <w:style w:type="paragraph" w:styleId="17">
    <w:name w:val="Date"/>
    <w:basedOn w:val="1"/>
    <w:next w:val="1"/>
    <w:link w:val="48"/>
    <w:qFormat/>
    <w:uiPriority w:val="0"/>
    <w:pPr>
      <w:ind w:left="100" w:leftChars="2500"/>
    </w:pPr>
    <w:rPr>
      <w:kern w:val="0"/>
      <w:sz w:val="24"/>
      <w:szCs w:val="20"/>
    </w:rPr>
  </w:style>
  <w:style w:type="paragraph" w:styleId="18">
    <w:name w:val="Balloon Text"/>
    <w:basedOn w:val="1"/>
    <w:link w:val="49"/>
    <w:semiHidden/>
    <w:qFormat/>
    <w:uiPriority w:val="99"/>
    <w:rPr>
      <w:kern w:val="0"/>
      <w:sz w:val="18"/>
      <w:szCs w:val="20"/>
    </w:rPr>
  </w:style>
  <w:style w:type="paragraph" w:styleId="19">
    <w:name w:val="footer"/>
    <w:basedOn w:val="1"/>
    <w:link w:val="50"/>
    <w:qFormat/>
    <w:uiPriority w:val="99"/>
    <w:pPr>
      <w:tabs>
        <w:tab w:val="center" w:pos="4153"/>
        <w:tab w:val="right" w:pos="8306"/>
      </w:tabs>
      <w:snapToGrid w:val="0"/>
      <w:jc w:val="left"/>
    </w:pPr>
    <w:rPr>
      <w:kern w:val="0"/>
      <w:sz w:val="18"/>
      <w:szCs w:val="20"/>
    </w:rPr>
  </w:style>
  <w:style w:type="paragraph" w:styleId="20">
    <w:name w:val="header"/>
    <w:basedOn w:val="1"/>
    <w:link w:val="51"/>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autoRedefine/>
    <w:unhideWhenUsed/>
    <w:qFormat/>
    <w:locked/>
    <w:uiPriority w:val="39"/>
  </w:style>
  <w:style w:type="paragraph" w:styleId="22">
    <w:name w:val="toc 4"/>
    <w:basedOn w:val="1"/>
    <w:next w:val="1"/>
    <w:autoRedefine/>
    <w:unhideWhenUsed/>
    <w:qFormat/>
    <w:locked/>
    <w:uiPriority w:val="39"/>
    <w:pPr>
      <w:autoSpaceDE w:val="0"/>
      <w:autoSpaceDN w:val="0"/>
      <w:ind w:left="660"/>
      <w:jc w:val="left"/>
    </w:pPr>
    <w:rPr>
      <w:rFonts w:cs="宋体" w:asciiTheme="minorHAnsi" w:hAnsiTheme="minorHAnsi"/>
      <w:kern w:val="0"/>
      <w:sz w:val="18"/>
      <w:szCs w:val="18"/>
      <w:lang w:eastAsia="en-US"/>
    </w:rPr>
  </w:style>
  <w:style w:type="paragraph" w:styleId="23">
    <w:name w:val="toc 6"/>
    <w:basedOn w:val="1"/>
    <w:next w:val="1"/>
    <w:autoRedefine/>
    <w:unhideWhenUsed/>
    <w:qFormat/>
    <w:locked/>
    <w:uiPriority w:val="39"/>
    <w:pPr>
      <w:autoSpaceDE w:val="0"/>
      <w:autoSpaceDN w:val="0"/>
      <w:ind w:left="1100"/>
      <w:jc w:val="left"/>
    </w:pPr>
    <w:rPr>
      <w:rFonts w:cs="宋体" w:asciiTheme="minorHAnsi" w:hAnsiTheme="minorHAnsi"/>
      <w:kern w:val="0"/>
      <w:sz w:val="18"/>
      <w:szCs w:val="18"/>
      <w:lang w:eastAsia="en-US"/>
    </w:rPr>
  </w:style>
  <w:style w:type="paragraph" w:styleId="24">
    <w:name w:val="toc 2"/>
    <w:basedOn w:val="1"/>
    <w:next w:val="1"/>
    <w:autoRedefine/>
    <w:unhideWhenUsed/>
    <w:qFormat/>
    <w:locked/>
    <w:uiPriority w:val="39"/>
    <w:pPr>
      <w:ind w:left="420" w:leftChars="200"/>
    </w:pPr>
  </w:style>
  <w:style w:type="paragraph" w:styleId="25">
    <w:name w:val="toc 9"/>
    <w:basedOn w:val="1"/>
    <w:next w:val="1"/>
    <w:autoRedefine/>
    <w:unhideWhenUsed/>
    <w:qFormat/>
    <w:locked/>
    <w:uiPriority w:val="39"/>
    <w:pPr>
      <w:autoSpaceDE w:val="0"/>
      <w:autoSpaceDN w:val="0"/>
      <w:ind w:left="1760"/>
      <w:jc w:val="left"/>
    </w:pPr>
    <w:rPr>
      <w:rFonts w:cs="宋体" w:asciiTheme="minorHAnsi" w:hAnsiTheme="minorHAnsi"/>
      <w:kern w:val="0"/>
      <w:sz w:val="18"/>
      <w:szCs w:val="18"/>
      <w:lang w:eastAsia="en-US"/>
    </w:rPr>
  </w:style>
  <w:style w:type="paragraph" w:styleId="26">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27">
    <w:name w:val="Title"/>
    <w:basedOn w:val="1"/>
    <w:next w:val="1"/>
    <w:link w:val="67"/>
    <w:qFormat/>
    <w:locked/>
    <w:uiPriority w:val="10"/>
    <w:pPr>
      <w:numPr>
        <w:ilvl w:val="0"/>
        <w:numId w:val="1"/>
      </w:numPr>
      <w:spacing w:before="240" w:after="60"/>
      <w:jc w:val="center"/>
      <w:outlineLvl w:val="0"/>
    </w:pPr>
    <w:rPr>
      <w:rFonts w:ascii="等线 Light" w:hAnsi="等线 Light"/>
      <w:b/>
      <w:bCs/>
      <w:sz w:val="32"/>
      <w:szCs w:val="32"/>
    </w:rPr>
  </w:style>
  <w:style w:type="paragraph" w:styleId="28">
    <w:name w:val="annotation subject"/>
    <w:basedOn w:val="11"/>
    <w:next w:val="11"/>
    <w:link w:val="53"/>
    <w:semiHidden/>
    <w:qFormat/>
    <w:uiPriority w:val="99"/>
    <w:rPr>
      <w:b/>
    </w:rPr>
  </w:style>
  <w:style w:type="paragraph" w:styleId="29">
    <w:name w:val="Body Text First Indent 2"/>
    <w:basedOn w:val="13"/>
    <w:next w:val="1"/>
    <w:unhideWhenUsed/>
    <w:qFormat/>
    <w:locked/>
    <w:uiPriority w:val="99"/>
    <w:pPr>
      <w:spacing w:line="360" w:lineRule="auto"/>
      <w:ind w:left="0" w:leftChars="0" w:firstLine="1044" w:firstLineChars="200"/>
    </w:pPr>
    <w:rPr>
      <w:kern w:val="2"/>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qFormat/>
    <w:locked/>
    <w:uiPriority w:val="0"/>
  </w:style>
  <w:style w:type="character" w:styleId="34">
    <w:name w:val="Hyperlink"/>
    <w:unhideWhenUsed/>
    <w:qFormat/>
    <w:locked/>
    <w:uiPriority w:val="99"/>
    <w:rPr>
      <w:color w:val="0000FF"/>
      <w:u w:val="single"/>
    </w:rPr>
  </w:style>
  <w:style w:type="character" w:styleId="35">
    <w:name w:val="annotation reference"/>
    <w:semiHidden/>
    <w:qFormat/>
    <w:uiPriority w:val="99"/>
    <w:rPr>
      <w:sz w:val="21"/>
    </w:rPr>
  </w:style>
  <w:style w:type="paragraph" w:customStyle="1" w:styleId="36">
    <w:name w:val="Table Paragraph"/>
    <w:basedOn w:val="1"/>
    <w:qFormat/>
    <w:uiPriority w:val="1"/>
    <w:pPr>
      <w:autoSpaceDE w:val="0"/>
      <w:autoSpaceDN w:val="0"/>
      <w:spacing w:before="105"/>
      <w:ind w:left="219"/>
      <w:jc w:val="left"/>
    </w:pPr>
    <w:rPr>
      <w:rFonts w:ascii="宋体" w:hAnsi="宋体" w:cs="宋体"/>
      <w:kern w:val="0"/>
      <w:sz w:val="22"/>
      <w:szCs w:val="22"/>
      <w:lang w:eastAsia="en-US"/>
    </w:rPr>
  </w:style>
  <w:style w:type="paragraph" w:customStyle="1" w:styleId="37">
    <w:name w:val="金皇-标题3"/>
    <w:basedOn w:val="4"/>
    <w:qFormat/>
    <w:uiPriority w:val="0"/>
    <w:pPr>
      <w:keepNext/>
      <w:keepLines/>
      <w:tabs>
        <w:tab w:val="clear" w:pos="644"/>
        <w:tab w:val="clear" w:pos="1960"/>
      </w:tabs>
      <w:adjustRightInd w:val="0"/>
      <w:jc w:val="both"/>
    </w:pPr>
    <w:rPr>
      <w:b/>
      <w:bCs/>
      <w:szCs w:val="28"/>
    </w:rPr>
  </w:style>
  <w:style w:type="character" w:customStyle="1" w:styleId="38">
    <w:name w:val="标题 1 字符"/>
    <w:link w:val="2"/>
    <w:qFormat/>
    <w:uiPriority w:val="0"/>
    <w:rPr>
      <w:rFonts w:eastAsia="黑体"/>
      <w:b/>
      <w:bCs/>
      <w:color w:val="000000"/>
      <w:kern w:val="44"/>
      <w:sz w:val="30"/>
      <w:szCs w:val="30"/>
    </w:rPr>
  </w:style>
  <w:style w:type="character" w:customStyle="1" w:styleId="39">
    <w:name w:val="标题 2 字符"/>
    <w:link w:val="3"/>
    <w:qFormat/>
    <w:uiPriority w:val="9"/>
    <w:rPr>
      <w:rFonts w:ascii="等线 Light" w:hAnsi="等线 Light" w:eastAsia="等线 Light"/>
      <w:b/>
      <w:bCs/>
      <w:kern w:val="2"/>
      <w:sz w:val="32"/>
      <w:szCs w:val="32"/>
    </w:rPr>
  </w:style>
  <w:style w:type="character" w:customStyle="1" w:styleId="40">
    <w:name w:val="标题 3 字符"/>
    <w:link w:val="4"/>
    <w:semiHidden/>
    <w:qFormat/>
    <w:uiPriority w:val="0"/>
    <w:rPr>
      <w:rFonts w:eastAsia="黑体"/>
      <w:kern w:val="2"/>
      <w:sz w:val="28"/>
      <w:szCs w:val="30"/>
    </w:rPr>
  </w:style>
  <w:style w:type="character" w:customStyle="1" w:styleId="41">
    <w:name w:val="标题 4 字符"/>
    <w:link w:val="5"/>
    <w:semiHidden/>
    <w:qFormat/>
    <w:uiPriority w:val="0"/>
    <w:rPr>
      <w:b/>
      <w:bCs/>
      <w:kern w:val="2"/>
      <w:sz w:val="24"/>
      <w:szCs w:val="24"/>
    </w:rPr>
  </w:style>
  <w:style w:type="character" w:customStyle="1" w:styleId="42">
    <w:name w:val="标题 5 字符"/>
    <w:link w:val="6"/>
    <w:semiHidden/>
    <w:qFormat/>
    <w:uiPriority w:val="0"/>
    <w:rPr>
      <w:b/>
      <w:bCs/>
      <w:kern w:val="2"/>
      <w:sz w:val="28"/>
      <w:szCs w:val="28"/>
    </w:rPr>
  </w:style>
  <w:style w:type="character" w:customStyle="1" w:styleId="43">
    <w:name w:val="标题 6 字符"/>
    <w:basedOn w:val="32"/>
    <w:link w:val="7"/>
    <w:qFormat/>
    <w:uiPriority w:val="9"/>
    <w:rPr>
      <w:rFonts w:ascii="宋体" w:hAnsi="宋体" w:cs="宋体"/>
      <w:sz w:val="24"/>
      <w:szCs w:val="24"/>
      <w:lang w:eastAsia="en-US"/>
    </w:rPr>
  </w:style>
  <w:style w:type="character" w:customStyle="1" w:styleId="44">
    <w:name w:val="标题 7 字符"/>
    <w:link w:val="8"/>
    <w:semiHidden/>
    <w:qFormat/>
    <w:uiPriority w:val="1"/>
    <w:rPr>
      <w:rFonts w:ascii="宋体" w:hAnsi="宋体" w:cs="宋体"/>
      <w:b/>
      <w:bCs/>
      <w:kern w:val="2"/>
      <w:sz w:val="24"/>
      <w:szCs w:val="24"/>
    </w:rPr>
  </w:style>
  <w:style w:type="character" w:customStyle="1" w:styleId="45">
    <w:name w:val="批注文字 字符"/>
    <w:link w:val="11"/>
    <w:qFormat/>
    <w:locked/>
    <w:uiPriority w:val="99"/>
    <w:rPr>
      <w:rFonts w:ascii="Times New Roman" w:hAnsi="Times New Roman" w:eastAsia="宋体"/>
      <w:sz w:val="24"/>
    </w:rPr>
  </w:style>
  <w:style w:type="character" w:customStyle="1" w:styleId="46">
    <w:name w:val="正文文本 字符"/>
    <w:link w:val="12"/>
    <w:qFormat/>
    <w:locked/>
    <w:uiPriority w:val="0"/>
    <w:rPr>
      <w:sz w:val="18"/>
    </w:rPr>
  </w:style>
  <w:style w:type="character" w:customStyle="1" w:styleId="47">
    <w:name w:val="正文文本缩进 字符"/>
    <w:link w:val="13"/>
    <w:semiHidden/>
    <w:qFormat/>
    <w:locked/>
    <w:uiPriority w:val="0"/>
    <w:rPr>
      <w:rFonts w:ascii="Times New Roman" w:hAnsi="Times New Roman" w:eastAsia="宋体"/>
      <w:sz w:val="24"/>
    </w:rPr>
  </w:style>
  <w:style w:type="character" w:customStyle="1" w:styleId="48">
    <w:name w:val="日期 字符1"/>
    <w:link w:val="17"/>
    <w:qFormat/>
    <w:locked/>
    <w:uiPriority w:val="0"/>
    <w:rPr>
      <w:rFonts w:ascii="Times New Roman" w:hAnsi="Times New Roman" w:eastAsia="宋体"/>
      <w:sz w:val="24"/>
    </w:rPr>
  </w:style>
  <w:style w:type="character" w:customStyle="1" w:styleId="49">
    <w:name w:val="批注框文本 字符"/>
    <w:link w:val="18"/>
    <w:semiHidden/>
    <w:qFormat/>
    <w:locked/>
    <w:uiPriority w:val="99"/>
    <w:rPr>
      <w:rFonts w:ascii="Times New Roman" w:hAnsi="Times New Roman" w:eastAsia="宋体"/>
      <w:sz w:val="18"/>
    </w:rPr>
  </w:style>
  <w:style w:type="character" w:customStyle="1" w:styleId="50">
    <w:name w:val="页脚 字符1"/>
    <w:link w:val="19"/>
    <w:qFormat/>
    <w:locked/>
    <w:uiPriority w:val="99"/>
    <w:rPr>
      <w:sz w:val="18"/>
    </w:rPr>
  </w:style>
  <w:style w:type="character" w:customStyle="1" w:styleId="51">
    <w:name w:val="页眉 字符"/>
    <w:link w:val="20"/>
    <w:qFormat/>
    <w:locked/>
    <w:uiPriority w:val="99"/>
    <w:rPr>
      <w:sz w:val="18"/>
    </w:rPr>
  </w:style>
  <w:style w:type="character" w:customStyle="1" w:styleId="52">
    <w:name w:val="普通(网站) 字符"/>
    <w:link w:val="26"/>
    <w:qFormat/>
    <w:locked/>
    <w:uiPriority w:val="0"/>
    <w:rPr>
      <w:rFonts w:ascii="宋体" w:hAnsi="宋体" w:eastAsia="宋体"/>
      <w:sz w:val="24"/>
    </w:rPr>
  </w:style>
  <w:style w:type="character" w:customStyle="1" w:styleId="53">
    <w:name w:val="批注主题 字符"/>
    <w:link w:val="28"/>
    <w:semiHidden/>
    <w:qFormat/>
    <w:locked/>
    <w:uiPriority w:val="99"/>
    <w:rPr>
      <w:rFonts w:ascii="Times New Roman" w:hAnsi="Times New Roman" w:eastAsia="宋体"/>
      <w:b/>
      <w:kern w:val="2"/>
      <w:sz w:val="24"/>
    </w:rPr>
  </w:style>
  <w:style w:type="character" w:customStyle="1" w:styleId="54">
    <w:name w:val="页脚 字符"/>
    <w:qFormat/>
    <w:uiPriority w:val="99"/>
  </w:style>
  <w:style w:type="character" w:customStyle="1" w:styleId="55">
    <w:name w:val="正文文本 字符1"/>
    <w:semiHidden/>
    <w:qFormat/>
    <w:uiPriority w:val="0"/>
    <w:rPr>
      <w:rFonts w:ascii="Times New Roman" w:hAnsi="Times New Roman" w:eastAsia="宋体"/>
      <w:sz w:val="24"/>
    </w:rPr>
  </w:style>
  <w:style w:type="character" w:customStyle="1" w:styleId="56">
    <w:name w:val="表格 Char"/>
    <w:link w:val="57"/>
    <w:qFormat/>
    <w:locked/>
    <w:uiPriority w:val="0"/>
    <w:rPr>
      <w:rFonts w:ascii="宋体"/>
      <w:sz w:val="21"/>
    </w:rPr>
  </w:style>
  <w:style w:type="paragraph" w:customStyle="1" w:styleId="5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日期 字符"/>
    <w:semiHidden/>
    <w:qFormat/>
    <w:uiPriority w:val="0"/>
    <w:rPr>
      <w:rFonts w:ascii="Times New Roman" w:hAnsi="Times New Roman" w:eastAsia="宋体"/>
      <w:sz w:val="24"/>
    </w:rPr>
  </w:style>
  <w:style w:type="character" w:customStyle="1" w:styleId="59">
    <w:name w:val="批注文字 字符1"/>
    <w:semiHidden/>
    <w:qFormat/>
    <w:uiPriority w:val="0"/>
    <w:rPr>
      <w:rFonts w:ascii="Times New Roman" w:hAnsi="Times New Roman" w:eastAsia="宋体"/>
      <w:sz w:val="24"/>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62">
    <w:name w:val="Table Normal"/>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6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4">
    <w:name w:val="表格1内文字"/>
    <w:basedOn w:val="1"/>
    <w:qFormat/>
    <w:uiPriority w:val="0"/>
    <w:pPr>
      <w:tabs>
        <w:tab w:val="left" w:pos="0"/>
      </w:tabs>
      <w:adjustRightInd w:val="0"/>
      <w:snapToGrid w:val="0"/>
      <w:jc w:val="center"/>
    </w:pPr>
    <w:rPr>
      <w:szCs w:val="21"/>
    </w:rPr>
  </w:style>
  <w:style w:type="paragraph" w:customStyle="1" w:styleId="65">
    <w:name w:val="表格内文字"/>
    <w:basedOn w:val="1"/>
    <w:qFormat/>
    <w:uiPriority w:val="0"/>
    <w:pPr>
      <w:tabs>
        <w:tab w:val="left" w:pos="0"/>
      </w:tabs>
      <w:adjustRightInd w:val="0"/>
      <w:snapToGrid w:val="0"/>
      <w:jc w:val="center"/>
    </w:pPr>
    <w:rPr>
      <w:szCs w:val="21"/>
    </w:rPr>
  </w:style>
  <w:style w:type="paragraph" w:customStyle="1" w:styleId="66">
    <w:name w:val="0-正文"/>
    <w:basedOn w:val="1"/>
    <w:qFormat/>
    <w:uiPriority w:val="0"/>
    <w:pPr>
      <w:spacing w:line="360" w:lineRule="auto"/>
      <w:ind w:firstLine="200" w:firstLineChars="200"/>
    </w:pPr>
    <w:rPr>
      <w:sz w:val="24"/>
    </w:rPr>
  </w:style>
  <w:style w:type="character" w:customStyle="1" w:styleId="67">
    <w:name w:val="标题 字符"/>
    <w:link w:val="27"/>
    <w:qFormat/>
    <w:uiPriority w:val="10"/>
    <w:rPr>
      <w:rFonts w:ascii="等线 Light" w:hAnsi="等线 Light"/>
      <w:b/>
      <w:bCs/>
      <w:kern w:val="2"/>
      <w:sz w:val="32"/>
      <w:szCs w:val="32"/>
    </w:rPr>
  </w:style>
  <w:style w:type="paragraph" w:customStyle="1" w:styleId="68">
    <w:name w:val="表（图）头"/>
    <w:next w:val="1"/>
    <w:qFormat/>
    <w:uiPriority w:val="0"/>
    <w:pPr>
      <w:adjustRightInd w:val="0"/>
      <w:snapToGrid w:val="0"/>
      <w:jc w:val="center"/>
      <w:outlineLvl w:val="4"/>
    </w:pPr>
    <w:rPr>
      <w:rFonts w:ascii="Times New Roman" w:hAnsi="Times New Roman" w:eastAsia="黑体" w:cs="Times New Roman"/>
      <w:b/>
      <w:sz w:val="24"/>
      <w:lang w:val="en-US" w:eastAsia="zh-CN" w:bidi="ar-SA"/>
    </w:rPr>
  </w:style>
  <w:style w:type="paragraph" w:customStyle="1" w:styleId="69">
    <w:name w:val="0-表（图）头"/>
    <w:next w:val="1"/>
    <w:qFormat/>
    <w:uiPriority w:val="0"/>
    <w:pPr>
      <w:adjustRightInd w:val="0"/>
      <w:snapToGrid w:val="0"/>
      <w:jc w:val="center"/>
      <w:outlineLvl w:val="4"/>
    </w:pPr>
    <w:rPr>
      <w:rFonts w:ascii="Times New Roman" w:hAnsi="Times New Roman" w:eastAsia="黑体" w:cs="Times New Roman"/>
      <w:b/>
      <w:sz w:val="24"/>
      <w:lang w:val="en-US" w:eastAsia="zh-CN" w:bidi="ar-SA"/>
    </w:rPr>
  </w:style>
  <w:style w:type="paragraph" w:customStyle="1" w:styleId="70">
    <w:name w:val="0-表格内文字"/>
    <w:basedOn w:val="1"/>
    <w:link w:val="71"/>
    <w:qFormat/>
    <w:uiPriority w:val="0"/>
    <w:pPr>
      <w:tabs>
        <w:tab w:val="left" w:pos="0"/>
      </w:tabs>
      <w:adjustRightInd w:val="0"/>
      <w:snapToGrid w:val="0"/>
      <w:jc w:val="center"/>
    </w:pPr>
    <w:rPr>
      <w:szCs w:val="21"/>
    </w:rPr>
  </w:style>
  <w:style w:type="character" w:customStyle="1" w:styleId="71">
    <w:name w:val="0-表格内文字 字符"/>
    <w:link w:val="70"/>
    <w:qFormat/>
    <w:uiPriority w:val="0"/>
    <w:rPr>
      <w:kern w:val="2"/>
      <w:sz w:val="21"/>
      <w:szCs w:val="21"/>
    </w:rPr>
  </w:style>
  <w:style w:type="paragraph" w:customStyle="1" w:styleId="7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73">
    <w:name w:val="0-标题 1"/>
    <w:basedOn w:val="2"/>
    <w:qFormat/>
    <w:uiPriority w:val="0"/>
    <w:pPr>
      <w:keepLines/>
      <w:numPr>
        <w:ilvl w:val="0"/>
        <w:numId w:val="2"/>
      </w:numPr>
      <w:tabs>
        <w:tab w:val="left" w:pos="315"/>
        <w:tab w:val="left" w:pos="1960"/>
        <w:tab w:val="clear" w:pos="0"/>
      </w:tabs>
      <w:overflowPunct/>
      <w:adjustRightInd w:val="0"/>
      <w:spacing w:before="0" w:after="0" w:line="360" w:lineRule="auto"/>
      <w:jc w:val="left"/>
    </w:pPr>
    <w:rPr>
      <w:color w:val="auto"/>
      <w:sz w:val="32"/>
      <w:szCs w:val="44"/>
    </w:rPr>
  </w:style>
  <w:style w:type="paragraph" w:customStyle="1" w:styleId="74">
    <w:name w:val="0-标题 2"/>
    <w:basedOn w:val="3"/>
    <w:qFormat/>
    <w:uiPriority w:val="0"/>
    <w:pPr>
      <w:numPr>
        <w:ilvl w:val="0"/>
        <w:numId w:val="0"/>
      </w:numPr>
      <w:tabs>
        <w:tab w:val="left" w:pos="0"/>
        <w:tab w:val="left" w:pos="1960"/>
      </w:tabs>
      <w:spacing w:before="0" w:after="0" w:line="360" w:lineRule="auto"/>
      <w:jc w:val="left"/>
    </w:pPr>
    <w:rPr>
      <w:rFonts w:ascii="Times New Roman" w:hAnsi="Times New Roman" w:eastAsia="黑体"/>
      <w:kern w:val="44"/>
      <w:sz w:val="30"/>
    </w:rPr>
  </w:style>
  <w:style w:type="paragraph" w:customStyle="1" w:styleId="75">
    <w:name w:val="0-标题3"/>
    <w:basedOn w:val="4"/>
    <w:qFormat/>
    <w:uiPriority w:val="0"/>
    <w:pPr>
      <w:tabs>
        <w:tab w:val="left" w:pos="0"/>
      </w:tabs>
      <w:adjustRightInd w:val="0"/>
      <w:ind w:left="142"/>
    </w:pPr>
    <w:rPr>
      <w:b/>
    </w:rPr>
  </w:style>
  <w:style w:type="paragraph" w:customStyle="1" w:styleId="76">
    <w:name w:val="0-标题4"/>
    <w:basedOn w:val="5"/>
    <w:qFormat/>
    <w:uiPriority w:val="0"/>
    <w:pPr>
      <w:tabs>
        <w:tab w:val="left" w:pos="0"/>
        <w:tab w:val="left" w:pos="360"/>
        <w:tab w:val="left" w:pos="420"/>
      </w:tabs>
      <w:ind w:left="1984" w:hanging="708"/>
    </w:pPr>
    <w:rPr>
      <w:rFonts w:eastAsia="黑体"/>
      <w:szCs w:val="22"/>
    </w:rPr>
  </w:style>
  <w:style w:type="paragraph" w:customStyle="1" w:styleId="77">
    <w:name w:val="0-封面-单位名称及日期"/>
    <w:basedOn w:val="1"/>
    <w:qFormat/>
    <w:uiPriority w:val="0"/>
    <w:pPr>
      <w:spacing w:before="60" w:after="60"/>
      <w:jc w:val="center"/>
    </w:pPr>
    <w:rPr>
      <w:rFonts w:ascii="黑体" w:hAnsi="Cambria" w:eastAsia="华文中宋" w:cs="Arial"/>
      <w:b/>
      <w:bCs/>
      <w:sz w:val="36"/>
      <w:szCs w:val="36"/>
    </w:rPr>
  </w:style>
  <w:style w:type="table" w:customStyle="1" w:styleId="78">
    <w:name w:val="表格样式1"/>
    <w:basedOn w:val="30"/>
    <w:qFormat/>
    <w:uiPriority w:val="0"/>
    <w:pPr>
      <w:widowControl w:val="0"/>
      <w:jc w:val="center"/>
    </w:pPr>
    <w:rPr>
      <w:szCs w:val="21"/>
    </w:rPr>
    <w:tblPr>
      <w:tblBorders>
        <w:top w:val="single" w:color="auto" w:sz="12" w:space="0"/>
        <w:bottom w:val="single" w:color="auto" w:sz="12" w:space="0"/>
        <w:insideH w:val="single" w:color="auto" w:sz="6" w:space="0"/>
        <w:insideV w:val="single" w:color="auto" w:sz="6" w:space="0"/>
      </w:tblBorders>
    </w:tblPr>
    <w:tcPr>
      <w:vAlign w:val="center"/>
    </w:tcPr>
  </w:style>
  <w:style w:type="paragraph" w:customStyle="1" w:styleId="79">
    <w:name w:val="表格内容"/>
    <w:next w:val="1"/>
    <w:qFormat/>
    <w:uiPriority w:val="0"/>
    <w:pPr>
      <w:jc w:val="center"/>
    </w:pPr>
    <w:rPr>
      <w:rFonts w:ascii="Times New Roman" w:hAnsi="Times New Roman" w:eastAsia="宋体" w:cs="Times New Roman"/>
      <w:sz w:val="21"/>
      <w:szCs w:val="21"/>
      <w:lang w:val="en-US" w:eastAsia="zh-CN" w:bidi="ar-SA"/>
    </w:rPr>
  </w:style>
  <w:style w:type="paragraph" w:customStyle="1" w:styleId="80">
    <w:name w:val="0表名"/>
    <w:basedOn w:val="1"/>
    <w:qFormat/>
    <w:uiPriority w:val="0"/>
    <w:pPr>
      <w:spacing w:line="360" w:lineRule="auto"/>
      <w:jc w:val="center"/>
    </w:pPr>
    <w:rPr>
      <w:rFonts w:cs="Tahoma"/>
      <w:b/>
      <w:sz w:val="24"/>
      <w:szCs w:val="21"/>
    </w:rPr>
  </w:style>
  <w:style w:type="character" w:customStyle="1" w:styleId="81">
    <w:name w:val="000表内 字符"/>
    <w:link w:val="82"/>
    <w:qFormat/>
    <w:uiPriority w:val="0"/>
    <w:rPr>
      <w:kern w:val="2"/>
      <w:sz w:val="21"/>
      <w:szCs w:val="24"/>
    </w:rPr>
  </w:style>
  <w:style w:type="paragraph" w:customStyle="1" w:styleId="82">
    <w:name w:val="000表内"/>
    <w:basedOn w:val="1"/>
    <w:link w:val="81"/>
    <w:qFormat/>
    <w:uiPriority w:val="0"/>
    <w:pPr>
      <w:snapToGrid w:val="0"/>
      <w:jc w:val="center"/>
    </w:pPr>
  </w:style>
  <w:style w:type="paragraph" w:customStyle="1" w:styleId="83">
    <w:name w:val="0表（图）头"/>
    <w:basedOn w:val="1"/>
    <w:link w:val="84"/>
    <w:qFormat/>
    <w:uiPriority w:val="0"/>
    <w:pPr>
      <w:adjustRightInd w:val="0"/>
      <w:jc w:val="center"/>
      <w:outlineLvl w:val="4"/>
    </w:pPr>
    <w:rPr>
      <w:rFonts w:hAnsi="宋体" w:eastAsia="黑体"/>
      <w:b/>
      <w:sz w:val="24"/>
      <w:szCs w:val="21"/>
    </w:rPr>
  </w:style>
  <w:style w:type="character" w:customStyle="1" w:styleId="84">
    <w:name w:val="0表（图）头 字符"/>
    <w:link w:val="83"/>
    <w:qFormat/>
    <w:uiPriority w:val="0"/>
    <w:rPr>
      <w:rFonts w:hAnsi="宋体" w:eastAsia="黑体"/>
      <w:b/>
      <w:kern w:val="2"/>
      <w:sz w:val="24"/>
      <w:szCs w:val="21"/>
    </w:rPr>
  </w:style>
  <w:style w:type="paragraph" w:customStyle="1" w:styleId="8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86">
    <w:name w:val="5文章(金皇)"/>
    <w:basedOn w:val="1"/>
    <w:qFormat/>
    <w:uiPriority w:val="0"/>
    <w:pPr>
      <w:spacing w:line="360" w:lineRule="auto"/>
      <w:ind w:firstLine="480" w:firstLineChars="200"/>
    </w:pPr>
    <w:rPr>
      <w:sz w:val="24"/>
    </w:rPr>
  </w:style>
  <w:style w:type="paragraph" w:customStyle="1" w:styleId="87">
    <w:name w:val="5文章(治)"/>
    <w:basedOn w:val="1"/>
    <w:qFormat/>
    <w:uiPriority w:val="0"/>
    <w:pPr>
      <w:snapToGrid w:val="0"/>
      <w:spacing w:line="360" w:lineRule="auto"/>
      <w:ind w:firstLine="200" w:firstLineChars="200"/>
    </w:pPr>
    <w:rPr>
      <w:sz w:val="24"/>
    </w:rPr>
  </w:style>
  <w:style w:type="character" w:customStyle="1" w:styleId="88">
    <w:name w:val="15"/>
    <w:qFormat/>
    <w:uiPriority w:val="0"/>
    <w:rPr>
      <w:rFonts w:hint="default" w:ascii="Times New Roman" w:hAnsi="Times New Roman" w:eastAsia="宋体" w:cs="Times New Roman"/>
      <w:sz w:val="24"/>
      <w:szCs w:val="24"/>
    </w:rPr>
  </w:style>
  <w:style w:type="paragraph" w:customStyle="1" w:styleId="89">
    <w:name w:val="7表格(治)"/>
    <w:basedOn w:val="1"/>
    <w:qFormat/>
    <w:uiPriority w:val="0"/>
    <w:pPr>
      <w:jc w:val="center"/>
    </w:pPr>
    <w:rPr>
      <w:szCs w:val="21"/>
    </w:rPr>
  </w:style>
  <w:style w:type="paragraph" w:customStyle="1" w:styleId="90">
    <w:name w:val="金皇-表格内文字"/>
    <w:basedOn w:val="1"/>
    <w:qFormat/>
    <w:uiPriority w:val="0"/>
    <w:pPr>
      <w:adjustRightInd w:val="0"/>
      <w:snapToGrid w:val="0"/>
      <w:jc w:val="center"/>
    </w:pPr>
    <w:rPr>
      <w:szCs w:val="21"/>
    </w:rPr>
  </w:style>
  <w:style w:type="paragraph" w:customStyle="1" w:styleId="91">
    <w:name w:val="金皇-正文"/>
    <w:basedOn w:val="1"/>
    <w:qFormat/>
    <w:uiPriority w:val="0"/>
    <w:pPr>
      <w:spacing w:line="360" w:lineRule="auto"/>
      <w:ind w:firstLine="200" w:firstLineChars="200"/>
    </w:pPr>
    <w:rPr>
      <w:sz w:val="24"/>
    </w:rPr>
  </w:style>
  <w:style w:type="character" w:styleId="92">
    <w:name w:val="Placeholder Text"/>
    <w:basedOn w:val="32"/>
    <w:unhideWhenUsed/>
    <w:qFormat/>
    <w:uiPriority w:val="99"/>
    <w:rPr>
      <w:color w:val="808080"/>
    </w:rPr>
  </w:style>
  <w:style w:type="paragraph" w:customStyle="1" w:styleId="93">
    <w:name w:val="TOC 标题1"/>
    <w:basedOn w:val="2"/>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94">
    <w:name w:val="List Paragraph"/>
    <w:basedOn w:val="1"/>
    <w:qFormat/>
    <w:uiPriority w:val="1"/>
    <w:pPr>
      <w:autoSpaceDE w:val="0"/>
      <w:autoSpaceDN w:val="0"/>
      <w:ind w:left="1457" w:hanging="601"/>
      <w:jc w:val="left"/>
    </w:pPr>
    <w:rPr>
      <w:rFonts w:ascii="宋体" w:hAnsi="宋体" w:cs="宋体"/>
      <w:kern w:val="0"/>
      <w:sz w:val="22"/>
      <w:szCs w:val="22"/>
      <w:lang w:eastAsia="en-US"/>
    </w:rPr>
  </w:style>
  <w:style w:type="paragraph" w:customStyle="1" w:styleId="95">
    <w:name w:val="金皇-标题2"/>
    <w:basedOn w:val="3"/>
    <w:qFormat/>
    <w:uiPriority w:val="0"/>
    <w:pPr>
      <w:numPr>
        <w:ilvl w:val="0"/>
        <w:numId w:val="0"/>
      </w:numPr>
      <w:spacing w:before="0" w:after="0" w:line="360" w:lineRule="auto"/>
    </w:pPr>
    <w:rPr>
      <w:rFonts w:ascii="Times New Roman" w:hAnsi="Times New Roman" w:eastAsia="黑体"/>
      <w:kern w:val="0"/>
      <w:sz w:val="30"/>
      <w:szCs w:val="30"/>
    </w:rPr>
  </w:style>
  <w:style w:type="paragraph" w:customStyle="1" w:styleId="96">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 w:val="20"/>
      <w:szCs w:val="20"/>
    </w:rPr>
  </w:style>
  <w:style w:type="paragraph" w:customStyle="1" w:styleId="97">
    <w:name w:val="文"/>
    <w:qFormat/>
    <w:uiPriority w:val="0"/>
    <w:pPr>
      <w:spacing w:line="360" w:lineRule="auto"/>
      <w:ind w:firstLine="200" w:firstLineChars="200"/>
      <w:jc w:val="both"/>
    </w:pPr>
    <w:rPr>
      <w:rFonts w:ascii="Calibri" w:hAnsi="Calibri" w:eastAsia="宋体" w:cs="Times New Roman"/>
      <w:bCs/>
      <w:sz w:val="24"/>
      <w:szCs w:val="28"/>
      <w:lang w:val="en-US" w:eastAsia="zh-CN" w:bidi="ar-SA"/>
    </w:rPr>
  </w:style>
  <w:style w:type="paragraph" w:customStyle="1" w:styleId="98">
    <w:name w:val="正文（）"/>
    <w:basedOn w:val="1"/>
    <w:qFormat/>
    <w:uiPriority w:val="0"/>
    <w:pPr>
      <w:adjustRightInd w:val="0"/>
      <w:snapToGrid w:val="0"/>
      <w:spacing w:line="360" w:lineRule="auto"/>
      <w:ind w:firstLine="200" w:firstLineChars="200"/>
    </w:pPr>
    <w:rPr>
      <w:color w:val="5B9BD5"/>
      <w:sz w:val="24"/>
      <w:szCs w:val="24"/>
    </w:rPr>
  </w:style>
  <w:style w:type="paragraph" w:customStyle="1" w:styleId="99">
    <w:name w:val="6表格"/>
    <w:basedOn w:val="1"/>
    <w:qFormat/>
    <w:uiPriority w:val="0"/>
    <w:pPr>
      <w:widowControl w:val="0"/>
      <w:jc w:val="center"/>
    </w:pPr>
    <w:rPr>
      <w:rFonts w:ascii="Times New Roman" w:hAnsi="Times New Roman"/>
    </w:rPr>
  </w:style>
  <w:style w:type="paragraph" w:customStyle="1" w:styleId="100">
    <w:name w:val="CM11"/>
    <w:basedOn w:val="1"/>
    <w:next w:val="1"/>
    <w:qFormat/>
    <w:uiPriority w:val="0"/>
    <w:pPr>
      <w:widowControl w:val="0"/>
      <w:autoSpaceDE w:val="0"/>
      <w:autoSpaceDN w:val="0"/>
      <w:adjustRightInd w:val="0"/>
      <w:spacing w:line="520" w:lineRule="atLeast"/>
    </w:pPr>
    <w:rPr>
      <w:rFonts w:ascii="宋体" w:hAnsi="宋体" w:cs="宋体"/>
      <w:kern w:val="0"/>
      <w:sz w:val="24"/>
      <w:szCs w:val="24"/>
    </w:rPr>
  </w:style>
  <w:style w:type="character" w:customStyle="1" w:styleId="101">
    <w:name w:val="font11"/>
    <w:basedOn w:val="32"/>
    <w:qFormat/>
    <w:uiPriority w:val="0"/>
    <w:rPr>
      <w:rFonts w:hint="eastAsia" w:ascii="宋体" w:hAnsi="宋体" w:eastAsia="宋体" w:cs="宋体"/>
      <w:color w:val="000000"/>
      <w:sz w:val="21"/>
      <w:szCs w:val="21"/>
      <w:u w:val="none"/>
    </w:rPr>
  </w:style>
  <w:style w:type="character" w:customStyle="1" w:styleId="102">
    <w:name w:val="font31"/>
    <w:basedOn w:val="32"/>
    <w:qFormat/>
    <w:uiPriority w:val="0"/>
    <w:rPr>
      <w:rFonts w:hint="default" w:ascii="Times New Roman" w:hAnsi="Times New Roman" w:cs="Times New Roman"/>
      <w:color w:val="000000"/>
      <w:sz w:val="21"/>
      <w:szCs w:val="21"/>
      <w:u w:val="none"/>
    </w:rPr>
  </w:style>
  <w:style w:type="character" w:customStyle="1" w:styleId="103">
    <w:name w:val="font41"/>
    <w:basedOn w:val="32"/>
    <w:qFormat/>
    <w:uiPriority w:val="0"/>
    <w:rPr>
      <w:rFonts w:hint="default" w:ascii="Times New Roman" w:hAnsi="Times New Roman" w:cs="Times New Roman"/>
      <w:color w:val="000000"/>
      <w:sz w:val="13"/>
      <w:szCs w:val="13"/>
      <w:u w:val="none"/>
    </w:rPr>
  </w:style>
  <w:style w:type="character" w:customStyle="1" w:styleId="104">
    <w:name w:val="font51"/>
    <w:basedOn w:val="32"/>
    <w:qFormat/>
    <w:uiPriority w:val="0"/>
    <w:rPr>
      <w:rFonts w:hint="default" w:ascii="Times New Roman" w:hAnsi="Times New Roman" w:cs="Times New Roman"/>
      <w:color w:val="000000"/>
      <w:sz w:val="21"/>
      <w:szCs w:val="21"/>
      <w:u w:val="none"/>
      <w:vertAlign w:val="subscript"/>
    </w:rPr>
  </w:style>
  <w:style w:type="paragraph" w:customStyle="1" w:styleId="105">
    <w:name w:val="表内容"/>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106">
    <w:name w:val="font01"/>
    <w:basedOn w:val="32"/>
    <w:qFormat/>
    <w:uiPriority w:val="0"/>
    <w:rPr>
      <w:rFonts w:hint="eastAsia" w:ascii="宋体" w:hAnsi="宋体" w:eastAsia="宋体" w:cs="宋体"/>
      <w:color w:val="000000"/>
      <w:sz w:val="22"/>
      <w:szCs w:val="22"/>
      <w:u w:val="none"/>
    </w:rPr>
  </w:style>
  <w:style w:type="character" w:customStyle="1" w:styleId="107">
    <w:name w:val="font61"/>
    <w:basedOn w:val="32"/>
    <w:qFormat/>
    <w:uiPriority w:val="0"/>
    <w:rPr>
      <w:rFonts w:hint="default" w:ascii="Times New Roman" w:hAnsi="Times New Roman" w:cs="Times New Roman"/>
      <w:color w:val="000000"/>
      <w:sz w:val="21"/>
      <w:szCs w:val="21"/>
      <w:u w:val="none"/>
      <w:vertAlign w:val="subscript"/>
    </w:rPr>
  </w:style>
  <w:style w:type="character" w:customStyle="1" w:styleId="108">
    <w:name w:val="font21"/>
    <w:basedOn w:val="32"/>
    <w:qFormat/>
    <w:uiPriority w:val="0"/>
    <w:rPr>
      <w:rFonts w:hint="eastAsia" w:ascii="宋体" w:hAnsi="宋体" w:eastAsia="宋体" w:cs="宋体"/>
      <w:color w:val="000000"/>
      <w:sz w:val="21"/>
      <w:szCs w:val="21"/>
      <w:u w:val="none"/>
    </w:rPr>
  </w:style>
  <w:style w:type="paragraph" w:customStyle="1" w:styleId="109">
    <w:name w:val="表格标题（）"/>
    <w:basedOn w:val="1"/>
    <w:autoRedefine/>
    <w:qFormat/>
    <w:uiPriority w:val="0"/>
    <w:pPr>
      <w:adjustRightInd w:val="0"/>
      <w:snapToGrid w:val="0"/>
      <w:jc w:val="center"/>
    </w:pPr>
    <w:rPr>
      <w:rFonts w:eastAsia="黑体"/>
      <w:color w:val="000000"/>
      <w:sz w:val="24"/>
      <w:lang w:val="zh-CN" w:bidi="he-IL"/>
    </w:rPr>
  </w:style>
  <w:style w:type="paragraph" w:customStyle="1" w:styleId="110">
    <w:name w:val="表格内容（）"/>
    <w:basedOn w:val="1"/>
    <w:autoRedefine/>
    <w:qFormat/>
    <w:uiPriority w:val="0"/>
    <w:pPr>
      <w:adjustRightInd w:val="0"/>
      <w:snapToGrid w:val="0"/>
      <w:jc w:val="center"/>
    </w:pPr>
    <w:rPr>
      <w:szCs w:val="21"/>
    </w:rPr>
  </w:style>
  <w:style w:type="character" w:customStyle="1" w:styleId="111">
    <w:name w:val="font81"/>
    <w:basedOn w:val="32"/>
    <w:qFormat/>
    <w:uiPriority w:val="0"/>
    <w:rPr>
      <w:rFonts w:hint="default" w:ascii="Times New Roman" w:hAnsi="Times New Roman" w:cs="Times New Roman"/>
      <w:color w:val="000000"/>
      <w:sz w:val="13"/>
      <w:szCs w:val="13"/>
      <w:u w:val="none"/>
    </w:rPr>
  </w:style>
  <w:style w:type="paragraph" w:customStyle="1" w:styleId="112">
    <w:name w:val="表格里面的字"/>
    <w:basedOn w:val="89"/>
    <w:qFormat/>
    <w:uiPriority w:val="0"/>
    <w:rPr>
      <w:rFonts w:ascii="Times New Roman" w:hAnsi="Times New Roman"/>
      <w:kern w:val="2"/>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6.jpeg"/><Relationship Id="rId27" Type="http://schemas.openxmlformats.org/officeDocument/2006/relationships/image" Target="media/image15.emf"/><Relationship Id="rId26" Type="http://schemas.openxmlformats.org/officeDocument/2006/relationships/image" Target="media/image14.png"/><Relationship Id="rId25" Type="http://schemas.openxmlformats.org/officeDocument/2006/relationships/image" Target="media/image13.e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8d08a0c7-165a-4c2a-82fc-dbc2cc2412d8</errorID>
      <errorWord>(</errorWord>
      <group>L1_Format</group>
      <groupName>格式问题</groupName>
      <ability>L2_HalfPunc</ability>
      <abilityName>全半角检查</abilityName>
      <candidateList>
        <item>（</item>
      </candidateList>
      <explain>文本全半角错误。</explain>
      <paraID>7DA65351</paraID>
      <start>23</start>
      <end>24</end>
      <status>unmodified</status>
      <modifiedWord/>
      <trackRevisions>false</trackRevisions>
    </reviewItem>
    <reviewItem>
      <errorID>45ff76fb-5c00-4eed-b3fa-f55537284518</errorID>
      <errorWord>)</errorWord>
      <group>L1_Format</group>
      <groupName>格式问题</groupName>
      <ability>L2_HalfPunc</ability>
      <abilityName>全半角检查</abilityName>
      <candidateList>
        <item>）</item>
      </candidateList>
      <explain>文本全半角错误。</explain>
      <paraID>7DA65351</paraID>
      <start>26</start>
      <end>27</end>
      <status>unmodified</status>
      <modifiedWord/>
      <trackRevisions>false</trackRevisions>
    </reviewItem>
    <reviewItem>
      <errorID>4b96c53a-f8d4-4675-b628-7b5cd2d08492</errorID>
      <errorWord>(</errorWord>
      <group>L1_Format</group>
      <groupName>格式问题</groupName>
      <ability>L2_HalfPunc</ability>
      <abilityName>全半角检查</abilityName>
      <candidateList>
        <item>（</item>
      </candidateList>
      <explain>文本全半角错误。</explain>
      <paraID>6E716795</paraID>
      <start>18</start>
      <end>19</end>
      <status>unmodified</status>
      <modifiedWord/>
      <trackRevisions>false</trackRevisions>
    </reviewItem>
    <reviewItem>
      <errorID>ed9efcf3-a65b-4b13-bb68-3f4966f0c727</errorID>
      <errorWord>)</errorWord>
      <group>L1_Format</group>
      <groupName>格式问题</groupName>
      <ability>L2_HalfPunc</ability>
      <abilityName>全半角检查</abilityName>
      <candidateList>
        <item>）</item>
      </candidateList>
      <explain>文本全半角错误。</explain>
      <paraID>6E716795</paraID>
      <start>21</start>
      <end>22</end>
      <status>unmodified</status>
      <modifiedWord/>
      <trackRevisions>false</trackRevisions>
    </reviewItem>
    <reviewItem>
      <errorID>855a6702-44f1-4f0f-9969-cc1144d73ad5</errorID>
      <errorWord>福建 省</errorWord>
      <group>L1_AI</group>
      <groupName>深度校对</groupName>
      <ability>L2_AI_Word</ability>
      <abilityName>字词纠错</abilityName>
      <candidateList>
        <item>福建省</item>
      </candidateList>
      <explain/>
      <paraID>78E10374</paraID>
      <start>1</start>
      <end>5</end>
      <status>unmodified</status>
      <modifiedWord/>
      <trackRevisions>false</trackRevisions>
    </reviewItem>
    <reviewItem>
      <errorID>f1151ced-5e22-4303-a7dd-48baf8f513f0</errorID>
      <errorWord> 福州 市 高新 县</errorWord>
      <group>L1_AI</group>
      <groupName>深度校对</groupName>
      <ability>L2_AI_Grammar</ability>
      <abilityName>语法纠错</abilityName>
      <candidateList>
        <item>福州市高新区</item>
      </candidateList>
      <explain/>
      <paraID>78E10374</paraID>
      <start>10</start>
      <end>20</end>
      <status>unmodified</status>
      <modifiedWord/>
      <trackRevisions>false</trackRevisions>
    </reviewItem>
    <reviewItem>
      <errorID>d9499980-f405-437c-8033-3be620433181</errorID>
      <errorWord>镇 乡</errorWord>
      <group>L1_AI</group>
      <groupName>深度校对</groupName>
      <ability>L2_AI_Grammar</ability>
      <abilityName>语法纠错</abilityName>
      <candidateList>
        <item>镇</item>
      </candidateList>
      <explain/>
      <paraID>78E10374</paraID>
      <start>25</start>
      <end>28</end>
      <status>unmodified</status>
      <modifiedWord/>
      <trackRevisions>false</trackRevisions>
    </reviewItem>
    <reviewItem>
      <errorID>95ad1fad-fb41-451f-b5ec-1ee6d1fc1c51</errorID>
      <errorWord> </errorWord>
      <group>L1_AI</group>
      <groupName>深度校对</groupName>
      <ability>L2_AI_Punc</ability>
      <abilityName>标点纠错</abilityName>
      <candidateList>
        <item/>
      </candidateList>
      <explain>此处空格冗余，建议删除。</explain>
      <paraID>78E10374</paraID>
      <start>32</start>
      <end>33</end>
      <status>unmodified</status>
      <modifiedWord/>
      <trackRevisions>false</trackRevisions>
    </reviewItem>
    <reviewItem>
      <errorID>1942608a-15f3-46e1-8b0d-a1e8c134dc43</errorID>
      <errorWord> </errorWord>
      <group>L1_AI</group>
      <groupName>深度校对</groupName>
      <ability>L2_AI_Punc</ability>
      <abilityName>标点纠错</abilityName>
      <candidateList>
        <item/>
      </candidateList>
      <explain>此处空格冗余，建议删除。</explain>
      <paraID>78E10374</paraID>
      <start>42</start>
      <end>43</end>
      <status>unmodified</status>
      <modifiedWord/>
      <trackRevisions>false</trackRevisions>
    </reviewItem>
    <reviewItem>
      <errorID>ef81bdd7-1c5b-4542-8936-c2927e3c517e</errorID>
      <errorWord>[2025]</errorWord>
      <group>L1_Punc</group>
      <groupName>标点问题</groupName>
      <ability>L2_Punc</ability>
      <abilityName>标点符号检查</abilityName>
      <candidateList>
        <item>〔2025〕</item>
      </candidateList>
      <explain/>
      <paraID>26B9EA2B</paraID>
      <start>4</start>
      <end>10</end>
      <status>unmodified</status>
      <modifiedWord/>
      <trackRevisions>false</trackRevisions>
    </reviewItem>
    <reviewItem>
      <errorID>c0f84433-3cbf-4ad1-93bd-db3a8384d323</errorID>
      <errorWord>：/</errorWord>
      <group>L1_Punc</group>
      <groupName>标点问题</groupName>
      <ability>L2_Punc</ability>
      <abilityName>标点符号检查</abilityName>
      <candidateList>
        <item>：</item>
      </candidateList>
      <explain/>
      <paraID> 97CA98A</paraID>
      <start>9</start>
      <end>11</end>
      <status>unmodified</status>
      <modifiedWord/>
      <trackRevisions>false</trackRevisions>
    </reviewItem>
    <reviewItem>
      <errorID>e1ec35a7-d903-4565-aaeb-1e25a26500a0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38D69DCD</paraID>
      <start>23</start>
      <end>24</end>
      <status>unmodified</status>
      <modifiedWord/>
      <trackRevisions>false</trackRevisions>
    </reviewItem>
    <reviewItem>
      <errorID>27e2d3ee-83c1-4d94-8b8e-cc5fbd2cae9d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38D69DCD</paraID>
      <start>49</start>
      <end>50</end>
      <status>unmodified</status>
      <modifiedWord/>
      <trackRevisions>false</trackRevisions>
    </reviewItem>
    <reviewItem>
      <errorID>98f73609-aff4-4b5b-b8b7-13881433cec8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581DF449</paraID>
      <start>17</start>
      <end>18</end>
      <status>unmodified</status>
      <modifiedWord/>
      <trackRevisions>false</trackRevisions>
    </reviewItem>
    <reviewItem>
      <errorID>851d966c-a822-4500-a8aa-094422beb98e</errorID>
      <errorWord>(</errorWord>
      <group>L1_Format</group>
      <groupName>格式问题</groupName>
      <ability>L2_HalfPunc</ability>
      <abilityName>全半角检查</abilityName>
      <candidateList>
        <item>（</item>
      </candidateList>
      <explain>文本全半角错误。</explain>
      <paraID>581DF449</paraID>
      <start>310</start>
      <end>311</end>
      <status>unmodified</status>
      <modifiedWord/>
      <trackRevisions>false</trackRevisions>
    </reviewItem>
    <reviewItem>
      <errorID>2fbaeba8-8709-4742-8987-06ffb5a3613d</errorID>
      <errorWord>)</errorWord>
      <group>L1_Format</group>
      <groupName>格式问题</groupName>
      <ability>L2_HalfPunc</ability>
      <abilityName>全半角检查</abilityName>
      <candidateList>
        <item>）</item>
      </candidateList>
      <explain>文本全半角错误。</explain>
      <paraID>581DF449</paraID>
      <start>313</start>
      <end>314</end>
      <status>unmodified</status>
      <modifiedWord/>
      <trackRevisions>false</trackRevisions>
    </reviewItem>
    <reviewItem>
      <errorID>28343b22-7630-4df5-9245-205d061f8e41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61BFE662</paraID>
      <start>17</start>
      <end>18</end>
      <status>unmodified</status>
      <modifiedWord/>
      <trackRevisions>false</trackRevisions>
    </reviewItem>
    <reviewItem>
      <errorID>d3d46c44-f493-4ce1-b0d3-12981362192c</errorID>
      <errorWord>荆甘</errorWord>
      <group>L1_Word</group>
      <groupName>字词问题</groupName>
      <ability>L2_Typo</ability>
      <abilityName>字词错误</abilityName>
      <candidateList>
        <item>荆</item>
      </candidateList>
      <explain/>
      <paraID>61BFE662</paraID>
      <start>115</start>
      <end>117</end>
      <status>unmodified</status>
      <modifiedWord/>
      <trackRevisions>false</trackRevisions>
    </reviewItem>
    <reviewItem>
      <errorID>8f6c9508-f284-4425-9fc3-08f52987876a</errorID>
      <errorWord>-</errorWord>
      <group>L1_Format</group>
      <groupName>格式问题</groupName>
      <ability>L2_HalfPunc</ability>
      <abilityName>全半角检查</abilityName>
      <candidateList>
        <item>－</item>
      </candidateList>
      <explain>文本全半角错误。</explain>
      <paraID>6DD0F78F</paraID>
      <start>24</start>
      <end>25</end>
      <status>unmodified</status>
      <modifiedWord/>
      <trackRevisions>false</trackRevisions>
    </reviewItem>
    <reviewItem>
      <errorID>cb2c61e5-8b5c-4b7e-ab9a-0ec47b146c2c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6DD0F78F</paraID>
      <start>149</start>
      <end>150</end>
      <status>unmodified</status>
      <modifiedWord/>
      <trackRevisions>false</trackRevisions>
    </reviewItem>
    <reviewItem>
      <errorID>f45203a8-2748-45f7-aba6-95b06efcc8ea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6DD0F78F</paraID>
      <start>175</start>
      <end>176</end>
      <status>unmodified</status>
      <modifiedWord/>
      <trackRevisions>false</trackRevisions>
    </reviewItem>
    <reviewItem>
      <errorID>7780badd-a4c7-4c0a-8eba-3ec3bac490aa</errorID>
      <errorWord>台湾和欧美</errorWord>
      <group>L1_Political</group>
      <groupName>政治性问题</groupName>
      <ability>L2_Unpolitical</ability>
      <abilityName>政治敏感错误</abilityName>
      <candidateList/>
      <explain/>
      <paraID>6776C585</paraID>
      <start>63</start>
      <end>68</end>
      <status>unmodified</status>
      <modifiedWord/>
      <trackRevisions>false</trackRevisions>
    </reviewItem>
    <reviewItem>
      <errorID>94110c71-c086-47fb-9034-a620b4824b8e</errorID>
      <errorWord>高新技术制造业</errorWord>
      <group>L1_Political</group>
      <groupName>政治性问题</groupName>
      <ability>L2_Keyword</ability>
      <abilityName>固定表述</abilityName>
      <candidateList>
        <item>高技术制造业</item>
      </candidateList>
      <explain>词汇“高技术制造业”在特定场景下为固定表述形式，请确认此处的“高新技术制造业”是否存在不当。</explain>
      <paraID>720B5EC3</paraID>
      <start>47</start>
      <end>54</end>
      <status>unmodified</status>
      <modifiedWord/>
      <trackRevisions>false</trackRevisions>
    </reviewItem>
    <reviewItem>
      <errorID>f3bc2e98-8bcb-4126-9aee-868f84d84859</errorID>
      <errorWord>-</errorWord>
      <group>L1_Format</group>
      <groupName>格式问题</groupName>
      <ability>L2_HalfPunc</ability>
      <abilityName>全半角检查</abilityName>
      <candidateList>
        <item>－</item>
      </candidateList>
      <explain>文本全半角错误。</explain>
      <paraID>3337E97A</paraID>
      <start>20</start>
      <end>21</end>
      <status>unmodified</status>
      <modifiedWord/>
      <trackRevisions>false</trackRevisions>
    </reviewItem>
    <reviewItem>
      <errorID>e4b0927e-5d8f-48a1-b803-f35e4ac25f4d</errorID>
      <errorWord>推荐</errorWord>
      <group>L1_Word</group>
      <groupName>字词问题</groupName>
      <ability>L2_Typo</ability>
      <abilityName>字词错误</abilityName>
      <candidateList>
        <item>推进</item>
      </candidateList>
      <explain>〈动〉❶推动工作，使前进：把学科的研究～到一个新阶段。❷（战线或作战的军队）向前进：主力正向前沿阵地～。</explain>
      <paraID>4ED6CA31</paraID>
      <start>0</start>
      <end>2</end>
      <status>unmodified</status>
      <modifiedWord/>
      <trackRevisions>false</trackRevisions>
    </reviewItem>
    <reviewItem>
      <errorID>2c6e8a44-a632-4f4f-bd2c-39a070fc0697</errorID>
      <errorWord>推荐</errorWord>
      <group>L1_Word</group>
      <groupName>字词问题</groupName>
      <ability>L2_Typo</ability>
      <abilityName>字词错误</abilityName>
      <candidateList>
        <item>推进</item>
      </candidateList>
      <explain>存在发音相近字词的误用。</explain>
      <paraID> 43A8497</paraID>
      <start>0</start>
      <end>2</end>
      <status>unmodified</status>
      <modifiedWord/>
      <trackRevisions>false</trackRevisions>
    </reviewItem>
    <reviewItem>
      <errorID>e6e65b8a-0401-412f-b619-cfeb0c31530f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140AFB94</paraID>
      <start>0</start>
      <end>2</end>
      <status>unmodified</status>
      <modifiedWord/>
      <trackRevisions>false</trackRevisions>
    </reviewItem>
    <reviewItem>
      <errorID>a5785eef-c3ef-45bc-8fa5-4b78dc636dd4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CA673CA</paraID>
      <start>0</start>
      <end>2</end>
      <status>unmodified</status>
      <modifiedWord/>
      <trackRevisions>false</trackRevisions>
    </reviewItem>
    <reviewItem>
      <errorID>6842daef-ac5f-4f6d-a17e-f9de79e6ab96</errorID>
      <errorWord>（</errorWord>
      <group>L1_Punc</group>
      <groupName>标点问题</groupName>
      <ability>L2_Punc</ability>
      <abilityName>标点符号检查</abilityName>
      <candidateList/>
      <explain>同一形式括号套用。</explain>
      <paraID>6F3A965D</paraID>
      <start>72</start>
      <end>73</end>
      <status>unmodified</status>
      <modifiedWord/>
      <trackRevisions>false</trackRevisions>
    </reviewItem>
    <reviewItem>
      <errorID>cc1cc837-76aa-41fb-bd1c-885436e331ca</errorID>
      <errorWord>）</errorWord>
      <group>L1_Punc</group>
      <groupName>标点问题</groupName>
      <ability>L2_Punc</ability>
      <abilityName>标点符号检查</abilityName>
      <candidateList/>
      <explain>同一形式括号套用。</explain>
      <paraID>6F3A965D</paraID>
      <start>77</start>
      <end>78</end>
      <status>unmodified</status>
      <modifiedWord/>
      <trackRevisions>false</trackRevisions>
    </reviewItem>
    <reviewItem>
      <errorID>9ba8edd0-eb38-4246-9198-5b72a8da386a</errorID>
      <errorWord>（</errorWord>
      <group>L1_Punc</group>
      <groupName>标点问题</groupName>
      <ability>L2_Punc</ability>
      <abilityName>标点符号检查</abilityName>
      <candidateList/>
      <explain>同一形式括号套用。</explain>
      <paraID>6F3A965D</paraID>
      <start>81</start>
      <end>82</end>
      <status>unmodified</status>
      <modifiedWord/>
      <trackRevisions>false</trackRevisions>
    </reviewItem>
    <reviewItem>
      <errorID>55ed3379-edb7-450c-9faa-a9f026b01b42</errorID>
      <errorWord>）</errorWord>
      <group>L1_Punc</group>
      <groupName>标点问题</groupName>
      <ability>L2_Punc</ability>
      <abilityName>标点符号检查</abilityName>
      <candidateList/>
      <explain>同一形式括号套用。</explain>
      <paraID>6F3A965D</paraID>
      <start>83</start>
      <end>84</end>
      <status>unmodified</status>
      <modifiedWord/>
      <trackRevisions>false</trackRevisions>
    </reviewItem>
    <reviewItem>
      <errorID>08408dc1-ff7e-4dc2-90cd-5fa7bd9d416c</errorID>
      <errorWord>(</errorWord>
      <group>L1_Format</group>
      <groupName>格式问题</groupName>
      <ability>L2_HalfPunc</ability>
      <abilityName>全半角检查</abilityName>
      <candidateList>
        <item>（</item>
      </candidateList>
      <explain>文本全半角错误。</explain>
      <paraID>234838B7</paraID>
      <start>25</start>
      <end>26</end>
      <status>unmodified</status>
      <modifiedWord/>
      <trackRevisions>false</trackRevisions>
    </reviewItem>
    <reviewItem>
      <errorID>5a54afb4-9379-4ed2-bc91-9deff8a1725d</errorID>
      <errorWord>)</errorWord>
      <group>L1_Format</group>
      <groupName>格式问题</groupName>
      <ability>L2_HalfPunc</ability>
      <abilityName>全半角检查</abilityName>
      <candidateList>
        <item>）</item>
      </candidateList>
      <explain>文本全半角错误。</explain>
      <paraID>234838B7</paraID>
      <start>37</start>
      <end>38</end>
      <status>unmodified</status>
      <modifiedWord/>
      <trackRevisions>false</trackRevisions>
    </reviewItem>
    <reviewItem>
      <errorID>988ff0e8-1b24-4a54-ac48-b9721eec0afd</errorID>
      <errorWord>(</errorWord>
      <group>L1_Format</group>
      <groupName>格式问题</groupName>
      <ability>L2_HalfPunc</ability>
      <abilityName>全半角检查</abilityName>
      <candidateList>
        <item>（</item>
      </candidateList>
      <explain>文本全半角错误。</explain>
      <paraID> DCB157F</paraID>
      <start>33</start>
      <end>34</end>
      <status>unmodified</status>
      <modifiedWord/>
      <trackRevisions>false</trackRevisions>
    </reviewItem>
    <reviewItem>
      <errorID>a223efb2-e595-4dd0-9b96-d59402e1ac5e</errorID>
      <errorWord>)</errorWord>
      <group>L1_Format</group>
      <groupName>格式问题</groupName>
      <ability>L2_HalfPunc</ability>
      <abilityName>全半角检查</abilityName>
      <candidateList>
        <item>）</item>
      </candidateList>
      <explain>文本全半角错误。</explain>
      <paraID> DCB157F</paraID>
      <start>45</start>
      <end>46</end>
      <status>unmodified</status>
      <modifiedWord/>
      <trackRevisions>false</trackRevisions>
    </reviewItem>
    <reviewItem>
      <errorID>83e0346f-387b-48e4-acac-cf631183d04a</errorID>
      <errorWord>(</errorWord>
      <group>L1_Format</group>
      <groupName>格式问题</groupName>
      <ability>L2_HalfPunc</ability>
      <abilityName>全半角检查</abilityName>
      <candidateList>
        <item>（</item>
      </candidateList>
      <explain>文本全半角错误。</explain>
      <paraID>37324BC4</paraID>
      <start>151</start>
      <end>152</end>
      <status>unmodified</status>
      <modifiedWord/>
      <trackRevisions>false</trackRevisions>
    </reviewItem>
    <reviewItem>
      <errorID>b505611d-ee08-45b7-8ec4-65ab96873d92</errorID>
      <errorWord>)</errorWord>
      <group>L1_Format</group>
      <groupName>格式问题</groupName>
      <ability>L2_HalfPunc</ability>
      <abilityName>全半角检查</abilityName>
      <candidateList>
        <item>）</item>
      </candidateList>
      <explain>文本全半角错误。</explain>
      <paraID>37324BC4</paraID>
      <start>163</start>
      <end>164</end>
      <status>unmodified</status>
      <modifiedWord/>
      <trackRevisions>false</trackRevisions>
    </reviewItem>
    <reviewItem>
      <errorID>b9b92537-8d3b-4284-9364-eb44371b9018</errorID>
      <errorWord>(</errorWord>
      <group>L1_Format</group>
      <groupName>格式问题</groupName>
      <ability>L2_HalfPunc</ability>
      <abilityName>全半角检查</abilityName>
      <candidateList>
        <item>（</item>
      </candidateList>
      <explain>文本全半角错误。</explain>
      <paraID>5394476F</paraID>
      <start>148</start>
      <end>149</end>
      <status>unmodified</status>
      <modifiedWord/>
      <trackRevisions>false</trackRevisions>
    </reviewItem>
    <reviewItem>
      <errorID>ed9616e4-8496-419c-aace-a24f962f0dfd</errorID>
      <errorWord>)中</errorWord>
      <group>L1_Word</group>
      <groupName>字词问题</groupName>
      <ability>L2_Typo</ability>
      <abilityName>字词错误</abilityName>
      <candidateList>
        <item>)</item>
      </candidateList>
      <explain/>
      <paraID>5394476F</paraID>
      <start>160</start>
      <end>162</end>
      <status>unmodified</status>
      <modifiedWord/>
      <trackRevisions>false</trackRevisions>
    </reviewItem>
    <reviewItem>
      <errorID>6c219961-5cc3-455e-8de9-75d373ef41c5</errorID>
      <errorWord>有效的控制</errorWord>
      <group>L1_Word</group>
      <groupName>字词问题</groupName>
      <ability>L2_Typo</ability>
      <abilityName>字词错误</abilityName>
      <candidateList>
        <item>有效地控制</item>
      </candidateList>
      <explain/>
      <paraID>3733D023</paraID>
      <start>89</start>
      <end>94</end>
      <status>unmodified</status>
      <modifiedWord/>
      <trackRevisions>false</trackRevisions>
    </reviewItem>
    <reviewItem>
      <errorID>2ea8d939-6609-4de5-a30f-8a989dc4993f</errorID>
      <errorWord>上线</errorWord>
      <group>L1_Word</group>
      <groupName>字词问题</groupName>
      <ability>L2_Typo</ability>
      <abilityName>字词错误</abilityName>
      <candidateList>
        <item>上限</item>
      </candidateList>
      <explain/>
      <paraID>3733D023</paraID>
      <start>119</start>
      <end>121</end>
      <status>unmodified</status>
      <modifiedWord/>
      <trackRevisions>false</trackRevisions>
    </reviewItem>
    <reviewItem>
      <errorID>b444f15f-3967-40e9-aac3-d33ac1fdc16f</errorID>
      <errorWord>其它</errorWord>
      <group>L1_Word</group>
      <groupName>字词问题</groupName>
      <ability>L2_Alias</ability>
      <abilityName>也作/曾用词</abilityName>
      <candidateList>
        <item>其他</item>
      </candidateList>
      <explain>词汇[其它]为不规范表述或旧称，其规范书面表述为[其他]。</explain>
      <paraID>49E28050</paraID>
      <start>124</start>
      <end>126</end>
      <status>unmodified</status>
      <modifiedWord/>
      <trackRevisions>false</trackRevisions>
    </reviewItem>
    <reviewItem>
      <errorID>c18263e9-a1c7-47bb-ad31-06c7ccb0e5ba</errorID>
      <errorWord>原住居民</errorWord>
      <group>L1_Sensitive</group>
      <groupName>敏感问题</groupName>
      <ability>L2_Violent</ability>
      <abilityName>暴恐词条</abilityName>
      <candidateList/>
      <explain>【暴恐词条】句中包含暴恐类敏感词条，请注意甄别。</explain>
      <paraID>74C3DD8C</paraID>
      <start>3</start>
      <end>7</end>
      <status>unmodified</status>
      <modifiedWord/>
      <trackRevisions>false</trackRevisions>
    </reviewItem>
    <reviewItem>
      <errorID>bb5524e3-a2f5-4192-9b87-9a10097fd06e</errorID>
      <errorWord>其它</errorWord>
      <group>L1_Word</group>
      <groupName>字词问题</groupName>
      <ability>L2_Alias</ability>
      <abilityName>也作/曾用词</abilityName>
      <candidateList>
        <item>其他</item>
      </candidateList>
      <explain>词汇[其它]为不规范表述或旧称，其规范书面表述为[其他]。</explain>
      <paraID>1BF73601</paraID>
      <start>2</start>
      <end>4</end>
      <status>unmodified</status>
      <modifiedWord/>
      <trackRevisions>false</trackRevisions>
    </reviewItem>
    <reviewItem>
      <errorID>cf097366-4947-4c31-b162-9c62fbcc05d7</errorID>
      <errorWord>其它可能</errorWord>
      <group>L1_Word</group>
      <groupName>字词问题</groupName>
      <ability>L2_Alias</ability>
      <abilityName>也作/曾用词</abilityName>
      <candidateList>
        <item>其他可能</item>
      </candidateList>
      <explain>词汇[其它可能]为不规范表述或旧称，其规范书面表述为[其他可能]。</explain>
      <paraID>497D72F2</paraID>
      <start>40</start>
      <end>44</end>
      <status>unmodified</status>
      <modifiedWord/>
      <trackRevisions>false</trackRevisions>
    </reviewItem>
    <reviewItem>
      <errorID>2f7e2866-8f9a-4faf-be65-9425b154fe7d</errorID>
      <errorWord>空气质量持续改善计划</errorWord>
      <group>L1_Political</group>
      <groupName>政治性问题</groupName>
      <ability>L2_Keyword</ability>
      <abilityName>固定表述</abilityName>
      <candidateList>
        <item>空气质量持续改善行动计划</item>
      </candidateList>
      <explain>词汇“空气质量持续改善行动计划”在特定场景下为固定表述形式，请确认此处的“空气质量持续改善计划”是否存在不当。</explain>
      <paraID>75D1071B</paraID>
      <start>35</start>
      <end>45</end>
      <status>unmodified</status>
      <modifiedWord/>
      <trackRevisions>false</trackRevisions>
    </reviewItem>
    <reviewItem>
      <errorID>64102249-037b-4a9f-9aff-4e9ba14c6c3c</errorID>
      <errorWord>（</errorWord>
      <group>L1_Punc</group>
      <groupName>标点问题</groupName>
      <ability>L2_Punc</ability>
      <abilityName>标点符号检查</abilityName>
      <candidateList/>
      <explain>同一形式括号套用。</explain>
      <paraID> 7D509DC</paraID>
      <start>95</start>
      <end>96</end>
      <status>unmodified</status>
      <modifiedWord/>
      <trackRevisions>false</trackRevisions>
    </reviewItem>
    <reviewItem>
      <errorID>6ad1ade9-32b4-4bec-b53f-c720689571b6</errorID>
      <errorWord>）</errorWord>
      <group>L1_Punc</group>
      <groupName>标点问题</groupName>
      <ability>L2_Punc</ability>
      <abilityName>标点符号检查</abilityName>
      <candidateList/>
      <explain>同一形式括号套用。</explain>
      <paraID> 7D509DC</paraID>
      <start>97</start>
      <end>98</end>
      <status>unmodified</status>
      <modifiedWord/>
      <trackRevisions>false</trackRevisions>
    </reviewItem>
    <reviewItem>
      <errorID>17a4046e-fb09-4b5b-b424-4d1e663226b8</errorID>
      <errorWord>.</errorWord>
      <group>L1_Punc</group>
      <groupName>标点问题</groupName>
      <ability>L2_Punc</ability>
      <abilityName>标点符号检查</abilityName>
      <candidateList/>
      <explain/>
      <paraID>3C05B61C</paraID>
      <start>0</start>
      <end>1</end>
      <status>unmodified</status>
      <modifiedWord/>
      <trackRevisions>false</trackRevisions>
    </reviewItem>
    <reviewItem>
      <errorID>ddc2ec64-53d2-4ba8-bdab-d8d2136deb05</errorID>
      <errorWord>(</errorWord>
      <group>L1_Format</group>
      <groupName>格式问题</groupName>
      <ability>L2_HalfPunc</ability>
      <abilityName>全半角检查</abilityName>
      <candidateList>
        <item>（</item>
      </candidateList>
      <explain>文本全半角错误。</explain>
      <paraID>7FB6095D</paraID>
      <start>29</start>
      <end>30</end>
      <status>unmodified</status>
      <modifiedWord/>
      <trackRevisions>false</trackRevisions>
    </reviewItem>
    <reviewItem>
      <errorID>874a7e5d-7b0c-46f0-9ad5-a4c98abdb72e</errorID>
      <errorWord>)</errorWord>
      <group>L1_Format</group>
      <groupName>格式问题</groupName>
      <ability>L2_HalfPunc</ability>
      <abilityName>全半角检查</abilityName>
      <candidateList>
        <item>）</item>
      </candidateList>
      <explain>文本全半角错误。</explain>
      <paraID>7FB6095D</paraID>
      <start>43</start>
      <end>44</end>
      <status>unmodified</status>
      <modifiedWord/>
      <trackRevisions>false</trackRevisions>
    </reviewItem>
    <reviewItem>
      <errorID>89fd4552-307c-4d57-b143-720aef108d2c</errorID>
      <errorWord>(</errorWord>
      <group>L1_Format</group>
      <groupName>格式问题</groupName>
      <ability>L2_HalfPunc</ability>
      <abilityName>全半角检查</abilityName>
      <candidateList>
        <item>（</item>
      </candidateList>
      <explain>文本全半角错误。</explain>
      <paraID>13E76625</paraID>
      <start>26</start>
      <end>27</end>
      <status>unmodified</status>
      <modifiedWord/>
      <trackRevisions>false</trackRevisions>
    </reviewItem>
    <reviewItem>
      <errorID>7c4822b1-c8ce-46e4-86e4-abd2f372ff72</errorID>
      <errorWord>)</errorWord>
      <group>L1_Format</group>
      <groupName>格式问题</groupName>
      <ability>L2_HalfPunc</ability>
      <abilityName>全半角检查</abilityName>
      <candidateList>
        <item>）</item>
      </candidateList>
      <explain>文本全半角错误。</explain>
      <paraID>13E76625</paraID>
      <start>29</start>
      <end>30</end>
      <status>unmodified</status>
      <modifiedWord/>
      <trackRevisions>false</trackRevisions>
    </reviewItem>
    <reviewItem>
      <errorID>5148dd63-de16-4d2e-ae58-39624714057d</errorID>
      <errorWord>(</errorWord>
      <group>L1_Format</group>
      <groupName>格式问题</groupName>
      <ability>L2_HalfPunc</ability>
      <abilityName>全半角检查</abilityName>
      <candidateList>
        <item>（</item>
      </candidateList>
      <explain>文本全半角错误。</explain>
      <paraID>13E76625</paraID>
      <start>34</start>
      <end>35</end>
      <status>unmodified</status>
      <modifiedWord/>
      <trackRevisions>false</trackRevisions>
    </reviewItem>
    <reviewItem>
      <errorID>cddf4362-ff25-496d-b08c-271bd026e866</errorID>
      <errorWord>)</errorWord>
      <group>L1_Format</group>
      <groupName>格式问题</groupName>
      <ability>L2_HalfPunc</ability>
      <abilityName>全半角检查</abilityName>
      <candidateList>
        <item>）</item>
      </candidateList>
      <explain>文本全半角错误。</explain>
      <paraID>13E76625</paraID>
      <start>48</start>
      <end>49</end>
      <status>unmodified</status>
      <modifiedWord/>
      <trackRevisions>false</trackRevisions>
    </reviewItem>
    <reviewItem>
      <errorID>6ca6f29f-74b7-4341-b299-f633d21d486e</errorID>
      <errorWord>(</errorWord>
      <group>L1_Format</group>
      <groupName>格式问题</groupName>
      <ability>L2_HalfPunc</ability>
      <abilityName>全半角检查</abilityName>
      <candidateList>
        <item>（</item>
      </candidateList>
      <explain>文本全半角错误。</explain>
      <paraID>76E4EA4C</paraID>
      <start>42</start>
      <end>43</end>
      <status>unmodified</status>
      <modifiedWord/>
      <trackRevisions>false</trackRevisions>
    </reviewItem>
    <reviewItem>
      <errorID>9a1319e4-c34b-42d0-8137-9674d78c946b</errorID>
      <errorWord>)</errorWord>
      <group>L1_Format</group>
      <groupName>格式问题</groupName>
      <ability>L2_HalfPunc</ability>
      <abilityName>全半角检查</abilityName>
      <candidateList>
        <item>）</item>
      </candidateList>
      <explain>文本全半角错误。</explain>
      <paraID>76E4EA4C</paraID>
      <start>48</start>
      <end>49</end>
      <status>unmodified</status>
      <modifiedWord/>
      <trackRevisions>false</trackRevisions>
    </reviewItem>
    <reviewItem>
      <errorID>cbb82338-cf36-4e1e-93a1-f7324586a999</errorID>
      <errorWord>(</errorWord>
      <group>L1_Format</group>
      <groupName>格式问题</groupName>
      <ability>L2_HalfPunc</ability>
      <abilityName>全半角检查</abilityName>
      <candidateList>
        <item>（</item>
      </candidateList>
      <explain>文本全半角错误。</explain>
      <paraID>1C0C0919</paraID>
      <start>25</start>
      <end>26</end>
      <status>unmodified</status>
      <modifiedWord/>
      <trackRevisions>false</trackRevisions>
    </reviewItem>
    <reviewItem>
      <errorID>62479139-1825-4d67-9612-18f235ff5f59</errorID>
      <errorWord>)</errorWord>
      <group>L1_Format</group>
      <groupName>格式问题</groupName>
      <ability>L2_HalfPunc</ability>
      <abilityName>全半角检查</abilityName>
      <candidateList>
        <item>）</item>
      </candidateList>
      <explain>文本全半角错误。</explain>
      <paraID>1C0C0919</paraID>
      <start>27</start>
      <end>28</end>
      <status>unmodified</status>
      <modifiedWord/>
      <trackRevisions>false</trackRevisions>
    </reviewItem>
    <reviewItem>
      <errorID>f995dbac-2a26-4979-93f7-acc986495b53</errorID>
      <errorWord>(</errorWord>
      <group>L1_Format</group>
      <groupName>格式问题</groupName>
      <ability>L2_HalfPunc</ability>
      <abilityName>全半角检查</abilityName>
      <candidateList>
        <item>（</item>
      </candidateList>
      <explain>文本全半角错误。</explain>
      <paraID>724B4E72</paraID>
      <start>23</start>
      <end>24</end>
      <status>unmodified</status>
      <modifiedWord/>
      <trackRevisions>false</trackRevisions>
    </reviewItem>
    <reviewItem>
      <errorID>3cbd4f31-5ad7-4dfe-bef9-fab053bcc34a</errorID>
      <errorWord>)</errorWord>
      <group>L1_Format</group>
      <groupName>格式问题</groupName>
      <ability>L2_HalfPunc</ability>
      <abilityName>全半角检查</abilityName>
      <candidateList>
        <item>）</item>
      </candidateList>
      <explain>文本全半角错误。</explain>
      <paraID>724B4E72</paraID>
      <start>37</start>
      <end>38</end>
      <status>unmodified</status>
      <modifiedWord/>
      <trackRevisions>false</trackRevisions>
    </reviewItem>
    <reviewItem>
      <errorID>22aeb101-dd82-4dd8-8fc1-f156c8fb7219</errorID>
      <errorWord>胶粘剂</errorWord>
      <group>L1_Word</group>
      <groupName>字词问题</groupName>
      <ability>L2_Typo</ability>
      <abilityName>字词错误</abilityName>
      <candidateList>
        <item>胶黏剂</item>
      </candidateList>
      <explain/>
      <paraID>6A1A392B</paraID>
      <start>40</start>
      <end>43</end>
      <status>unmodified</status>
      <modifiedWord/>
      <trackRevisions>false</trackRevisions>
    </reviewItem>
    <reviewItem>
      <errorID>79a51b75-97dd-4c43-acd3-8e3b78e08dc9</errorID>
      <errorWord>胶粘剂</errorWord>
      <group>L1_Word</group>
      <groupName>字词问题</groupName>
      <ability>L2_Typo</ability>
      <abilityName>字词错误</abilityName>
      <candidateList>
        <item>胶黏剂</item>
      </candidateList>
      <explain/>
      <paraID>6A1A392B</paraID>
      <start>125</start>
      <end>128</end>
      <status>unmodified</status>
      <modifiedWord/>
      <trackRevisions>false</trackRevisions>
    </reviewItem>
    <reviewItem>
      <errorID>b33ee3e6-4c1d-4882-a007-7dc2e3c6c781</errorID>
      <errorWord>胶粘剂</errorWord>
      <group>L1_Word</group>
      <groupName>字词问题</groupName>
      <ability>L2_Typo</ability>
      <abilityName>字词错误</abilityName>
      <candidateList>
        <item>胶黏剂</item>
      </candidateList>
      <explain/>
      <paraID>4DB53C99</paraID>
      <start>23</start>
      <end>26</end>
      <status>unmodified</status>
      <modifiedWord/>
      <trackRevisions>false</trackRevisions>
    </reviewItem>
    <reviewItem>
      <errorID>510df44a-1abe-49c8-bdb7-5beaa5e57715</errorID>
      <errorWord>(</errorWord>
      <group>L1_Format</group>
      <groupName>格式问题</groupName>
      <ability>L2_HalfPunc</ability>
      <abilityName>全半角检查</abilityName>
      <candidateList>
        <item>（</item>
      </candidateList>
      <explain>文本全半角错误。</explain>
      <paraID>72BC7866</paraID>
      <start>38</start>
      <end>39</end>
      <status>unmodified</status>
      <modifiedWord/>
      <trackRevisions>false</trackRevisions>
    </reviewItem>
    <reviewItem>
      <errorID>444dc452-f3d6-4eb5-8823-39a3137505a1</errorID>
      <errorWord>)</errorWord>
      <group>L1_Format</group>
      <groupName>格式问题</groupName>
      <ability>L2_HalfPunc</ability>
      <abilityName>全半角检查</abilityName>
      <candidateList>
        <item>）</item>
      </candidateList>
      <explain>文本全半角错误。</explain>
      <paraID>72BC7866</paraID>
      <start>46</start>
      <end>47</end>
      <status>unmodified</status>
      <modifiedWord/>
      <trackRevisions>false</trackRevisions>
    </reviewItem>
    <reviewItem>
      <errorID>7dbb6a01-98b3-4b8a-b843-9fed431c95c4</errorID>
      <errorWord>(</errorWord>
      <group>L1_Format</group>
      <groupName>格式问题</groupName>
      <ability>L2_HalfPunc</ability>
      <abilityName>全半角检查</abilityName>
      <candidateList>
        <item>（</item>
      </candidateList>
      <explain>文本全半角错误。</explain>
      <paraID> 10E8694</paraID>
      <start>63</start>
      <end>64</end>
      <status>unmodified</status>
      <modifiedWord/>
      <trackRevisions>false</trackRevisions>
    </reviewItem>
    <reviewItem>
      <errorID>e79882cc-bd5e-49fe-8dc3-6e589eca1036</errorID>
      <errorWord>)</errorWord>
      <group>L1_Format</group>
      <groupName>格式问题</groupName>
      <ability>L2_HalfPunc</ability>
      <abilityName>全半角检查</abilityName>
      <candidateList>
        <item>）</item>
      </candidateList>
      <explain>文本全半角错误。</explain>
      <paraID> 10E8694</paraID>
      <start>65</start>
      <end>66</end>
      <status>unmodified</status>
      <modifiedWord/>
      <trackRevisions>false</trackRevisions>
    </reviewItem>
    <reviewItem>
      <errorID>15b21299-09f2-4542-b71b-ed124aeb6a91</errorID>
      <errorWord>(</errorWord>
      <group>L1_Format</group>
      <groupName>格式问题</groupName>
      <ability>L2_HalfPunc</ability>
      <abilityName>全半角检查</abilityName>
      <candidateList>
        <item>（</item>
      </candidateList>
      <explain>文本全半角错误。</explain>
      <paraID>4C5B94F1</paraID>
      <start>14</start>
      <end>15</end>
      <status>unmodified</status>
      <modifiedWord/>
      <trackRevisions>false</trackRevisions>
    </reviewItem>
    <reviewItem>
      <errorID>6f2b55bb-425a-4cbb-bc94-fc3aeba5c659</errorID>
      <errorWord>)</errorWord>
      <group>L1_Format</group>
      <groupName>格式问题</groupName>
      <ability>L2_HalfPunc</ability>
      <abilityName>全半角检查</abilityName>
      <candidateList>
        <item>）</item>
      </candidateList>
      <explain>文本全半角错误。</explain>
      <paraID>4C5B94F1</paraID>
      <start>21</start>
      <end>22</end>
      <status>unmodified</status>
      <modifiedWord/>
      <trackRevisions>false</trackRevisions>
    </reviewItem>
    <reviewItem>
      <errorID>8e628be8-24f7-4020-8d68-5ba5cf02f265</errorID>
      <errorWord>(</errorWord>
      <group>L1_Format</group>
      <groupName>格式问题</groupName>
      <ability>L2_HalfPunc</ability>
      <abilityName>全半角检查</abilityName>
      <candidateList>
        <item>（</item>
      </candidateList>
      <explain>文本全半角错误。</explain>
      <paraID>711C067F</paraID>
      <start>44</start>
      <end>45</end>
      <status>unmodified</status>
      <modifiedWord/>
      <trackRevisions>false</trackRevisions>
    </reviewItem>
    <reviewItem>
      <errorID>00cd99a0-8be0-4e29-9b82-c596582991f4</errorID>
      <errorWord>)</errorWord>
      <group>L1_Format</group>
      <groupName>格式问题</groupName>
      <ability>L2_HalfPunc</ability>
      <abilityName>全半角检查</abilityName>
      <candidateList>
        <item>）</item>
      </candidateList>
      <explain>文本全半角错误。</explain>
      <paraID>711C067F</paraID>
      <start>51</start>
      <end>52</end>
      <status>unmodified</status>
      <modifiedWord/>
      <trackRevisions>false</trackRevisions>
    </reviewItem>
    <reviewItem>
      <errorID>4e535af8-ceb5-498f-940c-694944e5a1a1</errorID>
      <errorWord>[2025]</errorWord>
      <group>L1_Punc</group>
      <groupName>标点问题</groupName>
      <ability>L2_Punc</ability>
      <abilityName>标点符号检查</abilityName>
      <candidateList>
        <item>〔2025〕</item>
      </candidateList>
      <explain/>
      <paraID>711C067F</paraID>
      <start>91</start>
      <end>97</end>
      <status>unmodified</status>
      <modifiedWord/>
      <trackRevisions>false</trackRevisions>
    </reviewItem>
    <reviewItem>
      <errorID>01599635-6143-4a61-8d96-8e2e2a3def19</errorID>
      <errorWord>(</errorWord>
      <group>L1_Format</group>
      <groupName>格式问题</groupName>
      <ability>L2_HalfPunc</ability>
      <abilityName>全半角检查</abilityName>
      <candidateList>
        <item>（</item>
      </candidateList>
      <explain>文本全半角错误。</explain>
      <paraID>711C067F</paraID>
      <start>130</start>
      <end>131</end>
      <status>unmodified</status>
      <modifiedWord/>
      <trackRevisions>false</trackRevisions>
    </reviewItem>
    <reviewItem>
      <errorID>b7a03493-7a2f-4c6e-9264-cbedbe2d149a</errorID>
      <errorWord>)</errorWord>
      <group>L1_Format</group>
      <groupName>格式问题</groupName>
      <ability>L2_HalfPunc</ability>
      <abilityName>全半角检查</abilityName>
      <candidateList>
        <item>）</item>
      </candidateList>
      <explain>文本全半角错误。</explain>
      <paraID>711C067F</paraID>
      <start>137</start>
      <end>138</end>
      <status>unmodified</status>
      <modifiedWord/>
      <trackRevisions>false</trackRevisions>
    </reviewItem>
    <reviewItem>
      <errorID>27bcb23d-a260-4436-89b2-dd3f473db10e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569F691F</paraID>
      <start>0</start>
      <end>2</end>
      <status>unmodified</status>
      <modifiedWord/>
      <trackRevisions>false</trackRevisions>
    </reviewItem>
    <reviewItem>
      <errorID>2cc6c194-e8de-4435-a1aa-f9074177c534</errorID>
      <errorWord>(</errorWord>
      <group>L1_Format</group>
      <groupName>格式问题</groupName>
      <ability>L2_HalfPunc</ability>
      <abilityName>全半角检查</abilityName>
      <candidateList>
        <item>（</item>
      </candidateList>
      <explain>文本全半角错误。</explain>
      <paraID>1E7D9531</paraID>
      <start>125</start>
      <end>126</end>
      <status>unmodified</status>
      <modifiedWord/>
      <trackRevisions>false</trackRevisions>
    </reviewItem>
    <reviewItem>
      <errorID>8d8440b5-afa9-4854-8d55-f80fd2200d69</errorID>
      <errorWord>)</errorWord>
      <group>L1_Format</group>
      <groupName>格式问题</groupName>
      <ability>L2_HalfPunc</ability>
      <abilityName>全半角检查</abilityName>
      <candidateList>
        <item>）</item>
      </candidateList>
      <explain>文本全半角错误。</explain>
      <paraID>1E7D9531</paraID>
      <start>141</start>
      <end>142</end>
      <status>unmodified</status>
      <modifiedWord/>
      <trackRevisions>false</trackRevisions>
    </reviewItem>
    <reviewItem>
      <errorID>a0e6a72b-0211-4131-89b6-76986002c128</errorID>
      <errorWord>-</errorWord>
      <group>L1_Format</group>
      <groupName>格式问题</groupName>
      <ability>L2_HalfPunc</ability>
      <abilityName>全半角检查</abilityName>
      <candidateList>
        <item>－</item>
      </candidateList>
      <explain>文本全半角错误。</explain>
      <paraID>4D619948</paraID>
      <start>138</start>
      <end>139</end>
      <status>unmodified</status>
      <modifiedWord/>
      <trackRevisions>false</trackRevisions>
    </reviewItem>
    <reviewItem>
      <errorID>8a6690b6-0cb3-4beb-b435-2a70dbb33e49</errorID>
      <errorWord>(</errorWord>
      <group>L1_Format</group>
      <groupName>格式问题</groupName>
      <ability>L2_HalfPunc</ability>
      <abilityName>全半角检查</abilityName>
      <candidateList>
        <item>（</item>
      </candidateList>
      <explain>文本全半角错误。</explain>
      <paraID> 3700CE4</paraID>
      <start>16</start>
      <end>17</end>
      <status>unmodified</status>
      <modifiedWord/>
      <trackRevisions>false</trackRevisions>
    </reviewItem>
    <reviewItem>
      <errorID>717446f2-3baf-4983-a4e9-2e7f75720943</errorID>
      <errorWord>)</errorWord>
      <group>L1_Format</group>
      <groupName>格式问题</groupName>
      <ability>L2_HalfPunc</ability>
      <abilityName>全半角检查</abilityName>
      <candidateList>
        <item>）</item>
      </candidateList>
      <explain>文本全半角错误。</explain>
      <paraID> 3700CE4</paraID>
      <start>27</start>
      <end>28</end>
      <status>unmodified</status>
      <modifiedWord/>
      <trackRevisions>false</trackRevisions>
    </reviewItem>
    <reviewItem>
      <errorID>c0419d82-0ca5-4928-a86e-a01a3b8c3bc0</errorID>
      <errorWord>(</errorWord>
      <group>L1_Format</group>
      <groupName>格式问题</groupName>
      <ability>L2_HalfPunc</ability>
      <abilityName>全半角检查</abilityName>
      <candidateList>
        <item>（</item>
      </candidateList>
      <explain>文本全半角错误。</explain>
      <paraID>5A532B1F</paraID>
      <start>26</start>
      <end>27</end>
      <status>unmodified</status>
      <modifiedWord/>
      <trackRevisions>false</trackRevisions>
    </reviewItem>
    <reviewItem>
      <errorID>302f60b3-1068-4ae7-b8d5-8e8ac1048e0d</errorID>
      <errorWord>)</errorWord>
      <group>L1_Format</group>
      <groupName>格式问题</groupName>
      <ability>L2_HalfPunc</ability>
      <abilityName>全半角检查</abilityName>
      <candidateList>
        <item>）</item>
      </candidateList>
      <explain>文本全半角错误。</explain>
      <paraID>5A532B1F</paraID>
      <start>29</start>
      <end>30</end>
      <status>unmodified</status>
      <modifiedWord/>
      <trackRevisions>false</trackRevisions>
    </reviewItem>
    <reviewItem>
      <errorID>53423bc9-9595-452b-837c-7a57acbbd4e9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390B9344</paraID>
      <start>0</start>
      <end>2</end>
      <status>unmodified</status>
      <modifiedWord/>
      <trackRevisions>false</trackRevisions>
    </reviewItem>
    <reviewItem>
      <errorID>e8626d71-f1e4-4bbb-a03a-d740241952d5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FD37B53</paraID>
      <start>0</start>
      <end>2</end>
      <status>unmodified</status>
      <modifiedWord/>
      <trackRevisions>false</trackRevisions>
    </reviewItem>
    <reviewItem>
      <errorID>315d4a25-6136-4710-a151-c90b296ec2bc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5E5FB8CA</paraID>
      <start>0</start>
      <end>2</end>
      <status>unmodified</status>
      <modifiedWord/>
      <trackRevisions>false</trackRevisions>
    </reviewItem>
    <reviewItem>
      <errorID>ddae9160-02e2-48f3-b837-fe2997f6d054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7E87DDC7</paraID>
      <start>0</start>
      <end>2</end>
      <status>unmodified</status>
      <modifiedWord/>
      <trackRevisions>false</trackRevisions>
    </reviewItem>
    <reviewItem>
      <errorID>4c28ff68-d1c4-45b4-9648-a3e7b6ea565e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3D647F32</paraID>
      <start>0</start>
      <end>2</end>
      <status>unmodified</status>
      <modifiedWord/>
      <trackRevisions>false</trackRevisions>
    </reviewItem>
    <reviewItem>
      <errorID>333a36e4-1405-48b6-ae6b-24d4a521fdad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5D4EB1AB</paraID>
      <start>0</start>
      <end>2</end>
      <status>unmodified</status>
      <modifiedWord/>
      <trackRevisions>false</trackRevisions>
    </reviewItem>
    <reviewItem>
      <errorID>88f8cf9c-6faa-40a5-bedf-27fb1887184c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22FD1A1A</paraID>
      <start>0</start>
      <end>2</end>
      <status>unmodified</status>
      <modifiedWord/>
      <trackRevisions>false</trackRevisions>
    </reviewItem>
    <reviewItem>
      <errorID>e3306265-02d8-46e1-9201-7886e6665677</errorID>
      <errorWord>2、</errorWord>
      <group>L1_Format</group>
      <groupName>格式问题</groupName>
      <ability>L2_Ordinal</ability>
      <abilityName>序号格式</abilityName>
      <candidateList>
        <item>2.</item>
      </candidateList>
      <explain>当前序号格式不规范，建议修改为规范格式[2.]。</explain>
      <paraID>52927A36</paraID>
      <start>0</start>
      <end>2</end>
      <status>unmodified</status>
      <modifiedWord/>
      <trackRevisions>false</trackRevisions>
    </reviewItem>
    <reviewItem>
      <errorID>c388e452-8d50-4dfb-8d56-64de62d2798f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6BB38BE5</paraID>
      <start>0</start>
      <end>2</end>
      <status>unmodified</status>
      <modifiedWord/>
      <trackRevisions>false</trackRevisions>
    </reviewItem>
    <reviewItem>
      <errorID>42fb8dbd-a967-4cf9-97dd-0c60ec7aecfd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205C3C07</paraID>
      <start>0</start>
      <end>2</end>
      <status>unmodified</status>
      <modifiedWord/>
      <trackRevisions>false</trackRevisions>
    </reviewItem>
    <reviewItem>
      <errorID>bf15de94-0e70-4f79-8a01-019bc7aa3367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4C14855B</paraID>
      <start>0</start>
      <end>2</end>
      <status>unmodified</status>
      <modifiedWord/>
      <trackRevisions>false</trackRevisions>
    </reviewItem>
    <reviewItem>
      <errorID>46603a13-1d9c-4d0c-bb61-601ae50115df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74F1881A</paraID>
      <start>0</start>
      <end>2</end>
      <status>unmodified</status>
      <modifiedWord/>
      <trackRevisions>false</trackRevisions>
    </reviewItem>
    <reviewItem>
      <errorID>04711d2b-ff2b-415b-a6fc-1b621b24135f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7638D0AE</paraID>
      <start>0</start>
      <end>2</end>
      <status>unmodified</status>
      <modifiedWord/>
      <trackRevisions>false</trackRevisions>
    </reviewItem>
    <reviewItem>
      <errorID>4d4c28be-32c9-4f9e-a73e-1b960f523aaa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53D388B6</paraID>
      <start>7</start>
      <end>8</end>
      <status>unmodified</status>
      <modifiedWord/>
      <trackRevisions>false</trackRevisions>
    </reviewItem>
    <reviewItem>
      <errorID>5d304bcd-d066-4102-94f9-bc6d6db9a964</errorID>
      <errorWord>(</errorWord>
      <group>L1_Format</group>
      <groupName>格式问题</groupName>
      <ability>L2_HalfPunc</ability>
      <abilityName>全半角检查</abilityName>
      <candidateList>
        <item>（</item>
      </candidateList>
      <explain>文本全半角错误。</explain>
      <paraID>58F21B6C</paraID>
      <start>11</start>
      <end>12</end>
      <status>unmodified</status>
      <modifiedWord/>
      <trackRevisions>false</trackRevisions>
    </reviewItem>
    <reviewItem>
      <errorID>62f6741c-1d17-48ec-8a1a-db8c273d2f5a</errorID>
      <errorWord>)</errorWord>
      <group>L1_Format</group>
      <groupName>格式问题</groupName>
      <ability>L2_HalfPunc</ability>
      <abilityName>全半角检查</abilityName>
      <candidateList>
        <item>）</item>
      </candidateList>
      <explain>文本全半角错误。</explain>
      <paraID>58F21B6C</paraID>
      <start>15</start>
      <end>16</end>
      <status>unmodified</status>
      <modifiedWord/>
      <trackRevisions>false</trackRevisions>
    </reviewItem>
    <reviewItem>
      <errorID>4f502309-cb44-4686-a4cb-141c67c14642</errorID>
      <errorWord>：</errorWord>
      <group>L1_Format</group>
      <groupName>格式问题</groupName>
      <ability>L2_HalfPunc</ability>
      <abilityName>全半角检查</abilityName>
      <candidateList>
        <item>:</item>
      </candidateList>
      <explain>文本全半角错误。</explain>
      <paraID>53751F5B</paraID>
      <start>9</start>
      <end>10</end>
      <status>unmodified</status>
      <modifiedWord/>
      <trackRevisions>false</trackRevisions>
    </reviewItem>
    <reviewItem>
      <errorID>caaa055b-08cc-4b5c-95d5-158ad27be62a</errorID>
      <errorWord>（</errorWord>
      <group>L1_Punc</group>
      <groupName>标点问题</groupName>
      <ability>L2_Punc</ability>
      <abilityName>标点符号检查</abilityName>
      <candidateList>
        <item/>
      </candidateList>
      <explain>同一形式括号套用。</explain>
      <paraID>5FEA8279</paraID>
      <start>11</start>
      <end>12</end>
      <status>unmodified</status>
      <modifiedWord/>
      <trackRevisions>false</trackRevisions>
    </reviewItem>
    <reviewItem>
      <errorID>4e8ee340-a70c-47d7-a04c-febecec7f036</errorID>
      <errorWord>(</errorWord>
      <group>L1_Punc</group>
      <groupName>标点问题</groupName>
      <ability>L2_Punc</ability>
      <abilityName>标点符号检查</abilityName>
      <candidateList/>
      <explain>同一形式括号套用。</explain>
      <paraID>5FEA8279</paraID>
      <start>12</start>
      <end>13</end>
      <status>unmodified</status>
      <modifiedWord/>
      <trackRevisions>false</trackRevisions>
    </reviewItem>
    <reviewItem>
      <errorID>ecbb0ece-cadd-4006-9d0c-2dbca6ecc373</errorID>
      <errorWord>)</errorWord>
      <group>L1_Punc</group>
      <groupName>标点问题</groupName>
      <ability>L2_Punc</ability>
      <abilityName>标点符号检查</abilityName>
      <candidateList/>
      <explain>同一形式括号套用。</explain>
      <paraID>5FEA8279</paraID>
      <start>16</start>
      <end>17</end>
      <status>unmodified</status>
      <modifiedWord/>
      <trackRevisions>false</trackRevisions>
    </reviewItem>
    <reviewItem>
      <errorID>3ab3cfcf-675c-432c-8200-5352aa8050b6</errorID>
      <errorWord>(</errorWord>
      <group>L1_Punc</group>
      <groupName>标点问题</groupName>
      <ability>L2_Punc</ability>
      <abilityName>标点符号检查</abilityName>
      <candidateList/>
      <explain>同一形式括号套用。</explain>
      <paraID>5FEA8279</paraID>
      <start>24</start>
      <end>25</end>
      <status>unmodified</status>
      <modifiedWord/>
      <trackRevisions>false</trackRevisions>
    </reviewItem>
    <reviewItem>
      <errorID>3b33303c-984c-441b-a06b-df342eb60274</errorID>
      <errorWord>)</errorWord>
      <group>L1_Punc</group>
      <groupName>标点问题</groupName>
      <ability>L2_Punc</ability>
      <abilityName>标点符号检查</abilityName>
      <candidateList/>
      <explain>同一形式括号套用。</explain>
      <paraID>5FEA8279</paraID>
      <start>30</start>
      <end>31</end>
      <status>unmodified</status>
      <modifiedWord/>
      <trackRevisions>false</trackRevisions>
    </reviewItem>
    <reviewItem>
      <errorID>fb236b1b-b82c-46cb-8435-f764976d4daf</errorID>
      <errorWord>）</errorWord>
      <group>L1_Punc</group>
      <groupName>标点问题</groupName>
      <ability>L2_Punc</ability>
      <abilityName>标点符号检查</abilityName>
      <candidateList/>
      <explain>同一形式括号套用。</explain>
      <paraID>324BBCEA</paraID>
      <start>0</start>
      <end>1</end>
      <status>unmodified</status>
      <modifiedWord/>
      <trackRevisions>false</trackRevisions>
    </reviewItem>
    <reviewItem>
      <errorID>bdf7808a-5917-4b8c-ad94-982dfdc8166a</errorID>
      <errorWord>饱和蒸汽</errorWord>
      <group>L1_Word</group>
      <groupName>字词问题</groupName>
      <ability>L2_Typo</ability>
      <abilityName>字词错误</abilityName>
      <candidateList>
        <item>饱和蒸气</item>
      </candidateList>
      <explain/>
      <paraID>324BBCEA</paraID>
      <start>57</start>
      <end>61</end>
      <status>unmodified</status>
      <modifiedWord/>
      <trackRevisions>false</trackRevisions>
    </reviewItem>
    <reviewItem>
      <errorID>b28a7e90-b85e-49ef-b5ce-2acaec951cc9</errorID>
      <errorWord>饱和蒸汽</errorWord>
      <group>L1_Word</group>
      <groupName>字词问题</groupName>
      <ability>L2_Typo</ability>
      <abilityName>字词错误</abilityName>
      <candidateList>
        <item>饱和蒸气</item>
      </candidateList>
      <explain/>
      <paraID>176818DE</paraID>
      <start>80</start>
      <end>84</end>
      <status>unmodified</status>
      <modifiedWord/>
      <trackRevisions>false</trackRevisions>
    </reviewItem>
    <reviewItem>
      <errorID>a187e222-a72e-44c3-b676-ea7159ca8762</errorID>
      <errorWord>：</errorWord>
      <group>L1_Format</group>
      <groupName>格式问题</groupName>
      <ability>L2_HalfPunc</ability>
      <abilityName>全半角检查</abilityName>
      <candidateList>
        <item>:</item>
      </candidateList>
      <explain>文本全半角错误。</explain>
      <paraID>6245E280</paraID>
      <start>96</start>
      <end>97</end>
      <status>unmodified</status>
      <modifiedWord/>
      <trackRevisions>false</trackRevisions>
    </reviewItem>
    <reviewItem>
      <errorID>9b221135-8506-474f-9672-5cbabe0e58e2</errorID>
      <errorWord>：</errorWord>
      <group>L1_Format</group>
      <groupName>格式问题</groupName>
      <ability>L2_HalfPunc</ability>
      <abilityName>全半角检查</abilityName>
      <candidateList>
        <item>:</item>
      </candidateList>
      <explain>文本全半角错误。</explain>
      <paraID>4E7589DE</paraID>
      <start>107</start>
      <end>108</end>
      <status>unmodified</status>
      <modifiedWord/>
      <trackRevisions>false</trackRevisions>
    </reviewItem>
    <reviewItem>
      <errorID>039ea503-e34d-430a-966e-01fa9b7e61a4</errorID>
      <errorWord>：&gt;</errorWord>
      <group>L1_Punc</group>
      <groupName>标点问题</groupName>
      <ability>L2_Punc</ability>
      <abilityName>标点符号检查</abilityName>
      <candidateList>
        <item>：</item>
      </candidateList>
      <explain/>
      <paraID>4E7589DE</paraID>
      <start>125</start>
      <end>127</end>
      <status>unmodified</status>
      <modifiedWord/>
      <trackRevisions>false</trackRevisions>
    </reviewItem>
    <reviewItem>
      <errorID>3e29ffc0-9965-4105-83da-26e22a02c845</errorID>
      <errorWord>水泡</errorWord>
      <group>L1_Word</group>
      <groupName>字词问题</groupName>
      <ability>L2_Typo</ability>
      <abilityName>字词错误</abilityName>
      <candidateList>
        <item>水疱</item>
      </candidateList>
      <explain>存在发音相同字词的误用。</explain>
      <paraID>577EEF19</paraID>
      <start>68</start>
      <end>70</end>
      <status>unmodified</status>
      <modifiedWord/>
      <trackRevisions>false</trackRevisions>
    </reviewItem>
    <reviewItem>
      <errorID>badf9540-d19e-4016-8d31-657c0fffd457</errorID>
      <errorWord>饱和蒸汽</errorWord>
      <group>L1_Word</group>
      <groupName>字词问题</groupName>
      <ability>L2_Typo</ability>
      <abilityName>字词错误</abilityName>
      <candidateList>
        <item>饱和蒸气</item>
      </candidateList>
      <explain/>
      <paraID>1F2AED62</paraID>
      <start>83</start>
      <end>87</end>
      <status>unmodified</status>
      <modifiedWord/>
      <trackRevisions>false</trackRevisions>
    </reviewItem>
    <reviewItem>
      <errorID>294dda38-b5dd-43c8-a43d-8f1e4071db4c</errorID>
      <errorWord>椭偏</errorWord>
      <group>L1_Word</group>
      <groupName>字词问题</groupName>
      <ability>L2_Typo</ability>
      <abilityName>字词错误</abilityName>
      <candidateList>
        <item>椭圆</item>
      </candidateList>
      <explain/>
      <paraID>3497F6FC</paraID>
      <start>0</start>
      <end>2</end>
      <status>unmodified</status>
      <modifiedWord/>
      <trackRevisions>false</trackRevisions>
    </reviewItem>
    <reviewItem>
      <errorID>7dfcb668-bc24-40c9-aebc-ec3260d5a08a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6A7223CD</paraID>
      <start>0</start>
      <end>2</end>
      <status>unmodified</status>
      <modifiedWord/>
      <trackRevisions>false</trackRevisions>
    </reviewItem>
    <reviewItem>
      <errorID>740a87a5-7eed-4d91-8ea3-86d7560ccd03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15B34DB8</paraID>
      <start>0</start>
      <end>2</end>
      <status>unmodified</status>
      <modifiedWord/>
      <trackRevisions>false</trackRevisions>
    </reviewItem>
    <reviewItem>
      <errorID>97616ed6-94d9-4ada-8cef-5fef4b037bea</errorID>
      <errorWord>-</errorWord>
      <group>L1_Format</group>
      <groupName>格式问题</groupName>
      <ability>L2_HalfPunc</ability>
      <abilityName>全半角检查</abilityName>
      <candidateList>
        <item>－</item>
      </candidateList>
      <explain>文本全半角错误。</explain>
      <paraID> 68F57A7</paraID>
      <start>182</start>
      <end>183</end>
      <status>unmodified</status>
      <modifiedWord/>
      <trackRevisions>false</trackRevisions>
    </reviewItem>
    <reviewItem>
      <errorID>e06593f9-1af2-4335-8042-165f50b67159</errorID>
      <errorWord>-</errorWord>
      <group>L1_Format</group>
      <groupName>格式问题</groupName>
      <ability>L2_HalfPunc</ability>
      <abilityName>全半角检查</abilityName>
      <candidateList>
        <item>－</item>
      </candidateList>
      <explain>文本全半角错误。</explain>
      <paraID> 68F57A7</paraID>
      <start>185</start>
      <end>186</end>
      <status>unmodified</status>
      <modifiedWord/>
      <trackRevisions>false</trackRevisions>
    </reviewItem>
    <reviewItem>
      <errorID>df71a719-2119-4ce1-a282-aa534a5cf840</errorID>
      <errorWord>(</errorWord>
      <group>L1_Format</group>
      <groupName>格式问题</groupName>
      <ability>L2_HalfPunc</ability>
      <abilityName>全半角检查</abilityName>
      <candidateList>
        <item>（</item>
      </candidateList>
      <explain>文本全半角错误。</explain>
      <paraID>4B6DE2AB</paraID>
      <start>20</start>
      <end>21</end>
      <status>unmodified</status>
      <modifiedWord/>
      <trackRevisions>false</trackRevisions>
    </reviewItem>
    <reviewItem>
      <errorID>93a080b7-e2d9-493c-86d3-47e7bd0ebdb1</errorID>
      <errorWord>)</errorWord>
      <group>L1_Format</group>
      <groupName>格式问题</groupName>
      <ability>L2_HalfPunc</ability>
      <abilityName>全半角检查</abilityName>
      <candidateList>
        <item>）</item>
      </candidateList>
      <explain>文本全半角错误。</explain>
      <paraID>4B6DE2AB</paraID>
      <start>27</start>
      <end>28</end>
      <status>unmodified</status>
      <modifiedWord/>
      <trackRevisions>false</trackRevisions>
    </reviewItem>
    <reviewItem>
      <errorID>0f40851e-fe69-4158-84ed-4584eeb24f1d</errorID>
      <errorWord>(</errorWord>
      <group>L1_Format</group>
      <groupName>格式问题</groupName>
      <ability>L2_HalfPunc</ability>
      <abilityName>全半角检查</abilityName>
      <candidateList>
        <item>（</item>
      </candidateList>
      <explain>文本全半角错误。</explain>
      <paraID>373929F1</paraID>
      <start>125</start>
      <end>126</end>
      <status>unmodified</status>
      <modifiedWord/>
      <trackRevisions>false</trackRevisions>
    </reviewItem>
    <reviewItem>
      <errorID>b33bf591-ba97-4c22-80bd-205ce7a0ba38</errorID>
      <errorWord>)</errorWord>
      <group>L1_Format</group>
      <groupName>格式问题</groupName>
      <ability>L2_HalfPunc</ability>
      <abilityName>全半角检查</abilityName>
      <candidateList>
        <item>）</item>
      </candidateList>
      <explain>文本全半角错误。</explain>
      <paraID>373929F1</paraID>
      <start>141</start>
      <end>142</end>
      <status>unmodified</status>
      <modifiedWord/>
      <trackRevisions>false</trackRevisions>
    </reviewItem>
    <reviewItem>
      <errorID>bec32abb-e607-43da-a38f-43d980b60675</errorID>
      <errorWord>(</errorWord>
      <group>L1_Format</group>
      <groupName>格式问题</groupName>
      <ability>L2_HalfPunc</ability>
      <abilityName>全半角检查</abilityName>
      <candidateList>
        <item>（</item>
      </candidateList>
      <explain>文本全半角错误。</explain>
      <paraID>1B93ADDE</paraID>
      <start>63</start>
      <end>64</end>
      <status>unmodified</status>
      <modifiedWord/>
      <trackRevisions>false</trackRevisions>
    </reviewItem>
    <reviewItem>
      <errorID>a3e3d7e4-6674-42d6-bdf2-08ed6a2e66de</errorID>
      <errorWord>)</errorWord>
      <group>L1_Format</group>
      <groupName>格式问题</groupName>
      <ability>L2_HalfPunc</ability>
      <abilityName>全半角检查</abilityName>
      <candidateList>
        <item>）</item>
      </candidateList>
      <explain>文本全半角错误。</explain>
      <paraID>1B93ADDE</paraID>
      <start>69</start>
      <end>70</end>
      <status>unmodified</status>
      <modifiedWord/>
      <trackRevisions>false</trackRevisions>
    </reviewItem>
    <reviewItem>
      <errorID>2f0f1ce7-78e1-4ed2-96aa-d3f9845b295f</errorID>
      <errorWord>(</errorWord>
      <group>L1_Format</group>
      <groupName>格式问题</groupName>
      <ability>L2_HalfPunc</ability>
      <abilityName>全半角检查</abilityName>
      <candidateList>
        <item>（</item>
      </candidateList>
      <explain>文本全半角错误。</explain>
      <paraID>1B93ADDE</paraID>
      <start>111</start>
      <end>112</end>
      <status>unmodified</status>
      <modifiedWord/>
      <trackRevisions>false</trackRevisions>
    </reviewItem>
    <reviewItem>
      <errorID>18327831-2384-4d1c-88c5-af43fab447ac</errorID>
      <errorWord>)</errorWord>
      <group>L1_Format</group>
      <groupName>格式问题</groupName>
      <ability>L2_HalfPunc</ability>
      <abilityName>全半角检查</abilityName>
      <candidateList>
        <item>）</item>
      </candidateList>
      <explain>文本全半角错误。</explain>
      <paraID>1B93ADDE</paraID>
      <start>117</start>
      <end>118</end>
      <status>unmodified</status>
      <modifiedWord/>
      <trackRevisions>false</trackRevisions>
    </reviewItem>
    <reviewItem>
      <errorID>17cf0d13-f7bb-4530-96e4-9bf174ed996e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87D5B3B</paraID>
      <start>0</start>
      <end>3</end>
      <status>unmodified</status>
      <modifiedWord/>
      <trackRevisions>false</trackRevisions>
    </reviewItem>
    <reviewItem>
      <errorID>bda42499-f7e5-49fc-9fc1-d338db3f3e7e</errorID>
      <errorWord>(</errorWord>
      <group>L1_Format</group>
      <groupName>格式问题</groupName>
      <ability>L2_HalfPunc</ability>
      <abilityName>全半角检查</abilityName>
      <candidateList>
        <item>（</item>
      </candidateList>
      <explain>文本全半角错误。</explain>
      <paraID>39B41D2E</paraID>
      <start>70</start>
      <end>71</end>
      <status>unmodified</status>
      <modifiedWord/>
      <trackRevisions>false</trackRevisions>
    </reviewItem>
    <reviewItem>
      <errorID>f2eb44ee-ebe7-4032-afda-854e79f6ecce</errorID>
      <errorWord>)</errorWord>
      <group>L1_Format</group>
      <groupName>格式问题</groupName>
      <ability>L2_HalfPunc</ability>
      <abilityName>全半角检查</abilityName>
      <candidateList>
        <item>）</item>
      </candidateList>
      <explain>文本全半角错误。</explain>
      <paraID>39B41D2E</paraID>
      <start>82</start>
      <end>83</end>
      <status>unmodified</status>
      <modifiedWord/>
      <trackRevisions>false</trackRevisions>
    </reviewItem>
    <reviewItem>
      <errorID>69a9e8ea-6900-4d89-91a9-979e2a7eabd6</errorID>
      <errorWord>(</errorWord>
      <group>L1_Format</group>
      <groupName>格式问题</groupName>
      <ability>L2_HalfPunc</ability>
      <abilityName>全半角检查</abilityName>
      <candidateList>
        <item>（</item>
      </candidateList>
      <explain>文本全半角错误。</explain>
      <paraID>39B41D2E</paraID>
      <start>89</start>
      <end>90</end>
      <status>unmodified</status>
      <modifiedWord/>
      <trackRevisions>false</trackRevisions>
    </reviewItem>
    <reviewItem>
      <errorID>00e12d12-b3e2-42bb-81d7-98a90eab53a1</errorID>
      <errorWord>)</errorWord>
      <group>L1_Format</group>
      <groupName>格式问题</groupName>
      <ability>L2_HalfPunc</ability>
      <abilityName>全半角检查</abilityName>
      <candidateList>
        <item>）</item>
      </candidateList>
      <explain>文本全半角错误。</explain>
      <paraID>39B41D2E</paraID>
      <start>133</start>
      <end>134</end>
      <status>unmodified</status>
      <modifiedWord/>
      <trackRevisions>false</trackRevisions>
    </reviewItem>
    <reviewItem>
      <errorID>c8894989-8b1e-4734-be42-d452948fb279</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3A708086</paraID>
      <start>0</start>
      <end>3</end>
      <status>unmodified</status>
      <modifiedWord/>
      <trackRevisions>false</trackRevisions>
    </reviewItem>
    <reviewItem>
      <errorID>1d48998e-570f-4b68-89a9-f2fbd9053d33</errorID>
      <errorWord>(</errorWord>
      <group>L1_Format</group>
      <groupName>格式问题</groupName>
      <ability>L2_HalfPunc</ability>
      <abilityName>全半角检查</abilityName>
      <candidateList>
        <item>（</item>
      </candidateList>
      <explain>文本全半角错误。</explain>
      <paraID>720725AB</paraID>
      <start>82</start>
      <end>83</end>
      <status>unmodified</status>
      <modifiedWord/>
      <trackRevisions>false</trackRevisions>
    </reviewItem>
    <reviewItem>
      <errorID>d324697b-fce4-4b8d-ba69-69ed849aa28c</errorID>
      <errorWord>)</errorWord>
      <group>L1_Format</group>
      <groupName>格式问题</groupName>
      <ability>L2_HalfPunc</ability>
      <abilityName>全半角检查</abilityName>
      <candidateList>
        <item>）</item>
      </candidateList>
      <explain>文本全半角错误。</explain>
      <paraID>720725AB</paraID>
      <start>95</start>
      <end>96</end>
      <status>unmodified</status>
      <modifiedWord/>
      <trackRevisions>false</trackRevisions>
    </reviewItem>
    <reviewItem>
      <errorID>7f58d7a4-d3ae-4f79-b5b7-2b04d93d9a52</errorID>
      <errorWord>;</errorWord>
      <group>L1_Format</group>
      <groupName>格式问题</groupName>
      <ability>L2_HalfPunc</ability>
      <abilityName>全半角检查</abilityName>
      <candidateList>
        <item>；</item>
      </candidateList>
      <explain>文本全半角错误。</explain>
      <paraID>720725AB</paraID>
      <start>104</start>
      <end>105</end>
      <status>unmodified</status>
      <modifiedWord/>
      <trackRevisions>false</trackRevisions>
    </reviewItem>
    <reviewItem>
      <errorID>9c6f9d51-f8af-4f34-be45-0065696e3e18</errorID>
      <errorWord>(</errorWord>
      <group>L1_Format</group>
      <groupName>格式问题</groupName>
      <ability>L2_HalfPunc</ability>
      <abilityName>全半角检查</abilityName>
      <candidateList>
        <item>（</item>
      </candidateList>
      <explain>文本全半角错误。</explain>
      <paraID>720725AB</paraID>
      <start>158</start>
      <end>159</end>
      <status>unmodified</status>
      <modifiedWord/>
      <trackRevisions>false</trackRevisions>
    </reviewItem>
    <reviewItem>
      <errorID>fc323d18-bf8d-45ed-bd9d-817f47a42525</errorID>
      <errorWord>)</errorWord>
      <group>L1_Format</group>
      <groupName>格式问题</groupName>
      <ability>L2_HalfPunc</ability>
      <abilityName>全半角检查</abilityName>
      <candidateList>
        <item>）</item>
      </candidateList>
      <explain>文本全半角错误。</explain>
      <paraID>720725AB</paraID>
      <start>173</start>
      <end>174</end>
      <status>unmodified</status>
      <modifiedWord/>
      <trackRevisions>false</trackRevisions>
    </reviewItem>
    <reviewItem>
      <errorID>2027b376-ec0b-4083-a60e-24e215a34cf1</errorID>
      <errorWord>(</errorWord>
      <group>L1_Format</group>
      <groupName>格式问题</groupName>
      <ability>L2_HalfPunc</ability>
      <abilityName>全半角检查</abilityName>
      <candidateList>
        <item>（</item>
      </candidateList>
      <explain>文本全半角错误。</explain>
      <paraID>720725AB</paraID>
      <start>191</start>
      <end>192</end>
      <status>unmodified</status>
      <modifiedWord/>
      <trackRevisions>false</trackRevisions>
    </reviewItem>
    <reviewItem>
      <errorID>98714fe7-34bd-49bd-b9d4-942a5740ef3a</errorID>
      <errorWord>)</errorWord>
      <group>L1_Format</group>
      <groupName>格式问题</groupName>
      <ability>L2_HalfPunc</ability>
      <abilityName>全半角检查</abilityName>
      <candidateList>
        <item>）</item>
      </candidateList>
      <explain>文本全半角错误。</explain>
      <paraID>720725AB</paraID>
      <start>200</start>
      <end>201</end>
      <status>unmodified</status>
      <modifiedWord/>
      <trackRevisions>false</trackRevisions>
    </reviewItem>
    <reviewItem>
      <errorID>adcf517f-fc1c-4d42-a7dd-250253c0ad22</errorID>
      <errorWord>:</errorWord>
      <group>L1_Format</group>
      <groupName>格式问题</groupName>
      <ability>L2_HalfPunc</ability>
      <abilityName>全半角检查</abilityName>
      <candidateList>
        <item>：</item>
      </candidateList>
      <explain>文本全半角错误。</explain>
      <paraID>694A80CB</paraID>
      <start>8</start>
      <end>9</end>
      <status>unmodified</status>
      <modifiedWord/>
      <trackRevisions>false</trackRevisions>
    </reviewItem>
    <reviewItem>
      <errorID>9288b630-93fa-4cdd-b202-8259fab1b236</errorID>
      <errorWord>(</errorWord>
      <group>L1_Format</group>
      <groupName>格式问题</groupName>
      <ability>L2_HalfPunc</ability>
      <abilityName>全半角检查</abilityName>
      <candidateList>
        <item>（</item>
      </candidateList>
      <explain>文本全半角错误。</explain>
      <paraID>694A80CB</paraID>
      <start>51</start>
      <end>52</end>
      <status>unmodified</status>
      <modifiedWord/>
      <trackRevisions>false</trackRevisions>
    </reviewItem>
    <reviewItem>
      <errorID>bdf42bd0-adaf-4077-89dc-93a153886110</errorID>
      <errorWord>)</errorWord>
      <group>L1_Format</group>
      <groupName>格式问题</groupName>
      <ability>L2_HalfPunc</ability>
      <abilityName>全半角检查</abilityName>
      <candidateList>
        <item>）</item>
      </candidateList>
      <explain>文本全半角错误。</explain>
      <paraID>694A80CB</paraID>
      <start>64</start>
      <end>65</end>
      <status>unmodified</status>
      <modifiedWord/>
      <trackRevisions>false</trackRevisions>
    </reviewItem>
    <reviewItem>
      <errorID>35b53860-c2c6-46e5-8311-7203281ef125</errorID>
      <errorWord>(</errorWord>
      <group>L1_Format</group>
      <groupName>格式问题</groupName>
      <ability>L2_HalfPunc</ability>
      <abilityName>全半角检查</abilityName>
      <candidateList>
        <item>（</item>
      </candidateList>
      <explain>文本全半角错误。</explain>
      <paraID>694A80CB</paraID>
      <start>80</start>
      <end>81</end>
      <status>unmodified</status>
      <modifiedWord/>
      <trackRevisions>false</trackRevisions>
    </reviewItem>
    <reviewItem>
      <errorID>cfc026b9-1118-4ea4-bee6-cf7c865f1b22</errorID>
      <errorWord>)</errorWord>
      <group>L1_Format</group>
      <groupName>格式问题</groupName>
      <ability>L2_HalfPunc</ability>
      <abilityName>全半角检查</abilityName>
      <candidateList>
        <item>）</item>
      </candidateList>
      <explain>文本全半角错误。</explain>
      <paraID>694A80CB</paraID>
      <start>90</start>
      <end>91</end>
      <status>unmodified</status>
      <modifiedWord/>
      <trackRevisions>false</trackRevisions>
    </reviewItem>
    <reviewItem>
      <errorID>d1366d4a-24a1-4e1b-b5bb-5786e677042e</errorID>
      <errorWord>(</errorWord>
      <group>L1_Format</group>
      <groupName>格式问题</groupName>
      <ability>L2_HalfPunc</ability>
      <abilityName>全半角检查</abilityName>
      <candidateList>
        <item>（</item>
      </candidateList>
      <explain>文本全半角错误。</explain>
      <paraID>694A80CB</paraID>
      <start>139</start>
      <end>140</end>
      <status>unmodified</status>
      <modifiedWord/>
      <trackRevisions>false</trackRevisions>
    </reviewItem>
    <reviewItem>
      <errorID>3a8730be-e37b-466e-8dfe-81a49f08debe</errorID>
      <errorWord>)</errorWord>
      <group>L1_Format</group>
      <groupName>格式问题</groupName>
      <ability>L2_HalfPunc</ability>
      <abilityName>全半角检查</abilityName>
      <candidateList>
        <item>）</item>
      </candidateList>
      <explain>文本全半角错误。</explain>
      <paraID>694A80CB</paraID>
      <start>154</start>
      <end>155</end>
      <status>unmodified</status>
      <modifiedWord/>
      <trackRevisions>false</trackRevisions>
    </reviewItem>
    <reviewItem>
      <errorID>50925801-fac8-42fc-a3c6-5d84cf5cc74d</errorID>
      <errorWord>(</errorWord>
      <group>L1_Format</group>
      <groupName>格式问题</groupName>
      <ability>L2_HalfPunc</ability>
      <abilityName>全半角检查</abilityName>
      <candidateList>
        <item>（</item>
      </candidateList>
      <explain>文本全半角错误。</explain>
      <paraID>694A80CB</paraID>
      <start>162</start>
      <end>163</end>
      <status>unmodified</status>
      <modifiedWord/>
      <trackRevisions>false</trackRevisions>
    </reviewItem>
    <reviewItem>
      <errorID>7ddfe3cd-67b0-4a68-b074-aeeabcef9559</errorID>
      <errorWord>)</errorWord>
      <group>L1_Format</group>
      <groupName>格式问题</groupName>
      <ability>L2_HalfPunc</ability>
      <abilityName>全半角检查</abilityName>
      <candidateList>
        <item>）</item>
      </candidateList>
      <explain>文本全半角错误。</explain>
      <paraID>694A80CB</paraID>
      <start>172</start>
      <end>173</end>
      <status>unmodified</status>
      <modifiedWord/>
      <trackRevisions>false</trackRevisions>
    </reviewItem>
    <reviewItem>
      <errorID>72abe2df-df57-47cc-99c3-7eea11923fc6</errorID>
      <errorWord>(</errorWord>
      <group>L1_Format</group>
      <groupName>格式问题</groupName>
      <ability>L2_HalfPunc</ability>
      <abilityName>全半角检查</abilityName>
      <candidateList>
        <item>（</item>
      </candidateList>
      <explain>文本全半角错误。</explain>
      <paraID>694A80CB</paraID>
      <start>217</start>
      <end>218</end>
      <status>unmodified</status>
      <modifiedWord/>
      <trackRevisions>false</trackRevisions>
    </reviewItem>
    <reviewItem>
      <errorID>2049c7db-521f-40d5-8575-3f4252c2c17e</errorID>
      <errorWord>)</errorWord>
      <group>L1_Format</group>
      <groupName>格式问题</groupName>
      <ability>L2_HalfPunc</ability>
      <abilityName>全半角检查</abilityName>
      <candidateList>
        <item>）</item>
      </candidateList>
      <explain>文本全半角错误。</explain>
      <paraID>694A80CB</paraID>
      <start>232</start>
      <end>233</end>
      <status>unmodified</status>
      <modifiedWord/>
      <trackRevisions>false</trackRevisions>
    </reviewItem>
    <reviewItem>
      <errorID>1d7eea16-05f5-4a90-aebb-50e463a51d3f</errorID>
      <errorWord>(</errorWord>
      <group>L1_Format</group>
      <groupName>格式问题</groupName>
      <ability>L2_HalfPunc</ability>
      <abilityName>全半角检查</abilityName>
      <candidateList>
        <item>（</item>
      </candidateList>
      <explain>文本全半角错误。</explain>
      <paraID>694A80CB</paraID>
      <start>242</start>
      <end>243</end>
      <status>unmodified</status>
      <modifiedWord/>
      <trackRevisions>false</trackRevisions>
    </reviewItem>
    <reviewItem>
      <errorID>34cd99d7-1dfc-44d6-876f-1d8f102f568d</errorID>
      <errorWord>)</errorWord>
      <group>L1_Format</group>
      <groupName>格式问题</groupName>
      <ability>L2_HalfPunc</ability>
      <abilityName>全半角检查</abilityName>
      <candidateList>
        <item>）</item>
      </candidateList>
      <explain>文本全半角错误。</explain>
      <paraID>694A80CB</paraID>
      <start>250</start>
      <end>251</end>
      <status>unmodified</status>
      <modifiedWord/>
      <trackRevisions>false</trackRevisions>
    </reviewItem>
    <reviewItem>
      <errorID>12f1c0da-554a-4fee-953f-61b9a0618c61</errorID>
      <errorWord>(</errorWord>
      <group>L1_Format</group>
      <groupName>格式问题</groupName>
      <ability>L2_HalfPunc</ability>
      <abilityName>全半角检查</abilityName>
      <candidateList>
        <item>（</item>
      </candidateList>
      <explain>文本全半角错误。</explain>
      <paraID>694A80CB</paraID>
      <start>299</start>
      <end>300</end>
      <status>unmodified</status>
      <modifiedWord/>
      <trackRevisions>false</trackRevisions>
    </reviewItem>
    <reviewItem>
      <errorID>edba165d-47e8-445e-b69d-2c3bab87d7d8</errorID>
      <errorWord>)</errorWord>
      <group>L1_Format</group>
      <groupName>格式问题</groupName>
      <ability>L2_HalfPunc</ability>
      <abilityName>全半角检查</abilityName>
      <candidateList>
        <item>）</item>
      </candidateList>
      <explain>文本全半角错误。</explain>
      <paraID>694A80CB</paraID>
      <start>312</start>
      <end>313</end>
      <status>unmodified</status>
      <modifiedWord/>
      <trackRevisions>false</trackRevisions>
    </reviewItem>
    <reviewItem>
      <errorID>7d4c3b3f-d067-4eaa-a83a-b2d5f6ad91d8</errorID>
      <errorWord>(</errorWord>
      <group>L1_Format</group>
      <groupName>格式问题</groupName>
      <ability>L2_HalfPunc</ability>
      <abilityName>全半角检查</abilityName>
      <candidateList>
        <item>（</item>
      </candidateList>
      <explain>文本全半角错误。</explain>
      <paraID>694A80CB</paraID>
      <start>323</start>
      <end>324</end>
      <status>unmodified</status>
      <modifiedWord/>
      <trackRevisions>false</trackRevisions>
    </reviewItem>
    <reviewItem>
      <errorID>27090d21-b55e-49fa-b451-545d16c6256c</errorID>
      <errorWord>)</errorWord>
      <group>L1_Format</group>
      <groupName>格式问题</groupName>
      <ability>L2_HalfPunc</ability>
      <abilityName>全半角检查</abilityName>
      <candidateList>
        <item>）</item>
      </candidateList>
      <explain>文本全半角错误。</explain>
      <paraID>694A80CB</paraID>
      <start>332</start>
      <end>333</end>
      <status>unmodified</status>
      <modifiedWord/>
      <trackRevisions>false</trackRevisions>
    </reviewItem>
    <reviewItem>
      <errorID>e97de06f-3ae0-4e00-83f3-3a5c0997e937</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4BF7CBF1</paraID>
      <start>0</start>
      <end>3</end>
      <status>unmodified</status>
      <modifiedWord/>
      <trackRevisions>false</trackRevisions>
    </reviewItem>
    <reviewItem>
      <errorID>9997c678-8992-43dc-b128-5964caf572f3</errorID>
      <errorWord>(</errorWord>
      <group>L1_Format</group>
      <groupName>格式问题</groupName>
      <ability>L2_HalfPunc</ability>
      <abilityName>全半角检查</abilityName>
      <candidateList>
        <item>（</item>
      </candidateList>
      <explain>文本全半角错误。</explain>
      <paraID> DF93884</paraID>
      <start>37</start>
      <end>38</end>
      <status>unmodified</status>
      <modifiedWord/>
      <trackRevisions>false</trackRevisions>
    </reviewItem>
    <reviewItem>
      <errorID>15fe926e-fea6-461e-93f5-9cf92217f651</errorID>
      <errorWord>)</errorWord>
      <group>L1_Format</group>
      <groupName>格式问题</groupName>
      <ability>L2_HalfPunc</ability>
      <abilityName>全半角检查</abilityName>
      <candidateList>
        <item>）</item>
      </candidateList>
      <explain>文本全半角错误。</explain>
      <paraID> DF93884</paraID>
      <start>50</start>
      <end>51</end>
      <status>unmodified</status>
      <modifiedWord/>
      <trackRevisions>false</trackRevisions>
    </reviewItem>
    <reviewItem>
      <errorID>41575ed9-49df-48a9-85e3-fa16a493e5f2</errorID>
      <errorWord>)</errorWord>
      <group>L1_Format</group>
      <groupName>格式问题</groupName>
      <ability>L2_HalfPunc</ability>
      <abilityName>全半角检查</abilityName>
      <candidateList>
        <item>）</item>
      </candidateList>
      <explain>文本全半角错误。</explain>
      <paraID> DF93884</paraID>
      <start>69</start>
      <end>70</end>
      <status>unmodified</status>
      <modifiedWord/>
      <trackRevisions>false</trackRevisions>
    </reviewItem>
    <reviewItem>
      <errorID>b63181ed-108c-4a4e-ae9a-7e18ac5b07f9</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70C89BE0</paraID>
      <start>0</start>
      <end>3</end>
      <status>unmodified</status>
      <modifiedWord/>
      <trackRevisions>false</trackRevisions>
    </reviewItem>
    <reviewItem>
      <errorID>108a3d04-0335-4f83-889a-e54cfdc246c3</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600B21AD</paraID>
      <start>0</start>
      <end>3</end>
      <status>unmodified</status>
      <modifiedWord/>
      <trackRevisions>false</trackRevisions>
    </reviewItem>
    <reviewItem>
      <errorID>c325b25a-a07d-4018-8ebf-b9633c97b3f1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667362AA</paraID>
      <start>64</start>
      <end>65</end>
      <status>unmodified</status>
      <modifiedWord/>
      <trackRevisions>false</trackRevisions>
    </reviewItem>
    <reviewItem>
      <errorID>f67498e6-ffdc-4078-88c3-b92bdc14b1ef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667362AA</paraID>
      <start>149</start>
      <end>150</end>
      <status>unmodified</status>
      <modifiedWord/>
      <trackRevisions>false</trackRevisions>
    </reviewItem>
    <reviewItem>
      <errorID>c8f54c17-24a6-4328-b4b4-84c25d4abef8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13988F1F</paraID>
      <start>14</start>
      <end>15</end>
      <status>unmodified</status>
      <modifiedWord/>
      <trackRevisions>false</trackRevisions>
    </reviewItem>
    <reviewItem>
      <errorID>d54b2872-e731-4080-841f-a4feedf41422</errorID>
      <errorWord>(</errorWord>
      <group>L1_Format</group>
      <groupName>格式问题</groupName>
      <ability>L2_HalfPunc</ability>
      <abilityName>全半角检查</abilityName>
      <candidateList>
        <item>（</item>
      </candidateList>
      <explain>文本全半角错误。</explain>
      <paraID>72F8C75B</paraID>
      <start>9</start>
      <end>10</end>
      <status>unmodified</status>
      <modifiedWord/>
      <trackRevisions>false</trackRevisions>
    </reviewItem>
    <reviewItem>
      <errorID>76671178-a230-4344-99a2-cc1cee04220c</errorID>
      <errorWord>)</errorWord>
      <group>L1_Format</group>
      <groupName>格式问题</groupName>
      <ability>L2_HalfPunc</ability>
      <abilityName>全半角检查</abilityName>
      <candidateList>
        <item>）</item>
      </candidateList>
      <explain>文本全半角错误。</explain>
      <paraID>72F8C75B</paraID>
      <start>23</start>
      <end>24</end>
      <status>unmodified</status>
      <modifiedWord/>
      <trackRevisions>false</trackRevisions>
    </reviewItem>
    <reviewItem>
      <errorID>18fba058-6f6b-4e10-bea7-9be5a34b782d</errorID>
      <errorWord>(</errorWord>
      <group>L1_Format</group>
      <groupName>格式问题</groupName>
      <ability>L2_HalfPunc</ability>
      <abilityName>全半角检查</abilityName>
      <candidateList>
        <item>（</item>
      </candidateList>
      <explain>文本全半角错误。</explain>
      <paraID>72F8C75B</paraID>
      <start>118</start>
      <end>119</end>
      <status>unmodified</status>
      <modifiedWord/>
      <trackRevisions>false</trackRevisions>
    </reviewItem>
    <reviewItem>
      <errorID>856438ab-947d-4fb6-9a55-c2d3e0ee2717</errorID>
      <errorWord>)</errorWord>
      <group>L1_Format</group>
      <groupName>格式问题</groupName>
      <ability>L2_HalfPunc</ability>
      <abilityName>全半角检查</abilityName>
      <candidateList>
        <item>）</item>
      </candidateList>
      <explain>文本全半角错误。</explain>
      <paraID>72F8C75B</paraID>
      <start>125</start>
      <end>126</end>
      <status>unmodified</status>
      <modifiedWord/>
      <trackRevisions>false</trackRevisions>
    </reviewItem>
    <reviewItem>
      <errorID>a5f90341-af0b-46de-91cc-c134f4977e5c</errorID>
      <errorWord>(</errorWord>
      <group>L1_Format</group>
      <groupName>格式问题</groupName>
      <ability>L2_HalfPunc</ability>
      <abilityName>全半角检查</abilityName>
      <candidateList>
        <item>（</item>
      </candidateList>
      <explain>文本全半角错误。</explain>
      <paraID>72F8C75B</paraID>
      <start>159</start>
      <end>160</end>
      <status>unmodified</status>
      <modifiedWord/>
      <trackRevisions>false</trackRevisions>
    </reviewItem>
    <reviewItem>
      <errorID>08b42528-a58f-401e-ac9c-b728f0b53347</errorID>
      <errorWord>)</errorWord>
      <group>L1_Format</group>
      <groupName>格式问题</groupName>
      <ability>L2_HalfPunc</ability>
      <abilityName>全半角检查</abilityName>
      <candidateList>
        <item>）</item>
      </candidateList>
      <explain>文本全半角错误。</explain>
      <paraID>72F8C75B</paraID>
      <start>170</start>
      <end>171</end>
      <status>unmodified</status>
      <modifiedWord/>
      <trackRevisions>false</trackRevisions>
    </reviewItem>
    <reviewItem>
      <errorID>2464e3d9-8112-4d6a-ace8-6fbe098d83ed</errorID>
      <errorWord>(</errorWord>
      <group>L1_Format</group>
      <groupName>格式问题</groupName>
      <ability>L2_HalfPunc</ability>
      <abilityName>全半角检查</abilityName>
      <candidateList>
        <item>（</item>
      </candidateList>
      <explain>文本全半角错误。</explain>
      <paraID>72F8C75B</paraID>
      <start>188</start>
      <end>189</end>
      <status>unmodified</status>
      <modifiedWord/>
      <trackRevisions>false</trackRevisions>
    </reviewItem>
    <reviewItem>
      <errorID>c5ec763d-2322-4e3f-b442-77c2ad1ca924</errorID>
      <errorWord>)</errorWord>
      <group>L1_Format</group>
      <groupName>格式问题</groupName>
      <ability>L2_HalfPunc</ability>
      <abilityName>全半角检查</abilityName>
      <candidateList>
        <item>）</item>
      </candidateList>
      <explain>文本全半角错误。</explain>
      <paraID>72F8C75B</paraID>
      <start>196</start>
      <end>197</end>
      <status>unmodified</status>
      <modifiedWord/>
      <trackRevisions>false</trackRevisions>
    </reviewItem>
    <reviewItem>
      <errorID>4a119572-b08d-4df0-a0c9-c889e43e6533</errorID>
      <errorWord>(</errorWord>
      <group>L1_Format</group>
      <groupName>格式问题</groupName>
      <ability>L2_HalfPunc</ability>
      <abilityName>全半角检查</abilityName>
      <candidateList>
        <item>（</item>
      </candidateList>
      <explain>文本全半角错误。</explain>
      <paraID>72F8C75B</paraID>
      <start>208</start>
      <end>209</end>
      <status>unmodified</status>
      <modifiedWord/>
      <trackRevisions>false</trackRevisions>
    </reviewItem>
    <reviewItem>
      <errorID>00710796-fdb7-499e-8d44-a738ab2d448f</errorID>
      <errorWord>)</errorWord>
      <group>L1_Format</group>
      <groupName>格式问题</groupName>
      <ability>L2_HalfPunc</ability>
      <abilityName>全半角检查</abilityName>
      <candidateList>
        <item>）</item>
      </candidateList>
      <explain>文本全半角错误。</explain>
      <paraID>72F8C75B</paraID>
      <start>217</start>
      <end>218</end>
      <status>unmodified</status>
      <modifiedWord/>
      <trackRevisions>false</trackRevisions>
    </reviewItem>
    <reviewItem>
      <errorID>b7eb386f-b9f5-4729-80d2-294fc33f5e79</errorID>
      <errorWord>(</errorWord>
      <group>L1_Format</group>
      <groupName>格式问题</groupName>
      <ability>L2_HalfPunc</ability>
      <abilityName>全半角检查</abilityName>
      <candidateList>
        <item>（</item>
      </candidateList>
      <explain>文本全半角错误。</explain>
      <paraID>72F8C75B</paraID>
      <start>238</start>
      <end>239</end>
      <status>unmodified</status>
      <modifiedWord/>
      <trackRevisions>false</trackRevisions>
    </reviewItem>
    <reviewItem>
      <errorID>1c2add03-b287-4720-a49e-31cf9e36e086</errorID>
      <errorWord>)</errorWord>
      <group>L1_Format</group>
      <groupName>格式问题</groupName>
      <ability>L2_HalfPunc</ability>
      <abilityName>全半角检查</abilityName>
      <candidateList>
        <item>）</item>
      </candidateList>
      <explain>文本全半角错误。</explain>
      <paraID>72F8C75B</paraID>
      <start>249</start>
      <end>250</end>
      <status>unmodified</status>
      <modifiedWord/>
      <trackRevisions>false</trackRevisions>
    </reviewItem>
    <reviewItem>
      <errorID>3e5eb801-c459-4438-beca-318a62aad2fd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72F8C75B</paraID>
      <start>324</start>
      <end>325</end>
      <status>unmodified</status>
      <modifiedWord/>
      <trackRevisions>false</trackRevisions>
    </reviewItem>
    <reviewItem>
      <errorID>db6385a0-2dd6-44de-9e96-34b886edbfcf</errorID>
      <errorWord>(</errorWord>
      <group>L1_Format</group>
      <groupName>格式问题</groupName>
      <ability>L2_HalfPunc</ability>
      <abilityName>全半角检查</abilityName>
      <candidateList>
        <item>（</item>
      </candidateList>
      <explain>文本全半角错误。</explain>
      <paraID>7147C2F9</paraID>
      <start>33</start>
      <end>34</end>
      <status>unmodified</status>
      <modifiedWord/>
      <trackRevisions>false</trackRevisions>
    </reviewItem>
    <reviewItem>
      <errorID>d9ca2980-bede-45ff-a424-3df224b4d25e</errorID>
      <errorWord>)</errorWord>
      <group>L1_Format</group>
      <groupName>格式问题</groupName>
      <ability>L2_HalfPunc</ability>
      <abilityName>全半角检查</abilityName>
      <candidateList>
        <item>）</item>
      </candidateList>
      <explain>文本全半角错误。</explain>
      <paraID>7147C2F9</paraID>
      <start>45</start>
      <end>46</end>
      <status>unmodified</status>
      <modifiedWord/>
      <trackRevisions>false</trackRevisions>
    </reviewItem>
    <reviewItem>
      <errorID>05991a17-59d2-4bbc-8c25-1ed0f657adaf</errorID>
      <errorWord>（</errorWord>
      <group>L1_Format</group>
      <groupName>格式问题</groupName>
      <ability>L2_HalfPunc</ability>
      <abilityName>全半角检查</abilityName>
      <candidateList>
        <item>(</item>
      </candidateList>
      <explain>文本全半角错误。</explain>
      <paraID>17425D9D</paraID>
      <start>0</start>
      <end>1</end>
      <status>unmodified</status>
      <modifiedWord/>
      <trackRevisions>false</trackRevisions>
    </reviewItem>
    <reviewItem>
      <errorID>334b108a-a464-4efd-a94e-be01483c815e</errorID>
      <errorWord>）</errorWord>
      <group>L1_Format</group>
      <groupName>格式问题</groupName>
      <ability>L2_HalfPunc</ability>
      <abilityName>全半角检查</abilityName>
      <candidateList>
        <item>)</item>
      </candidateList>
      <explain>文本全半角错误。</explain>
      <paraID>17425D9D</paraID>
      <start>11</start>
      <end>12</end>
      <status>unmodified</status>
      <modifiedWord/>
      <trackRevisions>false</trackRevisions>
    </reviewItem>
    <reviewItem>
      <errorID>db930005-c0e7-4e8f-ab71-08a0aed9f7aa</errorID>
      <errorWord>（</errorWord>
      <group>L1_Format</group>
      <groupName>格式问题</groupName>
      <ability>L2_HalfPunc</ability>
      <abilityName>全半角检查</abilityName>
      <candidateList>
        <item>(</item>
      </candidateList>
      <explain>文本全半角错误。</explain>
      <paraID>586A695E</paraID>
      <start>0</start>
      <end>1</end>
      <status>unmodified</status>
      <modifiedWord/>
      <trackRevisions>false</trackRevisions>
    </reviewItem>
    <reviewItem>
      <errorID>4902808c-27aa-46ab-8bad-676c51c3ea00</errorID>
      <errorWord>）</errorWord>
      <group>L1_Format</group>
      <groupName>格式问题</groupName>
      <ability>L2_HalfPunc</ability>
      <abilityName>全半角检查</abilityName>
      <candidateList>
        <item>)</item>
      </candidateList>
      <explain>文本全半角错误。</explain>
      <paraID>586A695E</paraID>
      <start>8</start>
      <end>9</end>
      <status>unmodified</status>
      <modifiedWord/>
      <trackRevisions>false</trackRevisions>
    </reviewItem>
    <reviewItem>
      <errorID>fe41c7ee-9954-4fe6-8d20-e53f150c0a3c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402E45F6</paraID>
      <start>2</start>
      <end>3</end>
      <status>unmodified</status>
      <modifiedWord/>
      <trackRevisions>false</trackRevisions>
    </reviewItem>
    <reviewItem>
      <errorID>36e4dedf-1d5e-4daf-a2bf-69865dbc19c1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130DDAA2</paraID>
      <start>10</start>
      <end>11</end>
      <status>unmodified</status>
      <modifiedWord/>
      <trackRevisions>false</trackRevisions>
    </reviewItem>
    <reviewItem>
      <errorID>9160a948-79b1-4eef-a240-6b373ef49fb2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4630F402</paraID>
      <start>10</start>
      <end>11</end>
      <status>unmodified</status>
      <modifiedWord/>
      <trackRevisions>false</trackRevisions>
    </reviewItem>
    <reviewItem>
      <errorID>62d3953f-0f8b-40db-9955-b1b2aba29f3c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74C39F49</paraID>
      <start>10</start>
      <end>11</end>
      <status>unmodified</status>
      <modifiedWord/>
      <trackRevisions>false</trackRevisions>
    </reviewItem>
    <reviewItem>
      <errorID>32c2c0d7-04f5-48e0-8586-01161e49e0c7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7D6A37F3</paraID>
      <start>10</start>
      <end>11</end>
      <status>unmodified</status>
      <modifiedWord/>
      <trackRevisions>false</trackRevisions>
    </reviewItem>
    <reviewItem>
      <errorID>d179d4e8-f84b-4854-8637-162a5e3e7780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13AF28BB</paraID>
      <start>11</start>
      <end>12</end>
      <status>unmodified</status>
      <modifiedWord/>
      <trackRevisions>false</trackRevisions>
    </reviewItem>
    <reviewItem>
      <errorID>49a2f5fc-9924-4c33-a09e-180d5e80963e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271D0C9</paraID>
      <start>11</start>
      <end>12</end>
      <status>unmodified</status>
      <modifiedWord/>
      <trackRevisions>false</trackRevisions>
    </reviewItem>
    <reviewItem>
      <errorID>53904855-271f-45e2-9972-e8b373c3d1c9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103B4917</paraID>
      <start>11</start>
      <end>12</end>
      <status>unmodified</status>
      <modifiedWord/>
      <trackRevisions>false</trackRevisions>
    </reviewItem>
    <reviewItem>
      <errorID>f85e0ae5-c9a6-449b-85b5-01ca1a1ac631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7FA4BE9</paraID>
      <start>10</start>
      <end>11</end>
      <status>unmodified</status>
      <modifiedWord/>
      <trackRevisions>false</trackRevisions>
    </reviewItem>
    <reviewItem>
      <errorID>8eeede9b-e48c-4cae-ad2e-302af977d917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2F845024</paraID>
      <start>10</start>
      <end>11</end>
      <status>unmodified</status>
      <modifiedWord/>
      <trackRevisions>false</trackRevisions>
    </reviewItem>
    <reviewItem>
      <errorID>4db7ca3c-5c33-4c6e-bcf5-00d4cc0eee31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6098D552</paraID>
      <start>10</start>
      <end>11</end>
      <status>unmodified</status>
      <modifiedWord/>
      <trackRevisions>false</trackRevisions>
    </reviewItem>
    <reviewItem>
      <errorID>456deda3-9a5a-4a46-bdb4-4c250521be98</errorID>
      <errorWord>[2019]316号</errorWord>
      <group>L1_Knowledge</group>
      <groupName>知识性问题</groupName>
      <ability>L2_Knowledge</ability>
      <abilityName>其他知识</abilityName>
      <candidateList>
        <item>〔2019〕316号</item>
      </candidateList>
      <explain>发文字号格式错误。</explain>
      <paraID>3B16761F</paraID>
      <start>35</start>
      <end>45</end>
      <status>unmodified</status>
      <modifiedWord/>
      <trackRevisions>false</trackRevisions>
    </reviewItem>
    <reviewItem>
      <errorID>b7dcb260-64aa-48cb-bf1e-1b524bbdb26c</errorID>
      <errorWord>(</errorWord>
      <group>L1_Format</group>
      <groupName>格式问题</groupName>
      <ability>L2_HalfPunc</ability>
      <abilityName>全半角检查</abilityName>
      <candidateList>
        <item>（</item>
      </candidateList>
      <explain>文本全半角错误。</explain>
      <paraID>4CF272B2</paraID>
      <start>20</start>
      <end>21</end>
      <status>unmodified</status>
      <modifiedWord/>
      <trackRevisions>false</trackRevisions>
    </reviewItem>
    <reviewItem>
      <errorID>df745750-7cf4-4595-bcec-2e56d96dc151</errorID>
      <errorWord>)(</errorWord>
      <group>L1_Format</group>
      <groupName>格式问题</groupName>
      <ability>L2_HalfPunc</ability>
      <abilityName>全半角检查</abilityName>
      <candidateList>
        <item>）（</item>
      </candidateList>
      <explain>文本全半角错误。</explain>
      <paraID>4CF272B2</paraID>
      <start>26</start>
      <end>28</end>
      <status>unmodified</status>
      <modifiedWord/>
      <trackRevisions>false</trackRevisions>
    </reviewItem>
    <reviewItem>
      <errorID>3c22fe22-3d68-40e1-954e-5281460f3c25</errorID>
      <errorWord>)</errorWord>
      <group>L1_Format</group>
      <groupName>格式问题</groupName>
      <ability>L2_HalfPunc</ability>
      <abilityName>全半角检查</abilityName>
      <candidateList>
        <item>）</item>
      </candidateList>
      <explain>文本全半角错误。</explain>
      <paraID>4CF272B2</paraID>
      <start>30</start>
      <end>31</end>
      <status>unmodified</status>
      <modifiedWord/>
      <trackRevisions>false</trackRevisions>
    </reviewItem>
    <reviewItem>
      <errorID>ded81e5b-daa8-4cb8-8155-325d2263d4df</errorID>
      <errorWord>(</errorWord>
      <group>L1_Format</group>
      <groupName>格式问题</groupName>
      <ability>L2_HalfPunc</ability>
      <abilityName>全半角检查</abilityName>
      <candidateList>
        <item>（</item>
      </candidateList>
      <explain>文本全半角错误。</explain>
      <paraID>4CF272B2</paraID>
      <start>32</start>
      <end>33</end>
      <status>unmodified</status>
      <modifiedWord/>
      <trackRevisions>false</trackRevisions>
    </reviewItem>
    <reviewItem>
      <errorID>f06b3423-8945-4cff-bf1d-c2e98197cec0</errorID>
      <errorWord>)</errorWord>
      <group>L1_Format</group>
      <groupName>格式问题</groupName>
      <ability>L2_HalfPunc</ability>
      <abilityName>全半角检查</abilityName>
      <candidateList>
        <item>）</item>
      </candidateList>
      <explain>文本全半角错误。</explain>
      <paraID>4CF272B2</paraID>
      <start>46</start>
      <end>47</end>
      <status>unmodified</status>
      <modifiedWord/>
      <trackRevisions>false</trackRevisions>
    </reviewItem>
    <reviewItem>
      <errorID>2efe661c-d3d3-4c4f-bf12-fd25f3ced2e1</errorID>
      <errorWord>(</errorWord>
      <group>L1_Format</group>
      <groupName>格式问题</groupName>
      <ability>L2_HalfPunc</ability>
      <abilityName>全半角检查</abilityName>
      <candidateList>
        <item>（</item>
      </candidateList>
      <explain>文本全半角错误。</explain>
      <paraID>4CF272B2</paraID>
      <start>204</start>
      <end>205</end>
      <status>unmodified</status>
      <modifiedWord/>
      <trackRevisions>false</trackRevisions>
    </reviewItem>
    <reviewItem>
      <errorID>e453354d-f309-4997-83f6-8d21fe19f69a</errorID>
      <errorWord>)(</errorWord>
      <group>L1_Format</group>
      <groupName>格式问题</groupName>
      <ability>L2_HalfPunc</ability>
      <abilityName>全半角检查</abilityName>
      <candidateList>
        <item>）（</item>
      </candidateList>
      <explain>文本全半角错误。</explain>
      <paraID>4CF272B2</paraID>
      <start>210</start>
      <end>212</end>
      <status>unmodified</status>
      <modifiedWord/>
      <trackRevisions>false</trackRevisions>
    </reviewItem>
    <reviewItem>
      <errorID>572a8a81-1f02-4a78-9488-48f622dd36dd</errorID>
      <errorWord>)</errorWord>
      <group>L1_Format</group>
      <groupName>格式问题</groupName>
      <ability>L2_HalfPunc</ability>
      <abilityName>全半角检查</abilityName>
      <candidateList>
        <item>）</item>
      </candidateList>
      <explain>文本全半角错误。</explain>
      <paraID>4CF272B2</paraID>
      <start>214</start>
      <end>215</end>
      <status>unmodified</status>
      <modifiedWord/>
      <trackRevisions>false</trackRevisions>
    </reviewItem>
    <reviewItem>
      <errorID>6a0387ec-f683-4b1c-9245-419812fa4814</errorID>
      <errorWord>(</errorWord>
      <group>L1_Format</group>
      <groupName>格式问题</groupName>
      <ability>L2_HalfPunc</ability>
      <abilityName>全半角检查</abilityName>
      <candidateList>
        <item>（</item>
      </candidateList>
      <explain>文本全半角错误。</explain>
      <paraID>4CF272B2</paraID>
      <start>216</start>
      <end>217</end>
      <status>unmodified</status>
      <modifiedWord/>
      <trackRevisions>false</trackRevisions>
    </reviewItem>
    <reviewItem>
      <errorID>95ec9262-70e4-4639-9447-6ad758fac480</errorID>
      <errorWord>)</errorWord>
      <group>L1_Format</group>
      <groupName>格式问题</groupName>
      <ability>L2_HalfPunc</ability>
      <abilityName>全半角检查</abilityName>
      <candidateList>
        <item>）</item>
      </candidateList>
      <explain>文本全半角错误。</explain>
      <paraID>4CF272B2</paraID>
      <start>230</start>
      <end>231</end>
      <status>unmodified</status>
      <modifiedWord/>
      <trackRevisions>false</trackRevisions>
    </reviewItem>
    <reviewItem>
      <errorID>c55abc23-42da-42e0-9b09-d74c7eeec2e2</errorID>
      <errorWord>(</errorWord>
      <group>L1_Format</group>
      <groupName>格式问题</groupName>
      <ability>L2_HalfPunc</ability>
      <abilityName>全半角检查</abilityName>
      <candidateList>
        <item>（</item>
      </candidateList>
      <explain>文本全半角错误。</explain>
      <paraID>5AF7A745</paraID>
      <start>20</start>
      <end>21</end>
      <status>unmodified</status>
      <modifiedWord/>
      <trackRevisions>false</trackRevisions>
    </reviewItem>
    <reviewItem>
      <errorID>000f247b-05b9-4718-a8ac-28d7c00d790c</errorID>
      <errorWord>)(</errorWord>
      <group>L1_Format</group>
      <groupName>格式问题</groupName>
      <ability>L2_HalfPunc</ability>
      <abilityName>全半角检查</abilityName>
      <candidateList>
        <item>）（</item>
      </candidateList>
      <explain>文本全半角错误。</explain>
      <paraID>5AF7A745</paraID>
      <start>26</start>
      <end>28</end>
      <status>unmodified</status>
      <modifiedWord/>
      <trackRevisions>false</trackRevisions>
    </reviewItem>
    <reviewItem>
      <errorID>3ccf6f83-a132-4862-b2d2-242e6575afe2</errorID>
      <errorWord>)</errorWord>
      <group>L1_Format</group>
      <groupName>格式问题</groupName>
      <ability>L2_HalfPunc</ability>
      <abilityName>全半角检查</abilityName>
      <candidateList>
        <item>）</item>
      </candidateList>
      <explain>文本全半角错误。</explain>
      <paraID>5AF7A745</paraID>
      <start>30</start>
      <end>31</end>
      <status>unmodified</status>
      <modifiedWord/>
      <trackRevisions>false</trackRevisions>
    </reviewItem>
    <reviewItem>
      <errorID>a4c36697-c1af-489b-bfd8-093f6c94db93</errorID>
      <errorWord>(</errorWord>
      <group>L1_Format</group>
      <groupName>格式问题</groupName>
      <ability>L2_HalfPunc</ability>
      <abilityName>全半角检查</abilityName>
      <candidateList>
        <item>（</item>
      </candidateList>
      <explain>文本全半角错误。</explain>
      <paraID>5AF7A745</paraID>
      <start>32</start>
      <end>33</end>
      <status>unmodified</status>
      <modifiedWord/>
      <trackRevisions>false</trackRevisions>
    </reviewItem>
    <reviewItem>
      <errorID>95b1b38b-fdd3-42a0-9c8b-5b5305be86fc</errorID>
      <errorWord>)</errorWord>
      <group>L1_Format</group>
      <groupName>格式问题</groupName>
      <ability>L2_HalfPunc</ability>
      <abilityName>全半角检查</abilityName>
      <candidateList>
        <item>）</item>
      </candidateList>
      <explain>文本全半角错误。</explain>
      <paraID>5AF7A745</paraID>
      <start>47</start>
      <end>48</end>
      <status>unmodified</status>
      <modifiedWord/>
      <trackRevisions>false</trackRevisions>
    </reviewItem>
    <reviewItem>
      <errorID>fcdbf26c-f0cb-4e8f-9e9e-90231d3ddaaa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5AF7A745</paraID>
      <start>51</start>
      <end>52</end>
      <status>unmodified</status>
      <modifiedWord/>
      <trackRevisions>false</trackRevisions>
    </reviewItem>
    <reviewItem>
      <errorID>a724c1d3-f08e-4e22-96c7-7b81d3cf4ab5</errorID>
      <errorWord>(</errorWord>
      <group>L1_Format</group>
      <groupName>格式问题</groupName>
      <ability>L2_HalfPunc</ability>
      <abilityName>全半角检查</abilityName>
      <candidateList>
        <item>（</item>
      </candidateList>
      <explain>文本全半角错误。</explain>
      <paraID>7BC97574</paraID>
      <start>11</start>
      <end>12</end>
      <status>unmodified</status>
      <modifiedWord/>
      <trackRevisions>false</trackRevisions>
    </reviewItem>
    <reviewItem>
      <errorID>9d7d275c-8c0e-44be-a7c4-e7fe4560b202</errorID>
      <errorWord>～</errorWord>
      <group>L1_Format</group>
      <groupName>格式问题</groupName>
      <ability>L2_HalfPunc</ability>
      <abilityName>全半角检查</abilityName>
      <candidateList>
        <item>~</item>
      </candidateList>
      <explain>文本全半角错误。</explain>
      <paraID>24DADDF1</paraID>
      <start>1</start>
      <end>2</end>
      <status>unmodified</status>
      <modifiedWord/>
      <trackRevisions>false</trackRevisions>
    </reviewItem>
    <reviewItem>
      <errorID>524d244f-7966-40dc-8345-d8d0ae335dcb</errorID>
      <errorWord>(</errorWord>
      <group>L1_Format</group>
      <groupName>格式问题</groupName>
      <ability>L2_HalfPunc</ability>
      <abilityName>全半角检查</abilityName>
      <candidateList>
        <item>（</item>
      </candidateList>
      <explain>文本全半角错误。</explain>
      <paraID>40BE5844</paraID>
      <start>46</start>
      <end>47</end>
      <status>unmodified</status>
      <modifiedWord/>
      <trackRevisions>false</trackRevisions>
    </reviewItem>
    <reviewItem>
      <errorID>6752e1f3-ef84-46f3-bb11-1afa7affec20</errorID>
      <errorWord>)</errorWord>
      <group>L1_Format</group>
      <groupName>格式问题</groupName>
      <ability>L2_HalfPunc</ability>
      <abilityName>全半角检查</abilityName>
      <candidateList>
        <item>）</item>
      </candidateList>
      <explain>文本全半角错误。</explain>
      <paraID>40BE5844</paraID>
      <start>59</start>
      <end>60</end>
      <status>unmodified</status>
      <modifiedWord/>
      <trackRevisions>false</trackRevisions>
    </reviewItem>
    <reviewItem>
      <errorID>abf6d8e7-3ddc-4f40-b9e0-eef6063b39df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4ACC7E4A</paraID>
      <start>79</start>
      <end>80</end>
      <status>unmodified</status>
      <modifiedWord/>
      <trackRevisions>false</trackRevisions>
    </reviewItem>
    <reviewItem>
      <errorID>49afb66f-2107-4116-9454-9a39ea9c67cf</errorID>
      <errorWord>(</errorWord>
      <group>L1_Format</group>
      <groupName>格式问题</groupName>
      <ability>L2_HalfPunc</ability>
      <abilityName>全半角检查</abilityName>
      <candidateList>
        <item>（</item>
      </candidateList>
      <explain>文本全半角错误。</explain>
      <paraID>30F5B52C</paraID>
      <start>62</start>
      <end>63</end>
      <status>unmodified</status>
      <modifiedWord/>
      <trackRevisions>false</trackRevisions>
    </reviewItem>
    <reviewItem>
      <errorID>acb82673-e4a7-4872-9ddf-d9ac48cc770a</errorID>
      <errorWord>)</errorWord>
      <group>L1_Format</group>
      <groupName>格式问题</groupName>
      <ability>L2_HalfPunc</ability>
      <abilityName>全半角检查</abilityName>
      <candidateList>
        <item>）</item>
      </candidateList>
      <explain>文本全半角错误。</explain>
      <paraID>30F5B52C</paraID>
      <start>75</start>
      <end>76</end>
      <status>unmodified</status>
      <modifiedWord/>
      <trackRevisions>false</trackRevisions>
    </reviewItem>
    <reviewItem>
      <errorID>df928d4c-4418-43ad-adba-4da05be95c54</errorID>
      <errorWord>(</errorWord>
      <group>L1_Format</group>
      <groupName>格式问题</groupName>
      <ability>L2_HalfPunc</ability>
      <abilityName>全半角检查</abilityName>
      <candidateList>
        <item>（</item>
      </candidateList>
      <explain>文本全半角错误。</explain>
      <paraID>5C221BBC</paraID>
      <start>18</start>
      <end>19</end>
      <status>unmodified</status>
      <modifiedWord/>
      <trackRevisions>false</trackRevisions>
    </reviewItem>
    <reviewItem>
      <errorID>bea9d3c1-f07c-4af4-abfa-c96fb7da7920</errorID>
      <errorWord>)</errorWord>
      <group>L1_Format</group>
      <groupName>格式问题</groupName>
      <ability>L2_HalfPunc</ability>
      <abilityName>全半角检查</abilityName>
      <candidateList>
        <item>）</item>
      </candidateList>
      <explain>文本全半角错误。</explain>
      <paraID>5C221BBC</paraID>
      <start>26</start>
      <end>27</end>
      <status>unmodified</status>
      <modifiedWord/>
      <trackRevisions>false</trackRevisions>
    </reviewItem>
    <reviewItem>
      <errorID>26100f22-cf17-47d2-b041-4d209275d570</errorID>
      <errorWord>-</errorWord>
      <group>L1_Format</group>
      <groupName>格式问题</groupName>
      <ability>L2_HalfPunc</ability>
      <abilityName>全半角检查</abilityName>
      <candidateList>
        <item>－</item>
      </candidateList>
      <explain>文本全半角错误。</explain>
      <paraID>700268C9</paraID>
      <start>100</start>
      <end>101</end>
      <status>unmodified</status>
      <modifiedWord/>
      <trackRevisions>false</trackRevisions>
    </reviewItem>
    <reviewItem>
      <errorID>0dcfe879-eb61-484e-b3ae-7a185837b4fc</errorID>
      <errorWord>)</errorWord>
      <group>L1_Format</group>
      <groupName>格式问题</groupName>
      <ability>L2_HalfPunc</ability>
      <abilityName>全半角检查</abilityName>
      <candidateList>
        <item>）</item>
      </candidateList>
      <explain>文本全半角错误。</explain>
      <paraID>4ACB3D30</paraID>
      <start>32</start>
      <end>33</end>
      <status>unmodified</status>
      <modifiedWord/>
      <trackRevisions>false</trackRevisions>
    </reviewItem>
    <reviewItem>
      <errorID>fa406386-a84c-4851-9550-9304f4e7b3e9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1ABFA0B9</paraID>
      <start>38</start>
      <end>39</end>
      <status>unmodified</status>
      <modifiedWord/>
      <trackRevisions>false</trackRevisions>
    </reviewItem>
    <reviewItem>
      <errorID>1c39f617-47a7-45f1-baea-57fd466e959b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1ABFA0B9</paraID>
      <start>57</start>
      <end>58</end>
      <status>unmodified</status>
      <modifiedWord/>
      <trackRevisions>false</trackRevisions>
    </reviewItem>
    <reviewItem>
      <errorID>c50aabac-520c-44e8-970c-82a9c75fca3e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5F47D711</paraID>
      <start>99</start>
      <end>100</end>
      <status>unmodified</status>
      <modifiedWord/>
      <trackRevisions>false</trackRevisions>
    </reviewItem>
    <reviewItem>
      <errorID>fa946dcb-47db-4085-a5b0-cab7c2cf8ebd</errorID>
      <errorWord>~</errorWord>
      <group>L1_Format</group>
      <groupName>格式问题</groupName>
      <ability>L2_HalfPunc</ability>
      <abilityName>全半角检查</abilityName>
      <candidateList>
        <item>～</item>
      </candidateList>
      <explain>文本全半角错误。</explain>
      <paraID>2ED3A266</paraID>
      <start>5</start>
      <end>6</end>
      <status>unmodified</status>
      <modifiedWord/>
      <trackRevisions>false</trackRevisions>
    </reviewItem>
    <reviewItem>
      <errorID>bbbf5541-452e-48bb-9fc5-dc7033018183</errorID>
      <errorWord>(</errorWord>
      <group>L1_Format</group>
      <groupName>格式问题</groupName>
      <ability>L2_HalfPunc</ability>
      <abilityName>全半角检查</abilityName>
      <candidateList>
        <item>（</item>
      </candidateList>
      <explain>文本全半角错误。</explain>
      <paraID>780DE126</paraID>
      <start>60</start>
      <end>61</end>
      <status>unmodified</status>
      <modifiedWord/>
      <trackRevisions>false</trackRevisions>
    </reviewItem>
    <reviewItem>
      <errorID>a5c58b33-fd35-4c4e-b591-3c433f3890f2</errorID>
      <errorWord>)</errorWord>
      <group>L1_Format</group>
      <groupName>格式问题</groupName>
      <ability>L2_HalfPunc</ability>
      <abilityName>全半角检查</abilityName>
      <candidateList>
        <item>）</item>
      </candidateList>
      <explain>文本全半角错误。</explain>
      <paraID>780DE126</paraID>
      <start>63</start>
      <end>64</end>
      <status>unmodified</status>
      <modifiedWord/>
      <trackRevisions>false</trackRevisions>
    </reviewItem>
    <reviewItem>
      <errorID>098cbede-a3da-4d9b-9960-cc485258160b</errorID>
      <errorWord>(</errorWord>
      <group>L1_Format</group>
      <groupName>格式问题</groupName>
      <ability>L2_HalfPunc</ability>
      <abilityName>全半角检查</abilityName>
      <candidateList>
        <item>（</item>
      </candidateList>
      <explain>文本全半角错误。</explain>
      <paraID>780DE126</paraID>
      <start>65</start>
      <end>66</end>
      <status>unmodified</status>
      <modifiedWord/>
      <trackRevisions>false</trackRevisions>
    </reviewItem>
    <reviewItem>
      <errorID>df6896f6-13b1-4f74-b2e0-7493793d02cf</errorID>
      <errorWord>)</errorWord>
      <group>L1_Format</group>
      <groupName>格式问题</groupName>
      <ability>L2_HalfPunc</ability>
      <abilityName>全半角检查</abilityName>
      <candidateList>
        <item>）</item>
      </candidateList>
      <explain>文本全半角错误。</explain>
      <paraID>780DE126</paraID>
      <start>78</start>
      <end>79</end>
      <status>unmodified</status>
      <modifiedWord/>
      <trackRevisions>false</trackRevisions>
    </reviewItem>
    <reviewItem>
      <errorID>602ad4eb-1d1f-417e-ad44-41c2653a363d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160D1E8D</paraID>
      <start>80</start>
      <end>81</end>
      <status>unmodified</status>
      <modifiedWord/>
      <trackRevisions>false</trackRevisions>
    </reviewItem>
    <reviewItem>
      <errorID>33528302-61f0-4715-ae6d-209acf895449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6D9EEE9C</paraID>
      <start>54</start>
      <end>55</end>
      <status>unmodified</status>
      <modifiedWord/>
      <trackRevisions>false</trackRevisions>
    </reviewItem>
    <reviewItem>
      <errorID>72d27bfe-f973-4e6d-aa83-7bc8a9758293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3E28B3B9</paraID>
      <start>79</start>
      <end>80</end>
      <status>unmodified</status>
      <modifiedWord/>
      <trackRevisions>false</trackRevisions>
    </reviewItem>
    <reviewItem>
      <errorID>ca19b739-0a60-4dfd-b747-04ec8df57252</errorID>
      <errorWord>(</errorWord>
      <group>L1_Format</group>
      <groupName>格式问题</groupName>
      <ability>L2_HalfPunc</ability>
      <abilityName>全半角检查</abilityName>
      <candidateList>
        <item>（</item>
      </candidateList>
      <explain>文本全半角错误。</explain>
      <paraID>3929FAB3</paraID>
      <start>18</start>
      <end>19</end>
      <status>unmodified</status>
      <modifiedWord/>
      <trackRevisions>false</trackRevisions>
    </reviewItem>
    <reviewItem>
      <errorID>2138024b-0134-4e47-810c-b221e72b401e</errorID>
      <errorWord>)</errorWord>
      <group>L1_Format</group>
      <groupName>格式问题</groupName>
      <ability>L2_HalfPunc</ability>
      <abilityName>全半角检查</abilityName>
      <candidateList>
        <item>）</item>
      </candidateList>
      <explain>文本全半角错误。</explain>
      <paraID>3929FAB3</paraID>
      <start>25</start>
      <end>26</end>
      <status>unmodified</status>
      <modifiedWord/>
      <trackRevisions>false</trackRevisions>
    </reviewItem>
    <reviewItem>
      <errorID>8138c245-3dc0-4d01-9a6a-3645a7b0b48d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7A0476E5</paraID>
      <start>77</start>
      <end>78</end>
      <status>unmodified</status>
      <modifiedWord/>
      <trackRevisions>false</trackRevisions>
    </reviewItem>
    <reviewItem>
      <errorID>b80a48f8-f181-4492-8436-84e0c3359a85</errorID>
      <errorWord>(</errorWord>
      <group>L1_Format</group>
      <groupName>格式问题</groupName>
      <ability>L2_HalfPunc</ability>
      <abilityName>全半角检查</abilityName>
      <candidateList>
        <item>（</item>
      </candidateList>
      <explain>文本全半角错误。</explain>
      <paraID>7313A92E</paraID>
      <start>18</start>
      <end>19</end>
      <status>unmodified</status>
      <modifiedWord/>
      <trackRevisions>false</trackRevisions>
    </reviewItem>
    <reviewItem>
      <errorID>bb295886-8dbc-4e2a-849c-09f65b525fc4</errorID>
      <errorWord>)</errorWord>
      <group>L1_Format</group>
      <groupName>格式问题</groupName>
      <ability>L2_HalfPunc</ability>
      <abilityName>全半角检查</abilityName>
      <candidateList>
        <item>）</item>
      </candidateList>
      <explain>文本全半角错误。</explain>
      <paraID>7313A92E</paraID>
      <start>24</start>
      <end>25</end>
      <status>unmodified</status>
      <modifiedWord/>
      <trackRevisions>false</trackRevisions>
    </reviewItem>
    <reviewItem>
      <errorID>d1c083ab-decc-4127-9c91-7e41f6747830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169EA8CD</paraID>
      <start>0</start>
      <end>2</end>
      <status>unmodified</status>
      <modifiedWord/>
      <trackRevisions>false</trackRevisions>
    </reviewItem>
    <reviewItem>
      <errorID>c598e879-d25c-4d7b-baa6-a6ceaef5519b</errorID>
      <errorWord>,</errorWord>
      <group>L1_Format</group>
      <groupName>格式问题</groupName>
      <ability>L2_HalfPunc</ability>
      <abilityName>全半角检查</abilityName>
      <candidateList>
        <item>，</item>
      </candidateList>
      <explain>文本全半角错误。</explain>
      <paraID>1BD21328</paraID>
      <start>19</start>
      <end>20</end>
      <status>unmodified</status>
      <modifiedWord/>
      <trackRevisions>false</trackRevisions>
    </reviewItem>
    <reviewItem>
      <errorID>fb8206df-b1ff-4fad-b443-cfc5f446b175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36AC4D80</paraID>
      <start>0</start>
      <end>2</end>
      <status>unmodified</status>
      <modifiedWord/>
      <trackRevisions>false</trackRevisions>
    </reviewItem>
    <reviewItem>
      <errorID>a2fe11b4-e310-422c-b127-c846c7b57f28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1ADABF5B</paraID>
      <start>0</start>
      <end>2</end>
      <status>unmodified</status>
      <modifiedWord/>
      <trackRevisions>false</trackRevisions>
    </reviewItem>
    <reviewItem>
      <errorID>d5a06606-2e52-4b39-a7d8-9ad550745410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4AC36EF4</paraID>
      <start>0</start>
      <end>2</end>
      <status>unmodified</status>
      <modifiedWord/>
      <trackRevisions>false</trackRevisions>
    </reviewItem>
    <reviewItem>
      <errorID>b03a2b9e-c92b-4934-bfc8-fcf076658bea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70B3C022</paraID>
      <start>0</start>
      <end>2</end>
      <status>unmodified</status>
      <modifiedWord/>
      <trackRevisions>false</trackRevisions>
    </reviewItem>
    <reviewItem>
      <errorID>a22dfc37-5d9b-4174-9f46-73412faef7be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3666AF</paraID>
      <start>0</start>
      <end>2</end>
      <status>unmodified</status>
      <modifiedWord/>
      <trackRevisions>false</trackRevisions>
    </reviewItem>
    <reviewItem>
      <errorID>a01db5ff-0a63-4f5e-b373-22f96e48158f</errorID>
      <errorWord>(</errorWord>
      <group>L1_Format</group>
      <groupName>格式问题</groupName>
      <ability>L2_HalfPunc</ability>
      <abilityName>全半角检查</abilityName>
      <candidateList>
        <item>（</item>
      </candidateList>
      <explain>文本全半角错误。</explain>
      <paraID>  3666AF</paraID>
      <start>23</start>
      <end>24</end>
      <status>unmodified</status>
      <modifiedWord/>
      <trackRevisions>false</trackRevisions>
    </reviewItem>
    <reviewItem>
      <errorID>30e8c0d6-c568-47f2-b9ba-f913f9bcb66f</errorID>
      <errorWord>)</errorWord>
      <group>L1_Format</group>
      <groupName>格式问题</groupName>
      <ability>L2_HalfPunc</ability>
      <abilityName>全半角检查</abilityName>
      <candidateList>
        <item>）</item>
      </candidateList>
      <explain>文本全半角错误。</explain>
      <paraID>  3666AF</paraID>
      <start>25</start>
      <end>26</end>
      <status>unmodified</status>
      <modifiedWord/>
      <trackRevisions>false</trackRevisions>
    </reviewItem>
    <reviewItem>
      <errorID>2f40417b-2cd0-424e-b7ac-38c1f9e75ab8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285AEE6</paraID>
      <start>0</start>
      <end>2</end>
      <status>unmodified</status>
      <modifiedWord/>
      <trackRevisions>false</trackRevisions>
    </reviewItem>
    <reviewItem>
      <errorID>3becaaf1-870b-4535-9c7b-caca84e67484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DF49374</paraID>
      <start>0</start>
      <end>2</end>
      <status>unmodified</status>
      <modifiedWord/>
      <trackRevisions>false</trackRevisions>
    </reviewItem>
    <reviewItem>
      <errorID>2acdbddd-fd89-4a0b-894c-e1c81e574419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B65D2B1</paraID>
      <start>0</start>
      <end>2</end>
      <status>unmodified</status>
      <modifiedWord/>
      <trackRevisions>false</trackRevisions>
    </reviewItem>
    <reviewItem>
      <errorID>bd7addfa-7f7c-4601-938a-80ebea382d45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7B539BB8</paraID>
      <start>0</start>
      <end>2</end>
      <status>unmodified</status>
      <modifiedWord/>
      <trackRevisions>false</trackRevisions>
    </reviewItem>
    <reviewItem>
      <errorID>9d3b2194-a457-4d02-8ae5-03f2d6e156ed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4F79CCB9</paraID>
      <start>0</start>
      <end>2</end>
      <status>unmodified</status>
      <modifiedWord/>
      <trackRevisions>false</trackRevisions>
    </reviewItem>
    <reviewItem>
      <errorID>d95003ca-6261-4499-b850-5bacd0e0a873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15CFE37B</paraID>
      <start>0</start>
      <end>2</end>
      <status>unmodified</status>
      <modifiedWord/>
      <trackRevisions>false</trackRevisions>
    </reviewItem>
    <reviewItem>
      <errorID>2caa7281-70a6-4f96-931a-0c52a9de111e</errorID>
      <errorWord>3%~5%</errorWord>
      <group>L1_Knowledge</group>
      <groupName>知识性问题</groupName>
      <ability>L2_Knowledge</ability>
      <abilityName>其他知识</abilityName>
      <candidateList>
        <item>3%～5%</item>
      </candidateList>
      <explain>1. “3%~5%”中的单位“%”仅出现在后一个数字上，容易引起歧义；根据《现代汉语标点符号数字用法规范手册》，数字表示范围两边需要使用统一的格式。2. 根据标点国标 4.13 中的规则，数字、时间或地域连接符应使用（视觉上更长的）“—”或“～”。</explain>
      <paraID>52367CF8</paraID>
      <start>43</start>
      <end>48</end>
      <status>unmodified</status>
      <modifiedWord/>
      <trackRevisions>false</trackRevisions>
    </reviewItem>
    <reviewItem>
      <errorID>e04dfeb3-a7c1-435b-a2fd-369ca04187c4</errorID>
      <errorWord>：</errorWord>
      <group>L1_Format</group>
      <groupName>格式问题</groupName>
      <ability>L2_HalfPunc</ability>
      <abilityName>全半角检查</abilityName>
      <candidateList>
        <item>:</item>
      </candidateList>
      <explain>文本全半角错误。</explain>
      <paraID>7825B285</paraID>
      <start>115</start>
      <end>116</end>
      <status>unmodified</status>
      <modifiedWord/>
      <trackRevisions>false</trackRevisions>
    </reviewItem>
    <reviewItem>
      <errorID>ad1ac613-d67f-4f37-bfe8-9e4b0b5cf108</errorID>
      <errorWord>：</errorWord>
      <group>L1_Format</group>
      <groupName>格式问题</groupName>
      <ability>L2_HalfPunc</ability>
      <abilityName>全半角检查</abilityName>
      <candidateList>
        <item>:</item>
      </candidateList>
      <explain>文本全半角错误。</explain>
      <paraID>61945AA3</paraID>
      <start>127</start>
      <end>128</end>
      <status>unmodified</status>
      <modifiedWord/>
      <trackRevisions>false</trackRevisions>
    </reviewItem>
    <reviewItem>
      <errorID>de17d1ab-730a-4fc5-9094-b7884560afb6</errorID>
      <errorWord>：</errorWord>
      <group>L1_Format</group>
      <groupName>格式问题</groupName>
      <ability>L2_HalfPunc</ability>
      <abilityName>全半角检查</abilityName>
      <candidateList>
        <item>:</item>
      </candidateList>
      <explain>文本全半角错误。</explain>
      <paraID>4B8DDF8B</paraID>
      <start>94</start>
      <end>95</end>
      <status>unmodified</status>
      <modifiedWord/>
      <trackRevisions>false</trackRevisions>
    </reviewItem>
    <reviewItem>
      <errorID>aeb79de2-f2b7-44fb-9fc4-6678a054fdd3</errorID>
      <errorWord>(</errorWord>
      <group>L1_Format</group>
      <groupName>格式问题</groupName>
      <ability>L2_HalfPunc</ability>
      <abilityName>全半角检查</abilityName>
      <candidateList>
        <item>（</item>
      </candidateList>
      <explain>文本全半角错误。</explain>
      <paraID>5C1AB412</paraID>
      <start>14</start>
      <end>15</end>
      <status>unmodified</status>
      <modifiedWord/>
      <trackRevisions>false</trackRevisions>
    </reviewItem>
    <reviewItem>
      <errorID>8fa0137c-775c-461e-bde2-01e0d65ce9aa</errorID>
      <errorWord>：</errorWord>
      <group>L1_Format</group>
      <groupName>格式问题</groupName>
      <ability>L2_HalfPunc</ability>
      <abilityName>全半角检查</abilityName>
      <candidateList>
        <item>:</item>
      </candidateList>
      <explain>文本全半角错误。</explain>
      <paraID>481C7FCE</paraID>
      <start>357</start>
      <end>358</end>
      <status>unmodified</status>
      <modifiedWord/>
      <trackRevisions>false</trackRevisions>
    </reviewItem>
    <reviewItem>
      <errorID>0070c3ab-e0a0-403e-9b31-7a82855ded25</errorID>
      <errorWord>(</errorWord>
      <group>L1_Format</group>
      <groupName>格式问题</groupName>
      <ability>L2_HalfPunc</ability>
      <abilityName>全半角检查</abilityName>
      <candidateList>
        <item>（</item>
      </candidateList>
      <explain>文本全半角错误。</explain>
      <paraID>4A66365E</paraID>
      <start>16</start>
      <end>17</end>
      <status>unmodified</status>
      <modifiedWord/>
      <trackRevisions>false</trackRevisions>
    </reviewItem>
    <reviewItem>
      <errorID>d1662475-858a-43d4-9492-86fc983b9777</errorID>
      <errorWord>)</errorWord>
      <group>L1_Format</group>
      <groupName>格式问题</groupName>
      <ability>L2_HalfPunc</ability>
      <abilityName>全半角检查</abilityName>
      <candidateList>
        <item>）</item>
      </candidateList>
      <explain>文本全半角错误。</explain>
      <paraID>4A66365E</paraID>
      <start>29</start>
      <end>30</end>
      <status>unmodified</status>
      <modifiedWord/>
      <trackRevisions>false</trackRevisions>
    </reviewItem>
    <reviewItem>
      <errorID>13648cac-54ef-4ccb-a2d1-2e62bce47693</errorID>
      <errorWord>(</errorWord>
      <group>L1_Format</group>
      <groupName>格式问题</groupName>
      <ability>L2_HalfPunc</ability>
      <abilityName>全半角检查</abilityName>
      <candidateList>
        <item>（</item>
      </candidateList>
      <explain>文本全半角错误。</explain>
      <paraID>22D5C58A</paraID>
      <start>106</start>
      <end>107</end>
      <status>unmodified</status>
      <modifiedWord/>
      <trackRevisions>false</trackRevisions>
    </reviewItem>
    <reviewItem>
      <errorID>373085da-7aa1-413b-8a73-2c437e564641</errorID>
      <errorWord>)</errorWord>
      <group>L1_Format</group>
      <groupName>格式问题</groupName>
      <ability>L2_HalfPunc</ability>
      <abilityName>全半角检查</abilityName>
      <candidateList>
        <item>）</item>
      </candidateList>
      <explain>文本全半角错误。</explain>
      <paraID>22D5C58A</paraID>
      <start>117</start>
      <end>118</end>
      <status>unmodified</status>
      <modifiedWord/>
      <trackRevisions>false</trackRevisions>
    </reviewItem>
    <reviewItem>
      <errorID>d0792cdd-43dd-48b0-aabf-aaef840ccf01</errorID>
      <errorWord>(</errorWord>
      <group>L1_Format</group>
      <groupName>格式问题</groupName>
      <ability>L2_HalfPunc</ability>
      <abilityName>全半角检查</abilityName>
      <candidateList>
        <item>（</item>
      </candidateList>
      <explain>文本全半角错误。</explain>
      <paraID>22D5C58A</paraID>
      <start>198</start>
      <end>199</end>
      <status>unmodified</status>
      <modifiedWord/>
      <trackRevisions>false</trackRevisions>
    </reviewItem>
    <reviewItem>
      <errorID>e756b5a5-884c-40f8-9ec1-d4add9740fe8</errorID>
      <errorWord>(</errorWord>
      <group>L1_Format</group>
      <groupName>格式问题</groupName>
      <ability>L2_HalfPunc</ability>
      <abilityName>全半角检查</abilityName>
      <candidateList>
        <item>（</item>
      </candidateList>
      <explain>文本全半角错误。</explain>
      <paraID>4C248ADB</paraID>
      <start>62</start>
      <end>63</end>
      <status>unmodified</status>
      <modifiedWord/>
      <trackRevisions>false</trackRevisions>
    </reviewItem>
    <reviewItem>
      <errorID>f4ec546a-784d-4482-98a5-1e13133458a7</errorID>
      <errorWord>)(</errorWord>
      <group>L1_Format</group>
      <groupName>格式问题</groupName>
      <ability>L2_HalfPunc</ability>
      <abilityName>全半角检查</abilityName>
      <candidateList>
        <item>）（</item>
      </candidateList>
      <explain>文本全半角错误。</explain>
      <paraID>4C248ADB</paraID>
      <start>68</start>
      <end>70</end>
      <status>unmodified</status>
      <modifiedWord/>
      <trackRevisions>false</trackRevisions>
    </reviewItem>
    <reviewItem>
      <errorID>17ab9cc7-24a1-422a-9bda-45620d68898a</errorID>
      <errorWord>)</errorWord>
      <group>L1_Format</group>
      <groupName>格式问题</groupName>
      <ability>L2_HalfPunc</ability>
      <abilityName>全半角检查</abilityName>
      <candidateList>
        <item>）</item>
      </candidateList>
      <explain>文本全半角错误。</explain>
      <paraID>4C248ADB</paraID>
      <start>72</start>
      <end>73</end>
      <status>unmodified</status>
      <modifiedWord/>
      <trackRevisions>false</trackRevisions>
    </reviewItem>
    <reviewItem>
      <errorID>0d96f9fd-3550-4c96-8575-685832f02fb7</errorID>
      <errorWord>(</errorWord>
      <group>L1_Format</group>
      <groupName>格式问题</groupName>
      <ability>L2_HalfPunc</ability>
      <abilityName>全半角检查</abilityName>
      <candidateList>
        <item>（</item>
      </candidateList>
      <explain>文本全半角错误。</explain>
      <paraID>4C248ADB</paraID>
      <start>74</start>
      <end>75</end>
      <status>unmodified</status>
      <modifiedWord/>
      <trackRevisions>false</trackRevisions>
    </reviewItem>
    <reviewItem>
      <errorID>6f9e931a-3ebc-47b3-8ebd-8f9d3caba172</errorID>
      <errorWord>)</errorWord>
      <group>L1_Format</group>
      <groupName>格式问题</groupName>
      <ability>L2_HalfPunc</ability>
      <abilityName>全半角检查</abilityName>
      <candidateList>
        <item>）</item>
      </candidateList>
      <explain>文本全半角错误。</explain>
      <paraID>4C248ADB</paraID>
      <start>88</start>
      <end>89</end>
      <status>unmodified</status>
      <modifiedWord/>
      <trackRevisions>false</trackRevisions>
    </reviewItem>
    <reviewItem>
      <errorID>87a90e86-9eaf-464e-9d77-15d8e3b1b690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778E801</paraID>
      <start>0</start>
      <end>3</end>
      <status>unmodified</status>
      <modifiedWord/>
      <trackRevisions>false</trackRevisions>
    </reviewItem>
    <reviewItem>
      <errorID>a50ab73f-3c2f-432f-8831-aa368f72a3a5</errorID>
      <errorWord>(</errorWord>
      <group>L1_Format</group>
      <groupName>格式问题</groupName>
      <ability>L2_HalfPunc</ability>
      <abilityName>全半角检查</abilityName>
      <candidateList>
        <item>（</item>
      </candidateList>
      <explain>文本全半角错误。</explain>
      <paraID> 8F24955</paraID>
      <start>20</start>
      <end>21</end>
      <status>unmodified</status>
      <modifiedWord/>
      <trackRevisions>false</trackRevisions>
    </reviewItem>
    <reviewItem>
      <errorID>10194ce8-1afc-4eeb-a3f6-a15d1753ecdc</errorID>
      <errorWord>)</errorWord>
      <group>L1_Format</group>
      <groupName>格式问题</groupName>
      <ability>L2_HalfPunc</ability>
      <abilityName>全半角检查</abilityName>
      <candidateList>
        <item>）</item>
      </candidateList>
      <explain>文本全半角错误。</explain>
      <paraID> 8F24955</paraID>
      <start>31</start>
      <end>32</end>
      <status>unmodified</status>
      <modifiedWord/>
      <trackRevisions>false</trackRevisions>
    </reviewItem>
    <reviewItem>
      <errorID>37ea16cf-c0bc-4eef-a953-b7d0650b8521</errorID>
      <errorWord>(</errorWord>
      <group>L1_Format</group>
      <groupName>格式问题</groupName>
      <ability>L2_HalfPunc</ability>
      <abilityName>全半角检查</abilityName>
      <candidateList>
        <item>（</item>
      </candidateList>
      <explain>文本全半角错误。</explain>
      <paraID>29131775</paraID>
      <start>16</start>
      <end>17</end>
      <status>unmodified</status>
      <modifiedWord/>
      <trackRevisions>false</trackRevisions>
    </reviewItem>
    <reviewItem>
      <errorID>35c253f2-6613-492d-bc45-71062d6ba1e4</errorID>
      <errorWord>)</errorWord>
      <group>L1_Format</group>
      <groupName>格式问题</groupName>
      <ability>L2_HalfPunc</ability>
      <abilityName>全半角检查</abilityName>
      <candidateList>
        <item>）</item>
      </candidateList>
      <explain>文本全半角错误。</explain>
      <paraID>29131775</paraID>
      <start>29</start>
      <end>30</end>
      <status>unmodified</status>
      <modifiedWord/>
      <trackRevisions>false</trackRevisions>
    </reviewItem>
    <reviewItem>
      <errorID>764722c3-3d3f-4ce7-832d-8cb240f7c48a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3F7AE7DF</paraID>
      <start>0</start>
      <end>3</end>
      <status>unmodified</status>
      <modifiedWord/>
      <trackRevisions>false</trackRevisions>
    </reviewItem>
    <reviewItem>
      <errorID>4f4837bd-5435-48a3-bcde-7794b66d58a9</errorID>
      <errorWord>(</errorWord>
      <group>L1_Format</group>
      <groupName>格式问题</groupName>
      <ability>L2_HalfPunc</ability>
      <abilityName>全半角检查</abilityName>
      <candidateList>
        <item>（</item>
      </candidateList>
      <explain>文本全半角错误。</explain>
      <paraID>4533CC33</paraID>
      <start>205</start>
      <end>206</end>
      <status>unmodified</status>
      <modifiedWord/>
      <trackRevisions>false</trackRevisions>
    </reviewItem>
    <reviewItem>
      <errorID>c947b9be-2b0f-4d9d-bc37-fa98e534ec52</errorID>
      <errorWord>)</errorWord>
      <group>L1_Format</group>
      <groupName>格式问题</groupName>
      <ability>L2_HalfPunc</ability>
      <abilityName>全半角检查</abilityName>
      <candidateList>
        <item>）</item>
      </candidateList>
      <explain>文本全半角错误。</explain>
      <paraID>4533CC33</paraID>
      <start>214</start>
      <end>215</end>
      <status>unmodified</status>
      <modifiedWord/>
      <trackRevisions>false</trackRevisions>
    </reviewItem>
    <reviewItem>
      <errorID>2e4d9e84-e052-43ba-b305-38bf8ffb6eaa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19546FF6</paraID>
      <start>0</start>
      <end>2</end>
      <status>unmodified</status>
      <modifiedWord/>
      <trackRevisions>false</trackRevisions>
    </reviewItem>
    <reviewItem>
      <errorID>10bef353-c1ff-4d6a-9ddb-831957ba03e7</errorID>
      <errorWord>(</errorWord>
      <group>L1_Format</group>
      <groupName>格式问题</groupName>
      <ability>L2_HalfPunc</ability>
      <abilityName>全半角检查</abilityName>
      <candidateList>
        <item>（</item>
      </candidateList>
      <explain>文本全半角错误。</explain>
      <paraID>4FB6BC8C</paraID>
      <start>7</start>
      <end>8</end>
      <status>unmodified</status>
      <modifiedWord/>
      <trackRevisions>false</trackRevisions>
    </reviewItem>
    <reviewItem>
      <errorID>8481d89f-66e3-44ea-a4d4-2276ea9e38e6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3B888DC0</paraID>
      <start>0</start>
      <end>2</end>
      <status>unmodified</status>
      <modifiedWord/>
      <trackRevisions>false</trackRevisions>
    </reviewItem>
    <reviewItem>
      <errorID>9dd0d23b-cde1-4f00-9f54-b9eb2e947c8e</errorID>
      <errorWord>(</errorWord>
      <group>L1_Format</group>
      <groupName>格式问题</groupName>
      <ability>L2_HalfPunc</ability>
      <abilityName>全半角检查</abilityName>
      <candidateList>
        <item>（</item>
      </candidateList>
      <explain>文本全半角错误。</explain>
      <paraID>1759AB4F</paraID>
      <start>43</start>
      <end>44</end>
      <status>unmodified</status>
      <modifiedWord/>
      <trackRevisions>false</trackRevisions>
    </reviewItem>
    <reviewItem>
      <errorID>72e714c3-5055-4399-9dc2-b8afffa61219</errorID>
      <errorWord>)</errorWord>
      <group>L1_Format</group>
      <groupName>格式问题</groupName>
      <ability>L2_HalfPunc</ability>
      <abilityName>全半角检查</abilityName>
      <candidateList>
        <item>）</item>
      </candidateList>
      <explain>文本全半角错误。</explain>
      <paraID>1759AB4F</paraID>
      <start>47</start>
      <end>48</end>
      <status>unmodified</status>
      <modifiedWord/>
      <trackRevisions>false</trackRevisions>
    </reviewItem>
    <reviewItem>
      <errorID>2d829ba8-4778-43a5-9725-6efb8beef7f9</errorID>
      <errorWord>(</errorWord>
      <group>L1_Format</group>
      <groupName>格式问题</groupName>
      <ability>L2_HalfPunc</ability>
      <abilityName>全半角检查</abilityName>
      <candidateList>
        <item>（</item>
      </candidateList>
      <explain>文本全半角错误。</explain>
      <paraID>19B60C43</paraID>
      <start>9</start>
      <end>10</end>
      <status>unmodified</status>
      <modifiedWord/>
      <trackRevisions>false</trackRevisions>
    </reviewItem>
    <reviewItem>
      <errorID>a1a77fea-bc4b-4544-99e2-efc4186aa5f0</errorID>
      <errorWord>)</errorWord>
      <group>L1_Format</group>
      <groupName>格式问题</groupName>
      <ability>L2_HalfPunc</ability>
      <abilityName>全半角检查</abilityName>
      <candidateList>
        <item>）</item>
      </candidateList>
      <explain>文本全半角错误。</explain>
      <paraID>19B60C43</paraID>
      <start>13</start>
      <end>14</end>
      <status>unmodified</status>
      <modifiedWord/>
      <trackRevisions>false</trackRevisions>
    </reviewItem>
    <reviewItem>
      <errorID>e3b42761-ff4e-4646-837d-a07efe8c1b7e</errorID>
      <errorWord>(</errorWord>
      <group>L1_Format</group>
      <groupName>格式问题</groupName>
      <ability>L2_HalfPunc</ability>
      <abilityName>全半角检查</abilityName>
      <candidateList>
        <item>（</item>
      </candidateList>
      <explain>文本全半角错误。</explain>
      <paraID>6CFE27A9</paraID>
      <start>9</start>
      <end>10</end>
      <status>unmodified</status>
      <modifiedWord/>
      <trackRevisions>false</trackRevisions>
    </reviewItem>
    <reviewItem>
      <errorID>63922519-df96-45af-91d3-f753d2b3323e</errorID>
      <errorWord>)</errorWord>
      <group>L1_Format</group>
      <groupName>格式问题</groupName>
      <ability>L2_HalfPunc</ability>
      <abilityName>全半角检查</abilityName>
      <candidateList>
        <item>）</item>
      </candidateList>
      <explain>文本全半角错误。</explain>
      <paraID>6CFE27A9</paraID>
      <start>13</start>
      <end>14</end>
      <status>unmodified</status>
      <modifiedWord/>
      <trackRevisions>false</trackRevisions>
    </reviewItem>
    <reviewItem>
      <errorID>7c2f5a69-b2a7-473b-954a-ae08479d89ea</errorID>
      <errorWord>(</errorWord>
      <group>L1_Format</group>
      <groupName>格式问题</groupName>
      <ability>L2_HalfPunc</ability>
      <abilityName>全半角检查</abilityName>
      <candidateList>
        <item>（</item>
      </candidateList>
      <explain>文本全半角错误。</explain>
      <paraID>20999BE8</paraID>
      <start>5</start>
      <end>6</end>
      <status>unmodified</status>
      <modifiedWord/>
      <trackRevisions>false</trackRevisions>
    </reviewItem>
    <reviewItem>
      <errorID>563548eb-cc41-414e-b04c-99a0f65fc9f8</errorID>
      <errorWord>)</errorWord>
      <group>L1_Format</group>
      <groupName>格式问题</groupName>
      <ability>L2_HalfPunc</ability>
      <abilityName>全半角检查</abilityName>
      <candidateList>
        <item>）</item>
      </candidateList>
      <explain>文本全半角错误。</explain>
      <paraID>20999BE8</paraID>
      <start>9</start>
      <end>10</end>
      <status>unmodified</status>
      <modifiedWord/>
      <trackRevisions>false</trackRevisions>
    </reviewItem>
    <reviewItem>
      <errorID>8d16f2a4-7d0d-4797-be6d-73159932ecb0</errorID>
      <errorWord>(</errorWord>
      <group>L1_Format</group>
      <groupName>格式问题</groupName>
      <ability>L2_HalfPunc</ability>
      <abilityName>全半角检查</abilityName>
      <candidateList>
        <item>（</item>
      </candidateList>
      <explain>文本全半角错误。</explain>
      <paraID>4DC6F2F5</paraID>
      <start>9</start>
      <end>10</end>
      <status>unmodified</status>
      <modifiedWord/>
      <trackRevisions>false</trackRevisions>
    </reviewItem>
    <reviewItem>
      <errorID>1ca50618-2da1-4e9e-bbef-463488b4bbaf</errorID>
      <errorWord>)</errorWord>
      <group>L1_Format</group>
      <groupName>格式问题</groupName>
      <ability>L2_HalfPunc</ability>
      <abilityName>全半角检查</abilityName>
      <candidateList>
        <item>）</item>
      </candidateList>
      <explain>文本全半角错误。</explain>
      <paraID>4DC6F2F5</paraID>
      <start>13</start>
      <end>14</end>
      <status>unmodified</status>
      <modifiedWord/>
      <trackRevisions>false</trackRevisions>
    </reviewItem>
    <reviewItem>
      <errorID>eb3f297a-dc0f-4201-987f-88249ee2ca23</errorID>
      <errorWord>(</errorWord>
      <group>L1_Format</group>
      <groupName>格式问题</groupName>
      <ability>L2_HalfPunc</ability>
      <abilityName>全半角检查</abilityName>
      <candidateList>
        <item>（</item>
      </candidateList>
      <explain>文本全半角错误。</explain>
      <paraID>3E70BD16</paraID>
      <start>10</start>
      <end>11</end>
      <status>unmodified</status>
      <modifiedWord/>
      <trackRevisions>false</trackRevisions>
    </reviewItem>
    <reviewItem>
      <errorID>d0815b00-cc53-4452-82d2-6811772569af</errorID>
      <errorWord>)</errorWord>
      <group>L1_Format</group>
      <groupName>格式问题</groupName>
      <ability>L2_HalfPunc</ability>
      <abilityName>全半角检查</abilityName>
      <candidateList>
        <item>）</item>
      </candidateList>
      <explain>文本全半角错误。</explain>
      <paraID>3E70BD16</paraID>
      <start>18</start>
      <end>19</end>
      <status>unmodified</status>
      <modifiedWord/>
      <trackRevisions>false</trackRevisions>
    </reviewItem>
    <reviewItem>
      <errorID>185f957c-47ca-45b7-b585-5a396c8ef4eb</errorID>
      <errorWord>(</errorWord>
      <group>L1_Format</group>
      <groupName>格式问题</groupName>
      <ability>L2_HalfPunc</ability>
      <abilityName>全半角检查</abilityName>
      <candidateList>
        <item>（</item>
      </candidateList>
      <explain>文本全半角错误。</explain>
      <paraID>3E1C03D0</paraID>
      <start>42</start>
      <end>43</end>
      <status>unmodified</status>
      <modifiedWord/>
      <trackRevisions>false</trackRevisions>
    </reviewItem>
    <reviewItem>
      <errorID>9c31dc44-fc14-4804-a227-3db4112efc75</errorID>
      <errorWord>)</errorWord>
      <group>L1_Format</group>
      <groupName>格式问题</groupName>
      <ability>L2_HalfPunc</ability>
      <abilityName>全半角检查</abilityName>
      <candidateList>
        <item>）</item>
      </candidateList>
      <explain>文本全半角错误。</explain>
      <paraID>3E1C03D0</paraID>
      <start>44</start>
      <end>45</end>
      <status>unmodified</status>
      <modifiedWord/>
      <trackRevisions>false</trackRevisions>
    </reviewItem>
    <reviewItem>
      <errorID>138393f6-436c-41ad-8c5b-03e2a7c76676</errorID>
      <errorWord>(</errorWord>
      <group>L1_Format</group>
      <groupName>格式问题</groupName>
      <ability>L2_HalfPunc</ability>
      <abilityName>全半角检查</abilityName>
      <candidateList>
        <item>（</item>
      </candidateList>
      <explain>文本全半角错误。</explain>
      <paraID>354D426B</paraID>
      <start>13</start>
      <end>14</end>
      <status>unmodified</status>
      <modifiedWord/>
      <trackRevisions>false</trackRevisions>
    </reviewItem>
    <reviewItem>
      <errorID>18cc6b92-f288-4e87-a764-d81b5ee1e3b5</errorID>
      <errorWord>)</errorWord>
      <group>L1_Format</group>
      <groupName>格式问题</groupName>
      <ability>L2_HalfPunc</ability>
      <abilityName>全半角检查</abilityName>
      <candidateList>
        <item>）</item>
      </candidateList>
      <explain>文本全半角错误。</explain>
      <paraID>354D426B</paraID>
      <start>15</start>
      <end>16</end>
      <status>unmodified</status>
      <modifiedWord/>
      <trackRevisions>false</trackRevisions>
    </reviewItem>
    <reviewItem>
      <errorID>231116f2-63ac-4bdb-b52f-72c871c9003e</errorID>
      <errorWord>(</errorWord>
      <group>L1_Format</group>
      <groupName>格式问题</groupName>
      <ability>L2_HalfPunc</ability>
      <abilityName>全半角检查</abilityName>
      <candidateList>
        <item>（</item>
      </candidateList>
      <explain>文本全半角错误。</explain>
      <paraID>2145FA52</paraID>
      <start>13</start>
      <end>14</end>
      <status>unmodified</status>
      <modifiedWord/>
      <trackRevisions>false</trackRevisions>
    </reviewItem>
    <reviewItem>
      <errorID>f736b001-ab70-42c4-b2b0-ac5ddddac899</errorID>
      <errorWord>)</errorWord>
      <group>L1_Format</group>
      <groupName>格式问题</groupName>
      <ability>L2_HalfPunc</ability>
      <abilityName>全半角检查</abilityName>
      <candidateList>
        <item>）</item>
      </candidateList>
      <explain>文本全半角错误。</explain>
      <paraID>2145FA52</paraID>
      <start>18</start>
      <end>19</end>
      <status>unmodified</status>
      <modifiedWord/>
      <trackRevisions>false</trackRevisions>
    </reviewItem>
    <reviewItem>
      <errorID>3bea3c69-b297-4b54-9427-a0733b53e36d</errorID>
      <errorWord>(</errorWord>
      <group>L1_Format</group>
      <groupName>格式问题</groupName>
      <ability>L2_HalfPunc</ability>
      <abilityName>全半角检查</abilityName>
      <candidateList>
        <item>（</item>
      </candidateList>
      <explain>文本全半角错误。</explain>
      <paraID>2145FA52</paraID>
      <start>24</start>
      <end>25</end>
      <status>unmodified</status>
      <modifiedWord/>
      <trackRevisions>false</trackRevisions>
    </reviewItem>
    <reviewItem>
      <errorID>a56375b5-d294-4870-b8b0-7eb395182579</errorID>
      <errorWord>)</errorWord>
      <group>L1_Format</group>
      <groupName>格式问题</groupName>
      <ability>L2_HalfPunc</ability>
      <abilityName>全半角检查</abilityName>
      <candidateList>
        <item>）</item>
      </candidateList>
      <explain>文本全半角错误。</explain>
      <paraID>2145FA52</paraID>
      <start>29</start>
      <end>30</end>
      <status>unmodified</status>
      <modifiedWord/>
      <trackRevisions>false</trackRevisions>
    </reviewItem>
    <reviewItem>
      <errorID>7da738f5-51e9-4e39-bb8d-40119bc49175</errorID>
      <errorWord>(</errorWord>
      <group>L1_Format</group>
      <groupName>格式问题</groupName>
      <ability>L2_HalfPunc</ability>
      <abilityName>全半角检查</abilityName>
      <candidateList>
        <item>（</item>
      </candidateList>
      <explain>文本全半角错误。</explain>
      <paraID>2145FA52</paraID>
      <start>35</start>
      <end>36</end>
      <status>unmodified</status>
      <modifiedWord/>
      <trackRevisions>false</trackRevisions>
    </reviewItem>
    <reviewItem>
      <errorID>680f10fc-2c4c-47a5-9b61-ac6ce5df2259</errorID>
      <errorWord>)</errorWord>
      <group>L1_Format</group>
      <groupName>格式问题</groupName>
      <ability>L2_HalfPunc</ability>
      <abilityName>全半角检查</abilityName>
      <candidateList>
        <item>）</item>
      </candidateList>
      <explain>文本全半角错误。</explain>
      <paraID>2145FA52</paraID>
      <start>39</start>
      <end>40</end>
      <status>unmodified</status>
      <modifiedWord/>
      <trackRevisions>false</trackRevisions>
    </reviewItem>
    <reviewItem>
      <errorID>0dafbbee-e74d-42ba-ac27-dc51021e62c7</errorID>
      <errorWord>(</errorWord>
      <group>L1_Format</group>
      <groupName>格式问题</groupName>
      <ability>L2_HalfPunc</ability>
      <abilityName>全半角检查</abilityName>
      <candidateList>
        <item>（</item>
      </candidateList>
      <explain>文本全半角错误。</explain>
      <paraID>2145FA52</paraID>
      <start>46</start>
      <end>47</end>
      <status>unmodified</status>
      <modifiedWord/>
      <trackRevisions>false</trackRevisions>
    </reviewItem>
    <reviewItem>
      <errorID>134f34b7-9dd1-4517-b9b3-808b3943cd41</errorID>
      <errorWord>)</errorWord>
      <group>L1_Format</group>
      <groupName>格式问题</groupName>
      <ability>L2_HalfPunc</ability>
      <abilityName>全半角检查</abilityName>
      <candidateList>
        <item>）</item>
      </candidateList>
      <explain>文本全半角错误。</explain>
      <paraID>2145FA52</paraID>
      <start>51</start>
      <end>52</end>
      <status>unmodified</status>
      <modifiedWord/>
      <trackRevisions>false</trackRevisions>
    </reviewItem>
    <reviewItem>
      <errorID>84d858a2-639d-4b1d-a193-64ce4e45dbdd</errorID>
      <errorWord>(</errorWord>
      <group>L1_Format</group>
      <groupName>格式问题</groupName>
      <ability>L2_HalfPunc</ability>
      <abilityName>全半角检查</abilityName>
      <candidateList>
        <item>（</item>
      </candidateList>
      <explain>文本全半角错误。</explain>
      <paraID>2145FA52</paraID>
      <start>60</start>
      <end>61</end>
      <status>unmodified</status>
      <modifiedWord/>
      <trackRevisions>false</trackRevisions>
    </reviewItem>
    <reviewItem>
      <errorID>7e037a86-cda1-467f-aaf6-8b751fff3f1c</errorID>
      <errorWord>)</errorWord>
      <group>L1_Format</group>
      <groupName>格式问题</groupName>
      <ability>L2_HalfPunc</ability>
      <abilityName>全半角检查</abilityName>
      <candidateList>
        <item>）</item>
      </candidateList>
      <explain>文本全半角错误。</explain>
      <paraID>2145FA52</paraID>
      <start>66</start>
      <end>67</end>
      <status>unmodified</status>
      <modifiedWord/>
      <trackRevisions>false</trackRevisions>
    </reviewItem>
    <reviewItem>
      <errorID>c17949c3-ef21-4053-aa40-80d24bb0afc2</errorID>
      <errorWord>(</errorWord>
      <group>L1_Format</group>
      <groupName>格式问题</groupName>
      <ability>L2_HalfPunc</ability>
      <abilityName>全半角检查</abilityName>
      <candidateList>
        <item>（</item>
      </candidateList>
      <explain>文本全半角错误。</explain>
      <paraID>783377F3</paraID>
      <start>14</start>
      <end>15</end>
      <status>unmodified</status>
      <modifiedWord/>
      <trackRevisions>false</trackRevisions>
    </reviewItem>
    <reviewItem>
      <errorID>7f9c5bbd-000a-4f6b-ba04-dafeeaf945e9</errorID>
      <errorWord>)</errorWord>
      <group>L1_Format</group>
      <groupName>格式问题</groupName>
      <ability>L2_HalfPunc</ability>
      <abilityName>全半角检查</abilityName>
      <candidateList>
        <item>）</item>
      </candidateList>
      <explain>文本全半角错误。</explain>
      <paraID>783377F3</paraID>
      <start>22</start>
      <end>23</end>
      <status>unmodified</status>
      <modifiedWord/>
      <trackRevisions>false</trackRevisions>
    </reviewItem>
    <reviewItem>
      <errorID>05bc46a2-45b1-439d-8d16-af1bd9404d60</errorID>
      <errorWord>)</errorWord>
      <group>L1_Format</group>
      <groupName>格式问题</groupName>
      <ability>L2_HalfPunc</ability>
      <abilityName>全半角检查</abilityName>
      <candidateList>
        <item>）</item>
      </candidateList>
      <explain>文本全半角错误。</explain>
      <paraID>2358445A</paraID>
      <start>12</start>
      <end>13</end>
      <status>unmodified</status>
      <modifiedWord/>
      <trackRevisions>false</trackRevisions>
    </reviewItem>
    <reviewItem>
      <errorID>1e157520-66d0-4d90-acb4-3ce2bcd12dc7</errorID>
      <errorWord>)</errorWord>
      <group>L1_Format</group>
      <groupName>格式问题</groupName>
      <ability>L2_HalfPunc</ability>
      <abilityName>全半角检查</abilityName>
      <candidateList>
        <item>）</item>
      </candidateList>
      <explain>文本全半角错误。</explain>
      <paraID>245F33C0</paraID>
      <start>20</start>
      <end>21</end>
      <status>unmodified</status>
      <modifiedWord/>
      <trackRevisions>false</trackRevisions>
    </reviewItem>
    <reviewItem>
      <errorID>ba1eb36e-3374-4e66-83ac-e9bbf98c076d</errorID>
      <errorWord>(</errorWord>
      <group>L1_Format</group>
      <groupName>格式问题</groupName>
      <ability>L2_HalfPunc</ability>
      <abilityName>全半角检查</abilityName>
      <candidateList>
        <item>（</item>
      </candidateList>
      <explain>文本全半角错误。</explain>
      <paraID> 829AC4E</paraID>
      <start>10</start>
      <end>11</end>
      <status>unmodified</status>
      <modifiedWord/>
      <trackRevisions>false</trackRevisions>
    </reviewItem>
    <reviewItem>
      <errorID>feff473f-a792-424a-b553-6c7a13a47c12</errorID>
      <errorWord>)</errorWord>
      <group>L1_Format</group>
      <groupName>格式问题</groupName>
      <ability>L2_HalfPunc</ability>
      <abilityName>全半角检查</abilityName>
      <candidateList>
        <item>）</item>
      </candidateList>
      <explain>文本全半角错误。</explain>
      <paraID> 829AC4E</paraID>
      <start>12</start>
      <end>13</end>
      <status>unmodified</status>
      <modifiedWord/>
      <trackRevisions>false</trackRevisions>
    </reviewItem>
    <reviewItem>
      <errorID>0e3220eb-653e-47a8-8a5d-ddea7fa9afaa</errorID>
      <errorWord>(</errorWord>
      <group>L1_Format</group>
      <groupName>格式问题</groupName>
      <ability>L2_HalfPunc</ability>
      <abilityName>全半角检查</abilityName>
      <candidateList>
        <item>（</item>
      </candidateList>
      <explain>文本全半角错误。</explain>
      <paraID>71D37B6F</paraID>
      <start>19</start>
      <end>20</end>
      <status>unmodified</status>
      <modifiedWord/>
      <trackRevisions>false</trackRevisions>
    </reviewItem>
    <reviewItem>
      <errorID>a8c69e05-596a-4b6d-8887-18e556c49e3a</errorID>
      <errorWord>)</errorWord>
      <group>L1_Format</group>
      <groupName>格式问题</groupName>
      <ability>L2_HalfPunc</ability>
      <abilityName>全半角检查</abilityName>
      <candidateList>
        <item>）</item>
      </candidateList>
      <explain>文本全半角错误。</explain>
      <paraID>71D37B6F</paraID>
      <start>29</start>
      <end>30</end>
      <status>unmodified</status>
      <modifiedWord/>
      <trackRevisions>false</trackRevisions>
    </reviewItem>
    <reviewItem>
      <errorID>f5b8fdf0-6dcd-4163-be8d-c6a8284f056f</errorID>
      <errorWord>(</errorWord>
      <group>L1_Format</group>
      <groupName>格式问题</groupName>
      <ability>L2_HalfPunc</ability>
      <abilityName>全半角检查</abilityName>
      <candidateList>
        <item>（</item>
      </candidateList>
      <explain>文本全半角错误。</explain>
      <paraID>33E22B5E</paraID>
      <start>97</start>
      <end>98</end>
      <status>unmodified</status>
      <modifiedWord/>
      <trackRevisions>false</trackRevisions>
    </reviewItem>
    <reviewItem>
      <errorID>7b4d6ff6-248e-400c-ad25-b806fa399b5d</errorID>
      <errorWord>)</errorWord>
      <group>L1_Format</group>
      <groupName>格式问题</groupName>
      <ability>L2_HalfPunc</ability>
      <abilityName>全半角检查</abilityName>
      <candidateList>
        <item>）</item>
      </candidateList>
      <explain>文本全半角错误。</explain>
      <paraID>33E22B5E</paraID>
      <start>102</start>
      <end>103</end>
      <status>unmodified</status>
      <modifiedWord/>
      <trackRevisions>false</trackRevisions>
    </reviewItem>
    <reviewItem>
      <errorID>eaaff2b0-5f33-47bd-97e2-f2914b66c05d</errorID>
      <errorWord>)</errorWord>
      <group>L1_Format</group>
      <groupName>格式问题</groupName>
      <ability>L2_HalfPunc</ability>
      <abilityName>全半角检查</abilityName>
      <candidateList>
        <item>）</item>
      </candidateList>
      <explain>文本全半角错误。</explain>
      <paraID> 28B37A7</paraID>
      <start>32</start>
      <end>33</end>
      <status>unmodified</status>
      <modifiedWord/>
      <trackRevisions>false</trackRevisions>
    </reviewItem>
    <reviewItem>
      <errorID>142989ae-e47c-44b7-a099-b3c069b86922</errorID>
      <errorWord>)</errorWord>
      <group>L1_Format</group>
      <groupName>格式问题</groupName>
      <ability>L2_HalfPunc</ability>
      <abilityName>全半角检查</abilityName>
      <candidateList>
        <item>）</item>
      </candidateList>
      <explain>文本全半角错误。</explain>
      <paraID>3BF64326</paraID>
      <start>42</start>
      <end>43</end>
      <status>unmodified</status>
      <modifiedWord/>
      <trackRevisions>false</trackRevisions>
    </reviewItem>
    <reviewItem>
      <errorID>a0431a49-3f8a-4348-a085-33ad0ca75987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17817893</paraID>
      <start>0</start>
      <end>2</end>
      <status>unmodified</status>
      <modifiedWord/>
      <trackRevisions>false</trackRevisions>
    </reviewItem>
    <reviewItem>
      <errorID>c44e37a2-c483-4735-a25c-2bcd8ef40395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79A96F10</paraID>
      <start>0</start>
      <end>2</end>
      <status>unmodified</status>
      <modifiedWord/>
      <trackRevisions>false</trackRevisions>
    </reviewItem>
    <reviewItem>
      <errorID>675bdcbd-1398-47e0-bc6e-88dacda25f9c</errorID>
      <errorWord>(</errorWord>
      <group>L1_Format</group>
      <groupName>格式问题</groupName>
      <ability>L2_HalfPunc</ability>
      <abilityName>全半角检查</abilityName>
      <candidateList>
        <item>（</item>
      </candidateList>
      <explain>文本全半角错误。</explain>
      <paraID>1EF6A0C0</paraID>
      <start>46</start>
      <end>47</end>
      <status>unmodified</status>
      <modifiedWord/>
      <trackRevisions>false</trackRevisions>
    </reviewItem>
    <reviewItem>
      <errorID>71d07aa2-28cd-41ca-a471-c449d78f7773</errorID>
      <errorWord>)</errorWord>
      <group>L1_Format</group>
      <groupName>格式问题</groupName>
      <ability>L2_HalfPunc</ability>
      <abilityName>全半角检查</abilityName>
      <candidateList>
        <item>）</item>
      </candidateList>
      <explain>文本全半角错误。</explain>
      <paraID>1EF6A0C0</paraID>
      <start>57</start>
      <end>58</end>
      <status>unmodified</status>
      <modifiedWord/>
      <trackRevisions>false</trackRevisions>
    </reviewItem>
    <reviewItem>
      <errorID>d507d6ee-067f-4a2c-b624-8fbfa31d5955</errorID>
      <errorWord>(</errorWord>
      <group>L1_Format</group>
      <groupName>格式问题</groupName>
      <ability>L2_HalfPunc</ability>
      <abilityName>全半角检查</abilityName>
      <candidateList>
        <item>（</item>
      </candidateList>
      <explain>文本全半角错误。</explain>
      <paraID>1EF6A0C0</paraID>
      <start>71</start>
      <end>72</end>
      <status>unmodified</status>
      <modifiedWord/>
      <trackRevisions>false</trackRevisions>
    </reviewItem>
    <reviewItem>
      <errorID>7afb6757-a99e-45a4-9d39-aeb5f410dfaa</errorID>
      <errorWord>)</errorWord>
      <group>L1_Format</group>
      <groupName>格式问题</groupName>
      <ability>L2_HalfPunc</ability>
      <abilityName>全半角检查</abilityName>
      <candidateList>
        <item>）</item>
      </candidateList>
      <explain>文本全半角错误。</explain>
      <paraID>1EF6A0C0</paraID>
      <start>83</start>
      <end>84</end>
      <status>unmodified</status>
      <modifiedWord/>
      <trackRevisions>false</trackRevisions>
    </reviewItem>
    <reviewItem>
      <errorID>f7ddbe53-f1e5-4dea-993a-50596be95fb2</errorID>
      <errorWord>(</errorWord>
      <group>L1_Format</group>
      <groupName>格式问题</groupName>
      <ability>L2_HalfPunc</ability>
      <abilityName>全半角检查</abilityName>
      <candidateList>
        <item>（</item>
      </candidateList>
      <explain>文本全半角错误。</explain>
      <paraID>2B6DC282</paraID>
      <start>10</start>
      <end>11</end>
      <status>unmodified</status>
      <modifiedWord/>
      <trackRevisions>false</trackRevisions>
    </reviewItem>
    <reviewItem>
      <errorID>0a95dd08-a4f9-4a3d-b361-89b9d63e417d</errorID>
      <errorWord>)</errorWord>
      <group>L1_Format</group>
      <groupName>格式问题</groupName>
      <ability>L2_HalfPunc</ability>
      <abilityName>全半角检查</abilityName>
      <candidateList>
        <item>）</item>
      </candidateList>
      <explain>文本全半角错误。</explain>
      <paraID>2B6DC282</paraID>
      <start>22</start>
      <end>23</end>
      <status>unmodified</status>
      <modifiedWord/>
      <trackRevisions>false</trackRevisions>
    </reviewItem>
    <reviewItem>
      <errorID>79ee4dcd-7c0b-4826-b02d-cd18feb2dcf3</errorID>
      <errorWord>(</errorWord>
      <group>L1_Format</group>
      <groupName>格式问题</groupName>
      <ability>L2_HalfPunc</ability>
      <abilityName>全半角检查</abilityName>
      <candidateList>
        <item>（</item>
      </candidateList>
      <explain>文本全半角错误。</explain>
      <paraID>1B573EFC</paraID>
      <start>10</start>
      <end>11</end>
      <status>unmodified</status>
      <modifiedWord/>
      <trackRevisions>false</trackRevisions>
    </reviewItem>
    <reviewItem>
      <errorID>9f57017f-331c-4116-b543-6588f49c134f</errorID>
      <errorWord>)</errorWord>
      <group>L1_Format</group>
      <groupName>格式问题</groupName>
      <ability>L2_HalfPunc</ability>
      <abilityName>全半角检查</abilityName>
      <candidateList>
        <item>）</item>
      </candidateList>
      <explain>文本全半角错误。</explain>
      <paraID>1B573EFC</paraID>
      <start>22</start>
      <end>23</end>
      <status>unmodified</status>
      <modifiedWord/>
      <trackRevisions>false</trackRevisions>
    </reviewItem>
    <reviewItem>
      <errorID>1447918b-4755-4c4b-955e-50380aca1c73</errorID>
      <errorWord>(</errorWord>
      <group>L1_Format</group>
      <groupName>格式问题</groupName>
      <ability>L2_HalfPunc</ability>
      <abilityName>全半角检查</abilityName>
      <candidateList>
        <item>（</item>
      </candidateList>
      <explain>文本全半角错误。</explain>
      <paraID>6AD4504E</paraID>
      <start>10</start>
      <end>11</end>
      <status>unmodified</status>
      <modifiedWord/>
      <trackRevisions>false</trackRevisions>
    </reviewItem>
    <reviewItem>
      <errorID>62e0bbff-da2a-4bb2-82c5-d059153b17e9</errorID>
      <errorWord>)</errorWord>
      <group>L1_Format</group>
      <groupName>格式问题</groupName>
      <ability>L2_HalfPunc</ability>
      <abilityName>全半角检查</abilityName>
      <candidateList>
        <item>）</item>
      </candidateList>
      <explain>文本全半角错误。</explain>
      <paraID>6AD4504E</paraID>
      <start>22</start>
      <end>23</end>
      <status>unmodified</status>
      <modifiedWord/>
      <trackRevisions>false</trackRevisions>
    </reviewItem>
    <reviewItem>
      <errorID>0d8f8349-2494-46be-a824-8bc191949d37</errorID>
      <errorWord>(</errorWord>
      <group>L1_Format</group>
      <groupName>格式问题</groupName>
      <ability>L2_HalfPunc</ability>
      <abilityName>全半角检查</abilityName>
      <candidateList>
        <item>（</item>
      </candidateList>
      <explain>文本全半角错误。</explain>
      <paraID>1C88BCD0</paraID>
      <start>10</start>
      <end>11</end>
      <status>unmodified</status>
      <modifiedWord/>
      <trackRevisions>false</trackRevisions>
    </reviewItem>
    <reviewItem>
      <errorID>037e5e64-14fd-4013-8d58-71da74739624</errorID>
      <errorWord>)</errorWord>
      <group>L1_Format</group>
      <groupName>格式问题</groupName>
      <ability>L2_HalfPunc</ability>
      <abilityName>全半角检查</abilityName>
      <candidateList>
        <item>）</item>
      </candidateList>
      <explain>文本全半角错误。</explain>
      <paraID>1C88BCD0</paraID>
      <start>22</start>
      <end>23</end>
      <status>unmodified</status>
      <modifiedWord/>
      <trackRevisions>false</trackRevisions>
    </reviewItem>
    <reviewItem>
      <errorID>744e18fe-163b-4755-a1b3-3c9d24a23d35</errorID>
      <errorWord>(</errorWord>
      <group>L1_Format</group>
      <groupName>格式问题</groupName>
      <ability>L2_HalfPunc</ability>
      <abilityName>全半角检查</abilityName>
      <candidateList>
        <item>（</item>
      </candidateList>
      <explain>文本全半角错误。</explain>
      <paraID>17E13535</paraID>
      <start>6</start>
      <end>7</end>
      <status>unmodified</status>
      <modifiedWord/>
      <trackRevisions>false</trackRevisions>
    </reviewItem>
    <reviewItem>
      <errorID>e584983e-7eda-4c15-ac0f-2c3dd6f90f3c</errorID>
      <errorWord>)</errorWord>
      <group>L1_Format</group>
      <groupName>格式问题</groupName>
      <ability>L2_HalfPunc</ability>
      <abilityName>全半角检查</abilityName>
      <candidateList>
        <item>）</item>
      </candidateList>
      <explain>文本全半角错误。</explain>
      <paraID>17E13535</paraID>
      <start>18</start>
      <end>19</end>
      <status>unmodified</status>
      <modifiedWord/>
      <trackRevisions>false</trackRevisions>
    </reviewItem>
    <reviewItem>
      <errorID>fc17cebf-1ef9-477a-806d-81ad6ebf6655</errorID>
      <errorWord>(</errorWord>
      <group>L1_Format</group>
      <groupName>格式问题</groupName>
      <ability>L2_HalfPunc</ability>
      <abilityName>全半角检查</abilityName>
      <candidateList>
        <item>（</item>
      </candidateList>
      <explain>文本全半角错误。</explain>
      <paraID>7F999105</paraID>
      <start>3</start>
      <end>4</end>
      <status>unmodified</status>
      <modifiedWord/>
      <trackRevisions>false</trackRevisions>
    </reviewItem>
    <reviewItem>
      <errorID>308575d0-ce34-4ebf-8781-92078388736c</errorID>
      <errorWord>)</errorWord>
      <group>L1_Format</group>
      <groupName>格式问题</groupName>
      <ability>L2_HalfPunc</ability>
      <abilityName>全半角检查</abilityName>
      <candidateList>
        <item>）</item>
      </candidateList>
      <explain>文本全半角错误。</explain>
      <paraID>7F999105</paraID>
      <start>7</start>
      <end>8</end>
      <status>unmodified</status>
      <modifiedWord/>
      <trackRevisions>false</trackRevisions>
    </reviewItem>
    <reviewItem>
      <errorID>40d3e012-cf74-4176-9d51-8c9be8264b42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420AD038</paraID>
      <start>27</start>
      <end>28</end>
      <status>unmodified</status>
      <modifiedWord/>
      <trackRevisions>false</trackRevisions>
    </reviewItem>
    <reviewItem>
      <errorID>f05e4f79-7f38-4042-b6c0-6ad775a0eb19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21CE3BB3</paraID>
      <start>0</start>
      <end>3</end>
      <status>unmodified</status>
      <modifiedWord/>
      <trackRevisions>false</trackRevisions>
    </reviewItem>
    <reviewItem>
      <errorID>e9bfe332-0860-4aaa-b60d-a8fa3c522555</errorID>
      <errorWord>(</errorWord>
      <group>L1_Format</group>
      <groupName>格式问题</groupName>
      <ability>L2_HalfPunc</ability>
      <abilityName>全半角检查</abilityName>
      <candidateList>
        <item>（</item>
      </candidateList>
      <explain>文本全半角错误。</explain>
      <paraID>25D38598</paraID>
      <start>76</start>
      <end>77</end>
      <status>unmodified</status>
      <modifiedWord/>
      <trackRevisions>false</trackRevisions>
    </reviewItem>
    <reviewItem>
      <errorID>6a8bbb98-32a3-4746-9eb3-0e1106bdcb42</errorID>
      <errorWord>)</errorWord>
      <group>L1_Format</group>
      <groupName>格式问题</groupName>
      <ability>L2_HalfPunc</ability>
      <abilityName>全半角检查</abilityName>
      <candidateList>
        <item>）</item>
      </candidateList>
      <explain>文本全半角错误。</explain>
      <paraID>25D38598</paraID>
      <start>82</start>
      <end>83</end>
      <status>unmodified</status>
      <modifiedWord/>
      <trackRevisions>false</trackRevisions>
    </reviewItem>
    <reviewItem>
      <errorID>d4458839-3d70-4a66-90d0-5598b12e4cc7</errorID>
      <errorWord>(</errorWord>
      <group>L1_Format</group>
      <groupName>格式问题</groupName>
      <ability>L2_HalfPunc</ability>
      <abilityName>全半角检查</abilityName>
      <candidateList>
        <item>（</item>
      </candidateList>
      <explain>文本全半角错误。</explain>
      <paraID>755A4E1B</paraID>
      <start>45</start>
      <end>46</end>
      <status>unmodified</status>
      <modifiedWord/>
      <trackRevisions>false</trackRevisions>
    </reviewItem>
    <reviewItem>
      <errorID>e3ab2d08-88c5-4321-b6a2-8eec7c9aedc2</errorID>
      <errorWord>)</errorWord>
      <group>L1_Format</group>
      <groupName>格式问题</groupName>
      <ability>L2_HalfPunc</ability>
      <abilityName>全半角检查</abilityName>
      <candidateList>
        <item>）</item>
      </candidateList>
      <explain>文本全半角错误。</explain>
      <paraID>755A4E1B</paraID>
      <start>58</start>
      <end>59</end>
      <status>unmodified</status>
      <modifiedWord/>
      <trackRevisions>false</trackRevisions>
    </reviewItem>
    <reviewItem>
      <errorID>798fa5d7-9747-416f-8bf5-6fc4a769ed2a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6C134AE2</paraID>
      <start>0</start>
      <end>3</end>
      <status>unmodified</status>
      <modifiedWord/>
      <trackRevisions>false</trackRevisions>
    </reviewItem>
    <reviewItem>
      <errorID>b2aa6681-c199-4259-83d2-082040d30bd1</errorID>
      <errorWord>(</errorWord>
      <group>L1_Format</group>
      <groupName>格式问题</groupName>
      <ability>L2_HalfPunc</ability>
      <abilityName>全半角检查</abilityName>
      <candidateList>
        <item>（</item>
      </candidateList>
      <explain>文本全半角错误。</explain>
      <paraID> DBE43A4</paraID>
      <start>19</start>
      <end>20</end>
      <status>unmodified</status>
      <modifiedWord/>
      <trackRevisions>false</trackRevisions>
    </reviewItem>
    <reviewItem>
      <errorID>abb3d416-b777-431a-926d-b8c1a5860715</errorID>
      <errorWord>)</errorWord>
      <group>L1_Format</group>
      <groupName>格式问题</groupName>
      <ability>L2_HalfPunc</ability>
      <abilityName>全半角检查</abilityName>
      <candidateList>
        <item>）</item>
      </candidateList>
      <explain>文本全半角错误。</explain>
      <paraID> DBE43A4</paraID>
      <start>30</start>
      <end>31</end>
      <status>unmodified</status>
      <modifiedWord/>
      <trackRevisions>false</trackRevisions>
    </reviewItem>
    <reviewItem>
      <errorID>c75d48db-76ea-4381-9bc1-1b11f441a75b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DBE43A4</paraID>
      <start>71</start>
      <end>72</end>
      <status>unmodified</status>
      <modifiedWord/>
      <trackRevisions>false</trackRevisions>
    </reviewItem>
    <reviewItem>
      <errorID>4ec40e4b-79ed-4e07-a3dc-f12e40c22ac1</errorID>
      <errorWord>(</errorWord>
      <group>L1_Format</group>
      <groupName>格式问题</groupName>
      <ability>L2_HalfPunc</ability>
      <abilityName>全半角检查</abilityName>
      <candidateList>
        <item>（</item>
      </candidateList>
      <explain>文本全半角错误。</explain>
      <paraID> DBE43A4</paraID>
      <start>122</start>
      <end>123</end>
      <status>unmodified</status>
      <modifiedWord/>
      <trackRevisions>false</trackRevisions>
    </reviewItem>
    <reviewItem>
      <errorID>feeb1766-ec7e-4f72-ad3c-cce45435d7a2</errorID>
      <errorWord>)</errorWord>
      <group>L1_Format</group>
      <groupName>格式问题</groupName>
      <ability>L2_HalfPunc</ability>
      <abilityName>全半角检查</abilityName>
      <candidateList>
        <item>）</item>
      </candidateList>
      <explain>文本全半角错误。</explain>
      <paraID> DBE43A4</paraID>
      <start>135</start>
      <end>136</end>
      <status>unmodified</status>
      <modifiedWord/>
      <trackRevisions>false</trackRevisions>
    </reviewItem>
    <reviewItem>
      <errorID>9b6c6652-3b21-4713-babf-a61ec3bf1b00</errorID>
      <errorWord>(</errorWord>
      <group>L1_Format</group>
      <groupName>格式问题</groupName>
      <ability>L2_HalfPunc</ability>
      <abilityName>全半角检查</abilityName>
      <candidateList>
        <item>（</item>
      </candidateList>
      <explain>文本全半角错误。</explain>
      <paraID>5A7D5E3C</paraID>
      <start>19</start>
      <end>20</end>
      <status>unmodified</status>
      <modifiedWord/>
      <trackRevisions>false</trackRevisions>
    </reviewItem>
    <reviewItem>
      <errorID>4a572c78-90d2-4778-b97f-008c3427e529</errorID>
      <errorWord>)</errorWord>
      <group>L1_Format</group>
      <groupName>格式问题</groupName>
      <ability>L2_HalfPunc</ability>
      <abilityName>全半角检查</abilityName>
      <candidateList>
        <item>）</item>
      </candidateList>
      <explain>文本全半角错误。</explain>
      <paraID>5A7D5E3C</paraID>
      <start>30</start>
      <end>31</end>
      <status>unmodified</status>
      <modifiedWord/>
      <trackRevisions>false</trackRevisions>
    </reviewItem>
    <reviewItem>
      <errorID>e940bde0-a522-41bc-9d38-e9a51eaa9e15</errorID>
      <errorWord>)</errorWord>
      <group>L1_Format</group>
      <groupName>格式问题</groupName>
      <ability>L2_HalfPunc</ability>
      <abilityName>全半角检查</abilityName>
      <candidateList>
        <item>）</item>
      </candidateList>
      <explain>文本全半角错误。</explain>
      <paraID>66238CC5</paraID>
      <start>52</start>
      <end>53</end>
      <status>unmodified</status>
      <modifiedWord/>
      <trackRevisions>false</trackRevisions>
    </reviewItem>
    <reviewItem>
      <errorID>57c34a79-4424-4e2d-af4f-4cbe61562685</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77C4FD24</paraID>
      <start>40</start>
      <end>41</end>
      <status>unmodified</status>
      <modifiedWord/>
      <trackRevisions>false</trackRevisions>
    </reviewItem>
    <reviewItem>
      <errorID>0e9637c5-9e02-44d5-ad9b-e2239f79f901</errorID>
      <errorWord>(</errorWord>
      <group>L1_Format</group>
      <groupName>格式问题</groupName>
      <ability>L2_HalfPunc</ability>
      <abilityName>全半角检查</abilityName>
      <candidateList>
        <item>（</item>
      </candidateList>
      <explain>文本全半角错误。</explain>
      <paraID>6D6838E5</paraID>
      <start>46</start>
      <end>47</end>
      <status>unmodified</status>
      <modifiedWord/>
      <trackRevisions>false</trackRevisions>
    </reviewItem>
    <reviewItem>
      <errorID>8b6a2d31-830c-45d7-802d-75a559e133b7</errorID>
      <errorWord>)</errorWord>
      <group>L1_Format</group>
      <groupName>格式问题</groupName>
      <ability>L2_HalfPunc</ability>
      <abilityName>全半角检查</abilityName>
      <candidateList>
        <item>）</item>
      </candidateList>
      <explain>文本全半角错误。</explain>
      <paraID>6D6838E5</paraID>
      <start>57</start>
      <end>58</end>
      <status>unmodified</status>
      <modifiedWord/>
      <trackRevisions>false</trackRevisions>
    </reviewItem>
    <reviewItem>
      <errorID>70c8e80d-9f54-4690-9ccf-a716808cec26</errorID>
      <errorWord>-</errorWord>
      <group>L1_Format</group>
      <groupName>格式问题</groupName>
      <ability>L2_HalfPunc</ability>
      <abilityName>全半角检查</abilityName>
      <candidateList>
        <item>－</item>
      </candidateList>
      <explain>文本全半角错误。</explain>
      <paraID>7CC46CE7</paraID>
      <start>9</start>
      <end>10</end>
      <status>unmodified</status>
      <modifiedWord/>
      <trackRevisions>false</trackRevisions>
    </reviewItem>
    <reviewItem>
      <errorID>93f33425-5fa6-4184-aea6-1114178666dc</errorID>
      <errorWord>-</errorWord>
      <group>L1_Format</group>
      <groupName>格式问题</groupName>
      <ability>L2_HalfPunc</ability>
      <abilityName>全半角检查</abilityName>
      <candidateList>
        <item>－</item>
      </candidateList>
      <explain>文本全半角错误。</explain>
      <paraID>7CC46CE7</paraID>
      <start>12</start>
      <end>13</end>
      <status>unmodified</status>
      <modifiedWord/>
      <trackRevisions>false</trackRevisions>
    </reviewItem>
    <reviewItem>
      <errorID>02cd8985-3c8b-45a6-b7c7-a1eb631b0211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7921768B</paraID>
      <start>0</start>
      <end>2</end>
      <status>unmodified</status>
      <modifiedWord/>
      <trackRevisions>false</trackRevisions>
    </reviewItem>
    <reviewItem>
      <errorID>717ade49-eebe-4727-9032-308f6e5fa3ea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26B77A4A</paraID>
      <start>0</start>
      <end>2</end>
      <status>unmodified</status>
      <modifiedWord/>
      <trackRevisions>false</trackRevisions>
    </reviewItem>
    <reviewItem>
      <errorID>17713a8d-d44a-4274-8024-7cd5b8546a3d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45BDF10E</paraID>
      <start>0</start>
      <end>2</end>
      <status>unmodified</status>
      <modifiedWord/>
      <trackRevisions>false</trackRevisions>
    </reviewItem>
    <reviewItem>
      <errorID>b1cd83da-4a0f-4c33-b2b0-5416b21c2580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70AFE1E2</paraID>
      <start>0</start>
      <end>2</end>
      <status>unmodified</status>
      <modifiedWord/>
      <trackRevisions>false</trackRevisions>
    </reviewItem>
    <reviewItem>
      <errorID>49a1fa6e-d941-4f34-99ea-9a442aa2c3e2</errorID>
      <errorWord>转输</errorWord>
      <group>L1_Word</group>
      <groupName>字词问题</groupName>
      <ability>L2_Typo</ability>
      <abilityName>字词错误</abilityName>
      <candidateList>
        <item>传输</item>
      </candidateList>
      <explain>存在发音相同字词的误用。</explain>
      <paraID>5C6BF521</paraID>
      <start>10</start>
      <end>12</end>
      <status>unmodified</status>
      <modifiedWord/>
      <trackRevisions>false</trackRevisions>
    </reviewItem>
    <reviewItem>
      <errorID>407feae0-c91e-4d10-93c9-60f34b55c6b6</errorID>
      <errorWord>。</errorWord>
      <group>L1_Format</group>
      <groupName>格式问题</groupName>
      <ability>L2_HalfPunc</ability>
      <abilityName>全半角检查</abilityName>
      <candidateList>
        <item>.</item>
      </candidateList>
      <explain>文本全半角错误。</explain>
      <paraID>18510F4D</paraID>
      <start>6</start>
      <end>7</end>
      <status>unmodified</status>
      <modifiedWord/>
      <trackRevisions>false</trackRevisions>
    </reviewItem>
    <reviewItem>
      <errorID>3daec7c3-e2ee-4a0f-ba80-4e53a92c84ab</errorID>
      <errorWord>(</errorWord>
      <group>L1_Format</group>
      <groupName>格式问题</groupName>
      <ability>L2_HalfPunc</ability>
      <abilityName>全半角检查</abilityName>
      <candidateList>
        <item>（</item>
      </candidateList>
      <explain>文本全半角错误。</explain>
      <paraID>6A634C0C</paraID>
      <start>24</start>
      <end>25</end>
      <status>unmodified</status>
      <modifiedWord/>
      <trackRevisions>false</trackRevisions>
    </reviewItem>
    <reviewItem>
      <errorID>18834b6a-64c4-4eb8-ad3c-9d473ec3a64e</errorID>
      <errorWord>(</errorWord>
      <group>L1_Format</group>
      <groupName>格式问题</groupName>
      <ability>L2_HalfPunc</ability>
      <abilityName>全半角检查</abilityName>
      <candidateList>
        <item>（</item>
      </candidateList>
      <explain>文本全半角错误。</explain>
      <paraID>6C7FD923</paraID>
      <start>3</start>
      <end>4</end>
      <status>unmodified</status>
      <modifiedWord/>
      <trackRevisions>false</trackRevisions>
    </reviewItem>
    <reviewItem>
      <errorID>850a31c0-b9f1-4bbf-8d29-681d267be2c1</errorID>
      <errorWord>)</errorWord>
      <group>L1_Format</group>
      <groupName>格式问题</groupName>
      <ability>L2_HalfPunc</ability>
      <abilityName>全半角检查</abilityName>
      <candidateList>
        <item>）</item>
      </candidateList>
      <explain>文本全半角错误。</explain>
      <paraID>6C7FD923</paraID>
      <start>9</start>
      <end>10</end>
      <status>unmodified</status>
      <modifiedWord/>
      <trackRevisions>false</trackRevisions>
    </reviewItem>
    <reviewItem>
      <errorID>084b1918-ea66-44e2-8e51-9f85b27f57c6</errorID>
      <errorWord>(</errorWord>
      <group>L1_Format</group>
      <groupName>格式问题</groupName>
      <ability>L2_HalfPunc</ability>
      <abilityName>全半角检查</abilityName>
      <candidateList>
        <item>（</item>
      </candidateList>
      <explain>文本全半角错误。</explain>
      <paraID>118FC6E2</paraID>
      <start>10</start>
      <end>11</end>
      <status>unmodified</status>
      <modifiedWord/>
      <trackRevisions>false</trackRevisions>
    </reviewItem>
    <reviewItem>
      <errorID>16e050c1-7de0-40c7-8331-3b3b643844d6</errorID>
      <errorWord>)</errorWord>
      <group>L1_Format</group>
      <groupName>格式问题</groupName>
      <ability>L2_HalfPunc</ability>
      <abilityName>全半角检查</abilityName>
      <candidateList>
        <item>）</item>
      </candidateList>
      <explain>文本全半角错误。</explain>
      <paraID>118FC6E2</paraID>
      <start>22</start>
      <end>23</end>
      <status>unmodified</status>
      <modifiedWord/>
      <trackRevisions>false</trackRevisions>
    </reviewItem>
    <reviewItem>
      <errorID>6c85f737-ca2c-430e-8857-f8121d98435a</errorID>
      <errorWord>(</errorWord>
      <group>L1_Format</group>
      <groupName>格式问题</groupName>
      <ability>L2_HalfPunc</ability>
      <abilityName>全半角检查</abilityName>
      <candidateList>
        <item>（</item>
      </candidateList>
      <explain>文本全半角错误。</explain>
      <paraID>118FC6E2</paraID>
      <start>54</start>
      <end>55</end>
      <status>unmodified</status>
      <modifiedWord/>
      <trackRevisions>false</trackRevisions>
    </reviewItem>
    <reviewItem>
      <errorID>c979c028-cb11-4635-aa75-44030e484a6e</errorID>
      <errorWord>)</errorWord>
      <group>L1_Format</group>
      <groupName>格式问题</groupName>
      <ability>L2_HalfPunc</ability>
      <abilityName>全半角检查</abilityName>
      <candidateList>
        <item>）</item>
      </candidateList>
      <explain>文本全半角错误。</explain>
      <paraID>118FC6E2</paraID>
      <start>69</start>
      <end>70</end>
      <status>unmodified</status>
      <modifiedWord/>
      <trackRevisions>false</trackRevisions>
    </reviewItem>
    <reviewItem>
      <errorID>a2f88e39-2081-4d66-a6f9-4af4e94cf752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6185C399</paraID>
      <start>0</start>
      <end>2</end>
      <status>unmodified</status>
      <modifiedWord/>
      <trackRevisions>false</trackRevisions>
    </reviewItem>
    <reviewItem>
      <errorID>2b1683ba-bb67-477d-afea-146df87f400f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63AD9E1F</paraID>
      <start>0</start>
      <end>2</end>
      <status>unmodified</status>
      <modifiedWord/>
      <trackRevisions>false</trackRevisions>
    </reviewItem>
    <reviewItem>
      <errorID>630f0fce-4600-4abb-90ca-7876f1b0a29f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1697E76D</paraID>
      <start>0</start>
      <end>2</end>
      <status>unmodified</status>
      <modifiedWord/>
      <trackRevisions>false</trackRevisions>
    </reviewItem>
    <reviewItem>
      <errorID>22e0c640-949c-456d-94d4-f0f7a993a70c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1D3DE35E</paraID>
      <start>0</start>
      <end>2</end>
      <status>unmodified</status>
      <modifiedWord/>
      <trackRevisions>false</trackRevisions>
    </reviewItem>
    <reviewItem>
      <errorID>8fba2997-575b-4f80-b6f8-dfcb24a59160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6A48572D</paraID>
      <start>0</start>
      <end>2</end>
      <status>unmodified</status>
      <modifiedWord/>
      <trackRevisions>false</trackRevisions>
    </reviewItem>
    <reviewItem>
      <errorID>ef7a7893-f114-401e-9cc9-d65b16deb19a</errorID>
      <errorWord>(</errorWord>
      <group>L1_Format</group>
      <groupName>格式问题</groupName>
      <ability>L2_HalfPunc</ability>
      <abilityName>全半角检查</abilityName>
      <candidateList>
        <item>（</item>
      </candidateList>
      <explain>文本全半角错误。</explain>
      <paraID>1E38173D</paraID>
      <start>52</start>
      <end>53</end>
      <status>unmodified</status>
      <modifiedWord/>
      <trackRevisions>false</trackRevisions>
    </reviewItem>
    <reviewItem>
      <errorID>749e7211-e22f-4551-b689-a51cea9d45ec</errorID>
      <errorWord>)</errorWord>
      <group>L1_Format</group>
      <groupName>格式问题</groupName>
      <ability>L2_HalfPunc</ability>
      <abilityName>全半角检查</abilityName>
      <candidateList>
        <item>）</item>
      </candidateList>
      <explain>文本全半角错误。</explain>
      <paraID>1E38173D</paraID>
      <start>65</start>
      <end>66</end>
      <status>unmodified</status>
      <modifiedWord/>
      <trackRevisions>false</trackRevisions>
    </reviewItem>
    <reviewItem>
      <errorID>88f9ac2d-5ae6-48be-bb03-cef25c550229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2B2C651A</paraID>
      <start>0</start>
      <end>2</end>
      <status>unmodified</status>
      <modifiedWord/>
      <trackRevisions>false</trackRevisions>
    </reviewItem>
    <reviewItem>
      <errorID>d911b3c6-d2df-4889-b735-69387b57289f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6EFFCB39</paraID>
      <start>0</start>
      <end>2</end>
      <status>unmodified</status>
      <modifiedWord/>
      <trackRevisions>false</trackRevisions>
    </reviewItem>
    <reviewItem>
      <errorID>049e1f29-417d-4ece-9014-640f9816b54c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28C95792</paraID>
      <start>0</start>
      <end>2</end>
      <status>unmodified</status>
      <modifiedWord/>
      <trackRevisions>false</trackRevisions>
    </reviewItem>
    <reviewItem>
      <errorID>2cfa4c37-1f7a-45ff-b5c4-fecbfd958cc8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4F3142D8</paraID>
      <start>0</start>
      <end>2</end>
      <status>unmodified</status>
      <modifiedWord/>
      <trackRevisions>false</trackRevisions>
    </reviewItem>
    <reviewItem>
      <errorID>ddc164ba-e3cd-4d03-997a-2eb8a0ac33a0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2AB59A9D</paraID>
      <start>0</start>
      <end>2</end>
      <status>unmodified</status>
      <modifiedWord/>
      <trackRevisions>false</trackRevisions>
    </reviewItem>
    <reviewItem>
      <errorID>6ca41110-c537-4cad-ad42-2b2269add686</errorID>
      <errorWord>[2017]4号</errorWord>
      <group>L1_Knowledge</group>
      <groupName>知识性问题</groupName>
      <ability>L2_Knowledge</ability>
      <abilityName>其他知识</abilityName>
      <candidateList>
        <item>〔2017〕4号</item>
      </candidateList>
      <explain>发文字号格式错误。</explain>
      <paraID>1545101D</paraID>
      <start>48</start>
      <end>56</end>
      <status>unmodified</status>
      <modifiedWord/>
      <trackRevisions>false</trackRevisions>
    </reviewItem>
    <reviewItem>
      <errorID>6312bbda-16ba-45e1-ad58-1f1eff7651ec</errorID>
      <errorWord>;</errorWord>
      <group>L1_Format</group>
      <groupName>格式问题</groupName>
      <ability>L2_HalfPunc</ability>
      <abilityName>全半角检查</abilityName>
      <candidateList>
        <item>；</item>
      </candidateList>
      <explain>文本全半角错误。</explain>
      <paraID>1E5BA67B</paraID>
      <start>110</start>
      <end>111</end>
      <status>unmodified</status>
      <modifiedWord/>
      <trackRevisions>false</trackRevisions>
    </reviewItem>
    <reviewItem>
      <errorID>c73482a2-ebfe-4a7c-ab49-8f926195ebcb</errorID>
      <errorWord>;</errorWord>
      <group>L1_Format</group>
      <groupName>格式问题</groupName>
      <ability>L2_HalfPunc</ability>
      <abilityName>全半角检查</abilityName>
      <candidateList>
        <item>；</item>
      </candidateList>
      <explain>文本全半角错误。</explain>
      <paraID>1E5BA67B</paraID>
      <start>147</start>
      <end>148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b81a52-46e1-4ebe-8e8f-12f4aa74f955}">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118</Pages>
  <Words>70929</Words>
  <Characters>82386</Characters>
  <Lines>764</Lines>
  <Paragraphs>215</Paragraphs>
  <TotalTime>12</TotalTime>
  <ScaleCrop>false</ScaleCrop>
  <LinksUpToDate>false</LinksUpToDate>
  <CharactersWithSpaces>83209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2024-01-21T12:33:00Z</dcterms:created>
  <dc:creator>lhj</dc:creator>
  <cp:lastModifiedBy>刘润泉</cp:lastModifiedBy>
  <cp:lastPrinted>2024-02-25T08:07:00Z</cp:lastPrinted>
  <dcterms:modified xsi:type="dcterms:W3CDTF">2026-05-15T03:49:15Z</dcterms:modified>
  <dc:title>附件2</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C0E42D2CDCB34A3182742992BB1B1366_13</vt:lpwstr>
  </property>
  <property fmtid="{D5CDD505-2E9C-101B-9397-08002B2CF9AE}" pid="4" name="KSOTemplateDocerSaveRecord">
    <vt:lpwstr>eyJoZGlkIjoiOTI2M2VlN2MyZWFhY2VlYjJlYzkwNDYxYWEzOGRlZGYiLCJ1c2VySWQiOiIxNTI5Mjc5MTUzIn0=</vt:lpwstr>
  </property>
</Properties>
</file>