
<file path=[Content_Types].xml><?xml version="1.0" encoding="utf-8"?>
<Types xmlns="http://schemas.openxmlformats.org/package/2006/content-types">
  <Default Extension="xml" ContentType="application/xml"/>
  <Default Extension="jpeg" ContentType="image/jpeg"/>
  <Default Extension="JPG" ContentType="image/.jpg"/>
  <Default Extension="wmf" ContentType="image/x-wmf"/>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D8363">
      <w:pPr>
        <w:rPr>
          <w:rFonts w:eastAsia="仿宋_GB2312" w:cs="仿宋_GB2312" w:asciiTheme="minorHAnsi" w:hAnsiTheme="minorHAnsi"/>
          <w:color w:val="000000" w:themeColor="text1"/>
          <w:sz w:val="36"/>
          <w:szCs w:val="36"/>
          <w:highlight w:val="none"/>
          <w14:textFill>
            <w14:solidFill>
              <w14:schemeClr w14:val="tx1"/>
            </w14:solidFill>
          </w14:textFill>
        </w:rPr>
      </w:pPr>
    </w:p>
    <w:p w14:paraId="47B6511B">
      <w:pPr>
        <w:rPr>
          <w:rFonts w:ascii="仿宋_GB2312" w:hAnsi="仿宋_GB2312" w:eastAsia="仿宋_GB2312" w:cs="仿宋_GB2312"/>
          <w:color w:val="000000" w:themeColor="text1"/>
          <w:sz w:val="36"/>
          <w:szCs w:val="36"/>
          <w:highlight w:val="none"/>
          <w14:textFill>
            <w14:solidFill>
              <w14:schemeClr w14:val="tx1"/>
            </w14:solidFill>
          </w14:textFill>
        </w:rPr>
      </w:pPr>
    </w:p>
    <w:p w14:paraId="38525CC4">
      <w:pPr>
        <w:rPr>
          <w:rFonts w:ascii="仿宋_GB2312" w:hAnsi="仿宋_GB2312" w:eastAsia="仿宋_GB2312" w:cs="仿宋_GB2312"/>
          <w:color w:val="000000" w:themeColor="text1"/>
          <w:sz w:val="36"/>
          <w:szCs w:val="36"/>
          <w:highlight w:val="none"/>
          <w14:textFill>
            <w14:solidFill>
              <w14:schemeClr w14:val="tx1"/>
            </w14:solidFill>
          </w14:textFill>
        </w:rPr>
      </w:pPr>
    </w:p>
    <w:p w14:paraId="4ABD8A84">
      <w:pPr>
        <w:rPr>
          <w:rFonts w:ascii="仿宋_GB2312" w:hAnsi="仿宋_GB2312" w:eastAsia="仿宋_GB2312" w:cs="仿宋_GB2312"/>
          <w:color w:val="000000" w:themeColor="text1"/>
          <w:sz w:val="36"/>
          <w:szCs w:val="36"/>
          <w:highlight w:val="none"/>
          <w14:textFill>
            <w14:solidFill>
              <w14:schemeClr w14:val="tx1"/>
            </w14:solidFill>
          </w14:textFill>
        </w:rPr>
      </w:pPr>
    </w:p>
    <w:p w14:paraId="6477D673">
      <w:pPr>
        <w:rPr>
          <w:rFonts w:ascii="仿宋_GB2312" w:hAnsi="仿宋_GB2312" w:eastAsia="仿宋_GB2312" w:cs="仿宋_GB2312"/>
          <w:color w:val="000000" w:themeColor="text1"/>
          <w:sz w:val="36"/>
          <w:szCs w:val="36"/>
          <w:highlight w:val="none"/>
          <w14:textFill>
            <w14:solidFill>
              <w14:schemeClr w14:val="tx1"/>
            </w14:solidFill>
          </w14:textFill>
        </w:rPr>
      </w:pPr>
    </w:p>
    <w:p w14:paraId="646AD437">
      <w:pPr>
        <w:adjustRightInd w:val="0"/>
        <w:snapToGrid w:val="0"/>
        <w:jc w:val="center"/>
        <w:outlineLvl w:val="9"/>
        <w:rPr>
          <w:rFonts w:ascii="方正小标宋_GBK" w:eastAsia="方正小标宋_GBK"/>
          <w:bCs/>
          <w:color w:val="000000" w:themeColor="text1"/>
          <w:sz w:val="72"/>
          <w:szCs w:val="72"/>
          <w:highlight w:val="none"/>
          <w14:textFill>
            <w14:solidFill>
              <w14:schemeClr w14:val="tx1"/>
            </w14:solidFill>
          </w14:textFill>
        </w:rPr>
      </w:pPr>
      <w:bookmarkStart w:id="0" w:name="_Toc157420305"/>
      <w:bookmarkStart w:id="1" w:name="_Toc156760325"/>
      <w:bookmarkStart w:id="2" w:name="_Toc160740661"/>
      <w:bookmarkStart w:id="3" w:name="_Toc156761737"/>
      <w:r>
        <w:rPr>
          <w:rFonts w:hint="eastAsia" w:ascii="方正小标宋_GBK" w:eastAsia="方正小标宋_GBK"/>
          <w:bCs/>
          <w:color w:val="000000" w:themeColor="text1"/>
          <w:sz w:val="72"/>
          <w:szCs w:val="72"/>
          <w:highlight w:val="none"/>
          <w14:textFill>
            <w14:solidFill>
              <w14:schemeClr w14:val="tx1"/>
            </w14:solidFill>
          </w14:textFill>
        </w:rPr>
        <w:t>建设项目环境影响报告表</w:t>
      </w:r>
      <w:bookmarkEnd w:id="0"/>
      <w:bookmarkEnd w:id="1"/>
      <w:bookmarkEnd w:id="2"/>
      <w:bookmarkEnd w:id="3"/>
    </w:p>
    <w:p w14:paraId="715C2508">
      <w:pPr>
        <w:adjustRightInd w:val="0"/>
        <w:snapToGrid w:val="0"/>
        <w:spacing w:before="192" w:beforeLines="80"/>
        <w:jc w:val="center"/>
        <w:rPr>
          <w:rFonts w:ascii="楷体_GB2312" w:eastAsia="楷体_GB2312"/>
          <w:bCs/>
          <w:color w:val="000000" w:themeColor="text1"/>
          <w:sz w:val="48"/>
          <w:szCs w:val="48"/>
          <w:highlight w:val="none"/>
          <w14:textFill>
            <w14:solidFill>
              <w14:schemeClr w14:val="tx1"/>
            </w14:solidFill>
          </w14:textFill>
        </w:rPr>
      </w:pPr>
      <w:r>
        <w:rPr>
          <w:rFonts w:hint="eastAsia" w:ascii="楷体_GB2312" w:eastAsia="楷体_GB2312"/>
          <w:bCs/>
          <w:color w:val="000000" w:themeColor="text1"/>
          <w:sz w:val="48"/>
          <w:szCs w:val="48"/>
          <w:highlight w:val="none"/>
          <w14:textFill>
            <w14:solidFill>
              <w14:schemeClr w14:val="tx1"/>
            </w14:solidFill>
          </w14:textFill>
        </w:rPr>
        <w:t>（污染影响类）</w:t>
      </w:r>
    </w:p>
    <w:p w14:paraId="7705A90D">
      <w:pPr>
        <w:adjustRightInd w:val="0"/>
        <w:snapToGrid w:val="0"/>
        <w:spacing w:before="192" w:beforeLines="80"/>
        <w:jc w:val="center"/>
        <w:rPr>
          <w:rFonts w:ascii="楷体_GB2312" w:eastAsia="楷体_GB2312"/>
          <w:bCs/>
          <w:color w:val="000000" w:themeColor="text1"/>
          <w:sz w:val="48"/>
          <w:szCs w:val="48"/>
          <w:highlight w:val="none"/>
          <w14:textFill>
            <w14:solidFill>
              <w14:schemeClr w14:val="tx1"/>
            </w14:solidFill>
          </w14:textFill>
        </w:rPr>
      </w:pPr>
      <w:r>
        <w:rPr>
          <w:rFonts w:hint="eastAsia" w:ascii="楷体_GB2312" w:eastAsia="楷体_GB2312"/>
          <w:bCs/>
          <w:color w:val="000000" w:themeColor="text1"/>
          <w:sz w:val="48"/>
          <w:szCs w:val="48"/>
          <w:highlight w:val="none"/>
          <w14:textFill>
            <w14:solidFill>
              <w14:schemeClr w14:val="tx1"/>
            </w14:solidFill>
          </w14:textFill>
        </w:rPr>
        <w:t>（</w:t>
      </w:r>
      <w:r>
        <w:rPr>
          <w:rFonts w:hint="eastAsia" w:ascii="楷体_GB2312" w:eastAsia="楷体_GB2312"/>
          <w:bCs/>
          <w:color w:val="000000" w:themeColor="text1"/>
          <w:sz w:val="48"/>
          <w:szCs w:val="48"/>
          <w:highlight w:val="none"/>
          <w:lang w:val="en-US" w:eastAsia="zh-CN"/>
          <w14:textFill>
            <w14:solidFill>
              <w14:schemeClr w14:val="tx1"/>
            </w14:solidFill>
          </w14:textFill>
        </w:rPr>
        <w:t>公示版</w:t>
      </w:r>
      <w:r>
        <w:rPr>
          <w:rFonts w:hint="eastAsia" w:ascii="楷体_GB2312" w:eastAsia="楷体_GB2312"/>
          <w:bCs/>
          <w:color w:val="000000" w:themeColor="text1"/>
          <w:sz w:val="48"/>
          <w:szCs w:val="48"/>
          <w:highlight w:val="none"/>
          <w14:textFill>
            <w14:solidFill>
              <w14:schemeClr w14:val="tx1"/>
            </w14:solidFill>
          </w14:textFill>
        </w:rPr>
        <w:t>）</w:t>
      </w:r>
    </w:p>
    <w:p w14:paraId="2F334F62">
      <w:pPr>
        <w:jc w:val="center"/>
        <w:rPr>
          <w:rFonts w:eastAsia="仿宋"/>
          <w:color w:val="000000" w:themeColor="text1"/>
          <w:sz w:val="52"/>
          <w:szCs w:val="52"/>
          <w:highlight w:val="none"/>
          <w14:textFill>
            <w14:solidFill>
              <w14:schemeClr w14:val="tx1"/>
            </w14:solidFill>
          </w14:textFill>
        </w:rPr>
      </w:pPr>
    </w:p>
    <w:p w14:paraId="5E793F96">
      <w:pPr>
        <w:ind w:firstLine="1040"/>
        <w:rPr>
          <w:rFonts w:eastAsia="仿宋"/>
          <w:color w:val="000000" w:themeColor="text1"/>
          <w:sz w:val="44"/>
          <w:szCs w:val="44"/>
          <w:highlight w:val="none"/>
          <w14:textFill>
            <w14:solidFill>
              <w14:schemeClr w14:val="tx1"/>
            </w14:solidFill>
          </w14:textFill>
        </w:rPr>
      </w:pPr>
    </w:p>
    <w:p w14:paraId="6C89474A">
      <w:pPr>
        <w:ind w:firstLine="1040"/>
        <w:rPr>
          <w:rFonts w:eastAsia="仿宋"/>
          <w:color w:val="000000" w:themeColor="text1"/>
          <w:sz w:val="44"/>
          <w:szCs w:val="44"/>
          <w:highlight w:val="none"/>
          <w14:textFill>
            <w14:solidFill>
              <w14:schemeClr w14:val="tx1"/>
            </w14:solidFill>
          </w14:textFill>
        </w:rPr>
      </w:pPr>
    </w:p>
    <w:p w14:paraId="6980CE01">
      <w:pPr>
        <w:ind w:firstLine="1040"/>
        <w:rPr>
          <w:rFonts w:eastAsia="仿宋"/>
          <w:color w:val="000000" w:themeColor="text1"/>
          <w:sz w:val="44"/>
          <w:szCs w:val="44"/>
          <w:highlight w:val="none"/>
          <w14:textFill>
            <w14:solidFill>
              <w14:schemeClr w14:val="tx1"/>
            </w14:solidFill>
          </w14:textFill>
        </w:rPr>
      </w:pPr>
    </w:p>
    <w:p w14:paraId="0D6BDA67">
      <w:pPr>
        <w:ind w:firstLine="1040"/>
        <w:rPr>
          <w:rFonts w:eastAsia="仿宋"/>
          <w:color w:val="000000" w:themeColor="text1"/>
          <w:sz w:val="44"/>
          <w:szCs w:val="44"/>
          <w:highlight w:val="none"/>
          <w14:textFill>
            <w14:solidFill>
              <w14:schemeClr w14:val="tx1"/>
            </w14:solidFill>
          </w14:textFill>
        </w:rPr>
      </w:pPr>
    </w:p>
    <w:p w14:paraId="7DA65351">
      <w:pPr>
        <w:adjustRightInd w:val="0"/>
        <w:snapToGrid w:val="0"/>
        <w:spacing w:line="288" w:lineRule="auto"/>
        <w:rPr>
          <w:rFonts w:ascii="仿宋_GB2312" w:eastAsia="仿宋_GB2312"/>
          <w:color w:val="000000" w:themeColor="text1"/>
          <w:sz w:val="36"/>
          <w:szCs w:val="36"/>
          <w:highlight w:val="none"/>
          <w:u w:val="single"/>
          <w14:textFill>
            <w14:solidFill>
              <w14:schemeClr w14:val="tx1"/>
            </w14:solidFill>
          </w14:textFill>
        </w:rPr>
      </w:pPr>
      <w:r>
        <w:rPr>
          <w:rFonts w:hint="eastAsia" w:ascii="仿宋_GB2312" w:eastAsia="仿宋_GB2312"/>
          <w:color w:val="000000" w:themeColor="text1"/>
          <w:spacing w:val="-11"/>
          <w:sz w:val="36"/>
          <w:szCs w:val="36"/>
          <w:highlight w:val="none"/>
          <w14:textFill>
            <w14:solidFill>
              <w14:schemeClr w14:val="tx1"/>
            </w14:solidFill>
          </w14:textFill>
        </w:rPr>
        <w:t>项目名称：</w:t>
      </w:r>
      <w:r>
        <w:rPr>
          <w:rFonts w:hint="eastAsia" w:ascii="仿宋_GB2312" w:eastAsia="仿宋_GB2312"/>
          <w:color w:val="000000" w:themeColor="text1"/>
          <w:spacing w:val="-11"/>
          <w:sz w:val="36"/>
          <w:szCs w:val="36"/>
          <w:highlight w:val="none"/>
          <w:u w:val="single"/>
          <w:lang w:eastAsia="zh-CN"/>
          <w14:textFill>
            <w14:solidFill>
              <w14:schemeClr w14:val="tx1"/>
            </w14:solidFill>
          </w14:textFill>
        </w:rPr>
        <w:t>至期超精密光学元器件研发生产基地项目(三期)</w:t>
      </w:r>
    </w:p>
    <w:p w14:paraId="70D74994">
      <w:pPr>
        <w:adjustRightInd w:val="0"/>
        <w:snapToGrid w:val="0"/>
        <w:spacing w:line="288" w:lineRule="auto"/>
        <w:rPr>
          <w:rFonts w:ascii="仿宋_GB2312" w:eastAsia="仿宋_GB2312"/>
          <w:color w:val="000000" w:themeColor="text1"/>
          <w:sz w:val="36"/>
          <w:szCs w:val="36"/>
          <w:highlight w:val="none"/>
          <w:u w:val="single"/>
          <w14:textFill>
            <w14:solidFill>
              <w14:schemeClr w14:val="tx1"/>
            </w14:solidFill>
          </w14:textFill>
        </w:rPr>
      </w:pPr>
      <w:r>
        <w:rPr>
          <w:rFonts w:hint="eastAsia" w:ascii="仿宋_GB2312" w:eastAsia="仿宋_GB2312"/>
          <w:color w:val="000000" w:themeColor="text1"/>
          <w:sz w:val="36"/>
          <w:szCs w:val="36"/>
          <w:highlight w:val="none"/>
          <w14:textFill>
            <w14:solidFill>
              <w14:schemeClr w14:val="tx1"/>
            </w14:solidFill>
          </w14:textFill>
        </w:rPr>
        <w:t>建设单位（盖章）：</w:t>
      </w:r>
      <w:r>
        <w:rPr>
          <w:rFonts w:hint="eastAsia" w:ascii="仿宋_GB2312" w:eastAsia="仿宋_GB2312"/>
          <w:color w:val="000000" w:themeColor="text1"/>
          <w:sz w:val="36"/>
          <w:szCs w:val="36"/>
          <w:highlight w:val="none"/>
          <w:u w:val="single"/>
          <w:lang w:eastAsia="zh-CN"/>
          <w14:textFill>
            <w14:solidFill>
              <w14:schemeClr w14:val="tx1"/>
            </w14:solidFill>
          </w14:textFill>
        </w:rPr>
        <w:t>福建至期光子科技有限公司</w:t>
      </w:r>
      <w:r>
        <w:rPr>
          <w:rFonts w:hint="eastAsia" w:ascii="仿宋_GB2312" w:eastAsia="仿宋_GB2312"/>
          <w:color w:val="000000" w:themeColor="text1"/>
          <w:sz w:val="36"/>
          <w:szCs w:val="36"/>
          <w:highlight w:val="none"/>
          <w:u w:val="single"/>
          <w14:textFill>
            <w14:solidFill>
              <w14:schemeClr w14:val="tx1"/>
            </w14:solidFill>
          </w14:textFill>
        </w:rPr>
        <w:t xml:space="preserve">    </w:t>
      </w:r>
    </w:p>
    <w:p w14:paraId="0E2E960D">
      <w:pPr>
        <w:adjustRightInd w:val="0"/>
        <w:snapToGrid w:val="0"/>
        <w:spacing w:line="288" w:lineRule="auto"/>
        <w:rPr>
          <w:rFonts w:ascii="仿宋_GB2312" w:eastAsia="仿宋_GB2312"/>
          <w:color w:val="000000" w:themeColor="text1"/>
          <w:sz w:val="36"/>
          <w:szCs w:val="36"/>
          <w:highlight w:val="none"/>
          <w:u w:val="single"/>
          <w14:textFill>
            <w14:solidFill>
              <w14:schemeClr w14:val="tx1"/>
            </w14:solidFill>
          </w14:textFill>
        </w:rPr>
      </w:pPr>
      <w:r>
        <w:rPr>
          <w:rFonts w:hint="eastAsia" w:ascii="仿宋_GB2312" w:eastAsia="仿宋_GB2312"/>
          <w:color w:val="000000" w:themeColor="text1"/>
          <w:sz w:val="36"/>
          <w:szCs w:val="36"/>
          <w:highlight w:val="none"/>
          <w14:textFill>
            <w14:solidFill>
              <w14:schemeClr w14:val="tx1"/>
            </w14:solidFill>
          </w14:textFill>
        </w:rPr>
        <w:t>编制日期：</w:t>
      </w:r>
      <w:r>
        <w:rPr>
          <w:rFonts w:hint="eastAsia" w:ascii="仿宋_GB2312" w:eastAsia="仿宋_GB2312"/>
          <w:color w:val="000000" w:themeColor="text1"/>
          <w:sz w:val="36"/>
          <w:szCs w:val="36"/>
          <w:highlight w:val="none"/>
          <w:u w:val="single"/>
          <w14:textFill>
            <w14:solidFill>
              <w14:schemeClr w14:val="tx1"/>
            </w14:solidFill>
          </w14:textFill>
        </w:rPr>
        <w:t xml:space="preserve"> </w:t>
      </w:r>
      <w:r>
        <w:rPr>
          <w:rFonts w:ascii="仿宋_GB2312" w:eastAsia="仿宋_GB2312"/>
          <w:color w:val="000000" w:themeColor="text1"/>
          <w:sz w:val="36"/>
          <w:szCs w:val="36"/>
          <w:highlight w:val="none"/>
          <w:u w:val="single"/>
          <w14:textFill>
            <w14:solidFill>
              <w14:schemeClr w14:val="tx1"/>
            </w14:solidFill>
          </w14:textFill>
        </w:rPr>
        <w:t xml:space="preserve">   202</w:t>
      </w:r>
      <w:r>
        <w:rPr>
          <w:rFonts w:hint="eastAsia" w:ascii="仿宋_GB2312" w:eastAsia="仿宋_GB2312"/>
          <w:color w:val="000000" w:themeColor="text1"/>
          <w:sz w:val="36"/>
          <w:szCs w:val="36"/>
          <w:highlight w:val="none"/>
          <w:u w:val="single"/>
          <w:lang w:val="en-US" w:eastAsia="zh-CN"/>
          <w14:textFill>
            <w14:solidFill>
              <w14:schemeClr w14:val="tx1"/>
            </w14:solidFill>
          </w14:textFill>
        </w:rPr>
        <w:t>6</w:t>
      </w:r>
      <w:r>
        <w:rPr>
          <w:rFonts w:hint="eastAsia" w:ascii="仿宋_GB2312" w:eastAsia="仿宋_GB2312"/>
          <w:color w:val="000000" w:themeColor="text1"/>
          <w:sz w:val="36"/>
          <w:szCs w:val="36"/>
          <w:highlight w:val="none"/>
          <w:u w:val="single"/>
          <w14:textFill>
            <w14:solidFill>
              <w14:schemeClr w14:val="tx1"/>
            </w14:solidFill>
          </w14:textFill>
        </w:rPr>
        <w:t>年</w:t>
      </w:r>
      <w:r>
        <w:rPr>
          <w:rFonts w:hint="eastAsia" w:ascii="仿宋_GB2312" w:eastAsia="仿宋_GB2312"/>
          <w:color w:val="000000" w:themeColor="text1"/>
          <w:sz w:val="36"/>
          <w:szCs w:val="36"/>
          <w:highlight w:val="none"/>
          <w:u w:val="single"/>
          <w:lang w:val="en-US" w:eastAsia="zh-CN"/>
          <w14:textFill>
            <w14:solidFill>
              <w14:schemeClr w14:val="tx1"/>
            </w14:solidFill>
          </w14:textFill>
        </w:rPr>
        <w:t>5</w:t>
      </w:r>
      <w:r>
        <w:rPr>
          <w:rFonts w:hint="eastAsia" w:ascii="仿宋_GB2312" w:eastAsia="仿宋_GB2312"/>
          <w:color w:val="000000" w:themeColor="text1"/>
          <w:sz w:val="36"/>
          <w:szCs w:val="36"/>
          <w:highlight w:val="none"/>
          <w:u w:val="single"/>
          <w14:textFill>
            <w14:solidFill>
              <w14:schemeClr w14:val="tx1"/>
            </w14:solidFill>
          </w14:textFill>
        </w:rPr>
        <w:t>月</w:t>
      </w:r>
      <w:r>
        <w:rPr>
          <w:rFonts w:ascii="仿宋_GB2312" w:eastAsia="仿宋_GB2312"/>
          <w:color w:val="000000" w:themeColor="text1"/>
          <w:sz w:val="36"/>
          <w:szCs w:val="36"/>
          <w:highlight w:val="none"/>
          <w:u w:val="single"/>
          <w14:textFill>
            <w14:solidFill>
              <w14:schemeClr w14:val="tx1"/>
            </w14:solidFill>
          </w14:textFill>
        </w:rPr>
        <w:t xml:space="preserve">     </w:t>
      </w:r>
      <w:r>
        <w:rPr>
          <w:rFonts w:hint="eastAsia" w:ascii="仿宋_GB2312" w:eastAsia="仿宋_GB2312"/>
          <w:color w:val="000000" w:themeColor="text1"/>
          <w:sz w:val="36"/>
          <w:szCs w:val="36"/>
          <w:highlight w:val="none"/>
          <w:u w:val="single"/>
          <w14:textFill>
            <w14:solidFill>
              <w14:schemeClr w14:val="tx1"/>
            </w14:solidFill>
          </w14:textFill>
        </w:rPr>
        <w:t xml:space="preserve"> </w:t>
      </w:r>
    </w:p>
    <w:p w14:paraId="2C3F17C3">
      <w:pPr>
        <w:adjustRightInd w:val="0"/>
        <w:snapToGrid w:val="0"/>
        <w:spacing w:line="288" w:lineRule="auto"/>
        <w:ind w:firstLine="1040"/>
        <w:rPr>
          <w:rFonts w:ascii="仿宋_GB2312" w:eastAsia="仿宋_GB2312"/>
          <w:color w:val="000000" w:themeColor="text1"/>
          <w:sz w:val="36"/>
          <w:szCs w:val="36"/>
          <w:highlight w:val="none"/>
          <w:u w:val="single"/>
          <w14:textFill>
            <w14:solidFill>
              <w14:schemeClr w14:val="tx1"/>
            </w14:solidFill>
          </w14:textFill>
        </w:rPr>
      </w:pPr>
      <w:bookmarkStart w:id="4" w:name="_Hlk57884087"/>
    </w:p>
    <w:p w14:paraId="0B7F5FAC">
      <w:pPr>
        <w:adjustRightInd w:val="0"/>
        <w:snapToGrid w:val="0"/>
        <w:spacing w:line="288" w:lineRule="auto"/>
        <w:ind w:firstLine="1040"/>
        <w:rPr>
          <w:rFonts w:ascii="仿宋_GB2312" w:eastAsia="仿宋_GB2312"/>
          <w:color w:val="000000" w:themeColor="text1"/>
          <w:sz w:val="36"/>
          <w:szCs w:val="36"/>
          <w:highlight w:val="none"/>
          <w14:textFill>
            <w14:solidFill>
              <w14:schemeClr w14:val="tx1"/>
            </w14:solidFill>
          </w14:textFill>
        </w:rPr>
      </w:pPr>
    </w:p>
    <w:bookmarkEnd w:id="4"/>
    <w:p w14:paraId="526E8CE9">
      <w:pPr>
        <w:adjustRightInd w:val="0"/>
        <w:snapToGrid w:val="0"/>
        <w:spacing w:line="288" w:lineRule="auto"/>
        <w:jc w:val="center"/>
        <w:rPr>
          <w:rFonts w:hint="eastAsia" w:ascii="楷体_GB2312" w:eastAsia="楷体_GB2312"/>
          <w:color w:val="000000" w:themeColor="text1"/>
          <w:sz w:val="36"/>
          <w:szCs w:val="36"/>
          <w:highlight w:val="none"/>
          <w14:textFill>
            <w14:solidFill>
              <w14:schemeClr w14:val="tx1"/>
            </w14:solidFill>
          </w14:textFill>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r>
        <w:rPr>
          <w:rFonts w:hint="eastAsia" w:ascii="楷体_GB2312" w:eastAsia="楷体_GB2312"/>
          <w:color w:val="000000" w:themeColor="text1"/>
          <w:sz w:val="36"/>
          <w:szCs w:val="36"/>
          <w:highlight w:val="none"/>
          <w14:textFill>
            <w14:solidFill>
              <w14:schemeClr w14:val="tx1"/>
            </w14:solidFill>
          </w14:textFill>
        </w:rPr>
        <w:t>中华人民共和国生态环境部制</w:t>
      </w:r>
    </w:p>
    <w:sdt>
      <w:sdtPr>
        <w:rPr>
          <w:rFonts w:ascii="Times New Roman" w:hAnsi="Times New Roman" w:eastAsia="宋体" w:cs="Times New Roman"/>
          <w:color w:val="000000" w:themeColor="text1"/>
          <w:kern w:val="2"/>
          <w:sz w:val="28"/>
          <w:szCs w:val="36"/>
          <w:highlight w:val="none"/>
          <w:lang w:val="zh-CN"/>
          <w14:textFill>
            <w14:solidFill>
              <w14:schemeClr w14:val="tx1"/>
            </w14:solidFill>
          </w14:textFill>
        </w:rPr>
        <w:id w:val="-834525711"/>
        <w:docPartObj>
          <w:docPartGallery w:val="Table of Contents"/>
          <w:docPartUnique/>
        </w:docPartObj>
      </w:sdtPr>
      <w:sdtEndPr>
        <w:rPr>
          <w:rFonts w:ascii="Times New Roman" w:hAnsi="Times New Roman" w:eastAsia="宋体" w:cs="Times New Roman"/>
          <w:b/>
          <w:bCs/>
          <w:color w:val="000000" w:themeColor="text1"/>
          <w:kern w:val="2"/>
          <w:sz w:val="21"/>
          <w:szCs w:val="24"/>
          <w:highlight w:val="none"/>
          <w:lang w:val="zh-CN"/>
          <w14:textFill>
            <w14:solidFill>
              <w14:schemeClr w14:val="tx1"/>
            </w14:solidFill>
          </w14:textFill>
        </w:rPr>
      </w:sdtEndPr>
      <w:sdtContent>
        <w:p w14:paraId="798ABE71">
          <w:pPr>
            <w:pStyle w:val="24"/>
            <w:tabs>
              <w:tab w:val="right" w:leader="dot" w:pos="8844"/>
            </w:tabs>
            <w:jc w:val="center"/>
            <w:rPr>
              <w:rFonts w:ascii="黑体" w:hAnsi="黑体" w:eastAsia="黑体"/>
              <w:color w:val="000000" w:themeColor="text1"/>
              <w:sz w:val="28"/>
              <w:szCs w:val="36"/>
              <w:highlight w:val="none"/>
              <w:lang w:val="zh-CN"/>
              <w14:textFill>
                <w14:solidFill>
                  <w14:schemeClr w14:val="tx1"/>
                </w14:solidFill>
              </w14:textFill>
            </w:rPr>
          </w:pPr>
          <w:r>
            <w:rPr>
              <w:rFonts w:ascii="黑体" w:hAnsi="黑体" w:eastAsia="黑体"/>
              <w:color w:val="000000" w:themeColor="text1"/>
              <w:sz w:val="28"/>
              <w:szCs w:val="36"/>
              <w:highlight w:val="none"/>
              <w:lang w:val="zh-CN"/>
              <w14:textFill>
                <w14:solidFill>
                  <w14:schemeClr w14:val="tx1"/>
                </w14:solidFill>
              </w14:textFill>
            </w:rPr>
            <w:t>目</w:t>
          </w:r>
          <w:r>
            <w:rPr>
              <w:rFonts w:hint="eastAsia" w:ascii="黑体" w:hAnsi="黑体" w:eastAsia="黑体"/>
              <w:color w:val="000000" w:themeColor="text1"/>
              <w:sz w:val="28"/>
              <w:szCs w:val="36"/>
              <w:highlight w:val="none"/>
              <w:lang w:val="zh-CN"/>
              <w14:textFill>
                <w14:solidFill>
                  <w14:schemeClr w14:val="tx1"/>
                </w14:solidFill>
              </w14:textFill>
            </w:rPr>
            <w:t xml:space="preserve"> </w:t>
          </w:r>
          <w:r>
            <w:rPr>
              <w:rFonts w:ascii="黑体" w:hAnsi="黑体" w:eastAsia="黑体"/>
              <w:color w:val="000000" w:themeColor="text1"/>
              <w:sz w:val="28"/>
              <w:szCs w:val="36"/>
              <w:highlight w:val="none"/>
              <w:lang w:val="zh-CN"/>
              <w14:textFill>
                <w14:solidFill>
                  <w14:schemeClr w14:val="tx1"/>
                </w14:solidFill>
              </w14:textFill>
            </w:rPr>
            <w:t xml:space="preserve"> 录</w:t>
          </w:r>
        </w:p>
        <w:p w14:paraId="3DF70DCB">
          <w:pPr>
            <w:pStyle w:val="21"/>
            <w:tabs>
              <w:tab w:val="right" w:leader="dot" w:pos="8844"/>
            </w:tabs>
          </w:pPr>
          <w:r>
            <w:rPr>
              <w:b/>
              <w:bCs/>
              <w:color w:val="000000" w:themeColor="text1"/>
              <w:highlight w:val="none"/>
              <w:lang w:val="zh-CN"/>
              <w14:textFill>
                <w14:solidFill>
                  <w14:schemeClr w14:val="tx1"/>
                </w14:solidFill>
              </w14:textFill>
            </w:rPr>
            <w:fldChar w:fldCharType="begin"/>
          </w:r>
          <w:r>
            <w:rPr>
              <w:b/>
              <w:bCs/>
              <w:color w:val="000000" w:themeColor="text1"/>
              <w:highlight w:val="none"/>
              <w:lang w:val="zh-CN"/>
              <w14:textFill>
                <w14:solidFill>
                  <w14:schemeClr w14:val="tx1"/>
                </w14:solidFill>
              </w14:textFill>
            </w:rPr>
            <w:instrText xml:space="preserve"> TOC \o "1-2" \h \z \u </w:instrText>
          </w:r>
          <w:r>
            <w:rPr>
              <w:b/>
              <w:bCs/>
              <w:color w:val="000000" w:themeColor="text1"/>
              <w:highlight w:val="none"/>
              <w:lang w:val="zh-CN"/>
              <w14:textFill>
                <w14:solidFill>
                  <w14:schemeClr w14:val="tx1"/>
                </w14:solidFill>
              </w14:textFill>
            </w:rPr>
            <w:fldChar w:fldCharType="separate"/>
          </w:r>
          <w:r>
            <w:rPr>
              <w:bCs/>
              <w:color w:val="000000" w:themeColor="text1"/>
              <w:highlight w:val="none"/>
              <w:lang w:val="zh-CN"/>
              <w14:textFill>
                <w14:solidFill>
                  <w14:schemeClr w14:val="tx1"/>
                </w14:solidFill>
              </w14:textFill>
            </w:rPr>
            <w:fldChar w:fldCharType="begin"/>
          </w:r>
          <w:r>
            <w:rPr>
              <w:bCs/>
              <w:highlight w:val="none"/>
              <w:lang w:val="zh-CN"/>
            </w:rPr>
            <w:instrText xml:space="preserve"> HYPERLINK \l _Toc27926 </w:instrText>
          </w:r>
          <w:r>
            <w:rPr>
              <w:bCs/>
              <w:highlight w:val="none"/>
              <w:lang w:val="zh-CN"/>
            </w:rPr>
            <w:fldChar w:fldCharType="separate"/>
          </w:r>
          <w:r>
            <w:rPr>
              <w:rFonts w:hint="eastAsia" w:ascii="黑体" w:hAnsi="黑体" w:eastAsia="黑体"/>
              <w:snapToGrid w:val="0"/>
              <w:szCs w:val="30"/>
              <w:highlight w:val="none"/>
            </w:rPr>
            <w:t>一、建设项目基本情况</w:t>
          </w:r>
          <w:r>
            <w:tab/>
          </w:r>
          <w:r>
            <w:fldChar w:fldCharType="begin"/>
          </w:r>
          <w:r>
            <w:instrText xml:space="preserve"> PAGEREF _Toc27926 \h </w:instrText>
          </w:r>
          <w:r>
            <w:fldChar w:fldCharType="separate"/>
          </w:r>
          <w:r>
            <w:t>1</w:t>
          </w:r>
          <w:r>
            <w:fldChar w:fldCharType="end"/>
          </w:r>
          <w:r>
            <w:rPr>
              <w:bCs/>
              <w:color w:val="000000" w:themeColor="text1"/>
              <w:highlight w:val="none"/>
              <w:lang w:val="zh-CN"/>
              <w14:textFill>
                <w14:solidFill>
                  <w14:schemeClr w14:val="tx1"/>
                </w14:solidFill>
              </w14:textFill>
            </w:rPr>
            <w:fldChar w:fldCharType="end"/>
          </w:r>
        </w:p>
        <w:p w14:paraId="7F62B227">
          <w:pPr>
            <w:pStyle w:val="21"/>
            <w:tabs>
              <w:tab w:val="right" w:leader="dot" w:pos="8844"/>
            </w:tabs>
          </w:pPr>
          <w:r>
            <w:rPr>
              <w:bCs/>
              <w:color w:val="000000" w:themeColor="text1"/>
              <w:highlight w:val="none"/>
              <w:lang w:val="zh-CN"/>
              <w14:textFill>
                <w14:solidFill>
                  <w14:schemeClr w14:val="tx1"/>
                </w14:solidFill>
              </w14:textFill>
            </w:rPr>
            <w:fldChar w:fldCharType="begin"/>
          </w:r>
          <w:r>
            <w:rPr>
              <w:bCs/>
              <w:highlight w:val="none"/>
              <w:lang w:val="zh-CN"/>
            </w:rPr>
            <w:instrText xml:space="preserve"> HYPERLINK \l _Toc12109 </w:instrText>
          </w:r>
          <w:r>
            <w:rPr>
              <w:bCs/>
              <w:highlight w:val="none"/>
              <w:lang w:val="zh-CN"/>
            </w:rPr>
            <w:fldChar w:fldCharType="separate"/>
          </w:r>
          <w:r>
            <w:rPr>
              <w:rFonts w:hint="eastAsia" w:ascii="黑体" w:hAnsi="黑体" w:eastAsia="黑体"/>
              <w:snapToGrid w:val="0"/>
              <w:szCs w:val="30"/>
              <w:highlight w:val="none"/>
            </w:rPr>
            <w:t>二、建设项目工程分析</w:t>
          </w:r>
          <w:r>
            <w:tab/>
          </w:r>
          <w:r>
            <w:fldChar w:fldCharType="begin"/>
          </w:r>
          <w:r>
            <w:instrText xml:space="preserve"> PAGEREF _Toc12109 \h </w:instrText>
          </w:r>
          <w:r>
            <w:fldChar w:fldCharType="separate"/>
          </w:r>
          <w:r>
            <w:t>20</w:t>
          </w:r>
          <w:r>
            <w:fldChar w:fldCharType="end"/>
          </w:r>
          <w:r>
            <w:rPr>
              <w:bCs/>
              <w:color w:val="000000" w:themeColor="text1"/>
              <w:highlight w:val="none"/>
              <w:lang w:val="zh-CN"/>
              <w14:textFill>
                <w14:solidFill>
                  <w14:schemeClr w14:val="tx1"/>
                </w14:solidFill>
              </w14:textFill>
            </w:rPr>
            <w:fldChar w:fldCharType="end"/>
          </w:r>
        </w:p>
        <w:p w14:paraId="1FBD37C2">
          <w:pPr>
            <w:pStyle w:val="21"/>
            <w:tabs>
              <w:tab w:val="right" w:leader="dot" w:pos="8844"/>
            </w:tabs>
          </w:pPr>
          <w:r>
            <w:rPr>
              <w:bCs/>
              <w:color w:val="000000" w:themeColor="text1"/>
              <w:highlight w:val="none"/>
              <w:lang w:val="zh-CN"/>
              <w14:textFill>
                <w14:solidFill>
                  <w14:schemeClr w14:val="tx1"/>
                </w14:solidFill>
              </w14:textFill>
            </w:rPr>
            <w:fldChar w:fldCharType="begin"/>
          </w:r>
          <w:r>
            <w:rPr>
              <w:bCs/>
              <w:highlight w:val="none"/>
              <w:lang w:val="zh-CN"/>
            </w:rPr>
            <w:instrText xml:space="preserve"> HYPERLINK \l _Toc483 </w:instrText>
          </w:r>
          <w:r>
            <w:rPr>
              <w:bCs/>
              <w:highlight w:val="none"/>
              <w:lang w:val="zh-CN"/>
            </w:rPr>
            <w:fldChar w:fldCharType="separate"/>
          </w:r>
          <w:r>
            <w:rPr>
              <w:rFonts w:hint="eastAsia" w:ascii="黑体" w:hAnsi="黑体" w:eastAsia="黑体"/>
              <w:snapToGrid w:val="0"/>
              <w:szCs w:val="30"/>
              <w:highlight w:val="none"/>
            </w:rPr>
            <w:t>三、区域环境质量现状、环境保护目标及评价标准</w:t>
          </w:r>
          <w:r>
            <w:tab/>
          </w:r>
          <w:r>
            <w:fldChar w:fldCharType="begin"/>
          </w:r>
          <w:r>
            <w:instrText xml:space="preserve"> PAGEREF _Toc483 \h </w:instrText>
          </w:r>
          <w:r>
            <w:fldChar w:fldCharType="separate"/>
          </w:r>
          <w:r>
            <w:t>48</w:t>
          </w:r>
          <w:r>
            <w:fldChar w:fldCharType="end"/>
          </w:r>
          <w:r>
            <w:rPr>
              <w:bCs/>
              <w:color w:val="000000" w:themeColor="text1"/>
              <w:highlight w:val="none"/>
              <w:lang w:val="zh-CN"/>
              <w14:textFill>
                <w14:solidFill>
                  <w14:schemeClr w14:val="tx1"/>
                </w14:solidFill>
              </w14:textFill>
            </w:rPr>
            <w:fldChar w:fldCharType="end"/>
          </w:r>
        </w:p>
        <w:p w14:paraId="22F50F81">
          <w:pPr>
            <w:pStyle w:val="21"/>
            <w:tabs>
              <w:tab w:val="right" w:leader="dot" w:pos="8844"/>
            </w:tabs>
          </w:pPr>
          <w:r>
            <w:rPr>
              <w:bCs/>
              <w:color w:val="000000" w:themeColor="text1"/>
              <w:highlight w:val="none"/>
              <w:lang w:val="zh-CN"/>
              <w14:textFill>
                <w14:solidFill>
                  <w14:schemeClr w14:val="tx1"/>
                </w14:solidFill>
              </w14:textFill>
            </w:rPr>
            <w:fldChar w:fldCharType="begin"/>
          </w:r>
          <w:r>
            <w:rPr>
              <w:bCs/>
              <w:highlight w:val="none"/>
              <w:lang w:val="zh-CN"/>
            </w:rPr>
            <w:instrText xml:space="preserve"> HYPERLINK \l _Toc5854 </w:instrText>
          </w:r>
          <w:r>
            <w:rPr>
              <w:bCs/>
              <w:highlight w:val="none"/>
              <w:lang w:val="zh-CN"/>
            </w:rPr>
            <w:fldChar w:fldCharType="separate"/>
          </w:r>
          <w:r>
            <w:rPr>
              <w:rFonts w:hint="eastAsia" w:ascii="黑体" w:hAnsi="黑体" w:eastAsia="黑体"/>
              <w:snapToGrid w:val="0"/>
              <w:szCs w:val="30"/>
              <w:highlight w:val="none"/>
            </w:rPr>
            <w:t>四、主要环境影响和保护措施</w:t>
          </w:r>
          <w:r>
            <w:tab/>
          </w:r>
          <w:r>
            <w:fldChar w:fldCharType="begin"/>
          </w:r>
          <w:r>
            <w:instrText xml:space="preserve"> PAGEREF _Toc5854 \h </w:instrText>
          </w:r>
          <w:r>
            <w:fldChar w:fldCharType="separate"/>
          </w:r>
          <w:r>
            <w:t>60</w:t>
          </w:r>
          <w:r>
            <w:fldChar w:fldCharType="end"/>
          </w:r>
          <w:r>
            <w:rPr>
              <w:bCs/>
              <w:color w:val="000000" w:themeColor="text1"/>
              <w:highlight w:val="none"/>
              <w:lang w:val="zh-CN"/>
              <w14:textFill>
                <w14:solidFill>
                  <w14:schemeClr w14:val="tx1"/>
                </w14:solidFill>
              </w14:textFill>
            </w:rPr>
            <w:fldChar w:fldCharType="end"/>
          </w:r>
        </w:p>
        <w:p w14:paraId="0B24309A">
          <w:pPr>
            <w:pStyle w:val="21"/>
            <w:tabs>
              <w:tab w:val="right" w:leader="dot" w:pos="8844"/>
            </w:tabs>
          </w:pPr>
          <w:r>
            <w:rPr>
              <w:bCs/>
              <w:color w:val="000000" w:themeColor="text1"/>
              <w:highlight w:val="none"/>
              <w:lang w:val="zh-CN"/>
              <w14:textFill>
                <w14:solidFill>
                  <w14:schemeClr w14:val="tx1"/>
                </w14:solidFill>
              </w14:textFill>
            </w:rPr>
            <w:fldChar w:fldCharType="begin"/>
          </w:r>
          <w:r>
            <w:rPr>
              <w:bCs/>
              <w:highlight w:val="none"/>
              <w:lang w:val="zh-CN"/>
            </w:rPr>
            <w:instrText xml:space="preserve"> HYPERLINK \l _Toc26724 </w:instrText>
          </w:r>
          <w:r>
            <w:rPr>
              <w:bCs/>
              <w:highlight w:val="none"/>
              <w:lang w:val="zh-CN"/>
            </w:rPr>
            <w:fldChar w:fldCharType="separate"/>
          </w:r>
          <w:r>
            <w:rPr>
              <w:rFonts w:hint="eastAsia" w:ascii="黑体" w:hAnsi="黑体" w:eastAsia="黑体"/>
              <w:snapToGrid w:val="0"/>
              <w:szCs w:val="30"/>
              <w:highlight w:val="none"/>
            </w:rPr>
            <w:t>五、环境保护措施监督检查清单</w:t>
          </w:r>
          <w:r>
            <w:tab/>
          </w:r>
          <w:r>
            <w:fldChar w:fldCharType="begin"/>
          </w:r>
          <w:r>
            <w:instrText xml:space="preserve"> PAGEREF _Toc26724 \h </w:instrText>
          </w:r>
          <w:r>
            <w:fldChar w:fldCharType="separate"/>
          </w:r>
          <w:r>
            <w:t>109</w:t>
          </w:r>
          <w:r>
            <w:fldChar w:fldCharType="end"/>
          </w:r>
          <w:r>
            <w:rPr>
              <w:bCs/>
              <w:color w:val="000000" w:themeColor="text1"/>
              <w:highlight w:val="none"/>
              <w:lang w:val="zh-CN"/>
              <w14:textFill>
                <w14:solidFill>
                  <w14:schemeClr w14:val="tx1"/>
                </w14:solidFill>
              </w14:textFill>
            </w:rPr>
            <w:fldChar w:fldCharType="end"/>
          </w:r>
        </w:p>
        <w:p w14:paraId="654BFCD0">
          <w:pPr>
            <w:pStyle w:val="21"/>
            <w:tabs>
              <w:tab w:val="right" w:leader="dot" w:pos="8844"/>
            </w:tabs>
          </w:pPr>
          <w:r>
            <w:rPr>
              <w:bCs/>
              <w:color w:val="000000" w:themeColor="text1"/>
              <w:highlight w:val="none"/>
              <w:lang w:val="zh-CN"/>
              <w14:textFill>
                <w14:solidFill>
                  <w14:schemeClr w14:val="tx1"/>
                </w14:solidFill>
              </w14:textFill>
            </w:rPr>
            <w:fldChar w:fldCharType="begin"/>
          </w:r>
          <w:r>
            <w:rPr>
              <w:bCs/>
              <w:highlight w:val="none"/>
              <w:lang w:val="zh-CN"/>
            </w:rPr>
            <w:instrText xml:space="preserve"> HYPERLINK \l _Toc24160 </w:instrText>
          </w:r>
          <w:r>
            <w:rPr>
              <w:bCs/>
              <w:highlight w:val="none"/>
              <w:lang w:val="zh-CN"/>
            </w:rPr>
            <w:fldChar w:fldCharType="separate"/>
          </w:r>
          <w:r>
            <w:rPr>
              <w:rFonts w:hint="eastAsia" w:ascii="黑体" w:hAnsi="黑体" w:eastAsia="黑体"/>
              <w:snapToGrid w:val="0"/>
              <w:szCs w:val="30"/>
              <w:highlight w:val="none"/>
            </w:rPr>
            <w:t>六、结论</w:t>
          </w:r>
          <w:r>
            <w:tab/>
          </w:r>
          <w:r>
            <w:fldChar w:fldCharType="begin"/>
          </w:r>
          <w:r>
            <w:instrText xml:space="preserve"> PAGEREF _Toc24160 \h </w:instrText>
          </w:r>
          <w:r>
            <w:fldChar w:fldCharType="separate"/>
          </w:r>
          <w:r>
            <w:t>113</w:t>
          </w:r>
          <w:r>
            <w:fldChar w:fldCharType="end"/>
          </w:r>
          <w:r>
            <w:rPr>
              <w:bCs/>
              <w:color w:val="000000" w:themeColor="text1"/>
              <w:highlight w:val="none"/>
              <w:lang w:val="zh-CN"/>
              <w14:textFill>
                <w14:solidFill>
                  <w14:schemeClr w14:val="tx1"/>
                </w14:solidFill>
              </w14:textFill>
            </w:rPr>
            <w:fldChar w:fldCharType="end"/>
          </w:r>
        </w:p>
        <w:p w14:paraId="12CBC326">
          <w:pPr>
            <w:pStyle w:val="21"/>
            <w:tabs>
              <w:tab w:val="right" w:leader="dot" w:pos="8844"/>
            </w:tabs>
          </w:pPr>
          <w:r>
            <w:rPr>
              <w:bCs/>
              <w:color w:val="000000" w:themeColor="text1"/>
              <w:highlight w:val="none"/>
              <w:lang w:val="zh-CN"/>
              <w14:textFill>
                <w14:solidFill>
                  <w14:schemeClr w14:val="tx1"/>
                </w14:solidFill>
              </w14:textFill>
            </w:rPr>
            <w:fldChar w:fldCharType="begin"/>
          </w:r>
          <w:r>
            <w:rPr>
              <w:bCs/>
              <w:highlight w:val="none"/>
              <w:lang w:val="zh-CN"/>
            </w:rPr>
            <w:instrText xml:space="preserve"> HYPERLINK \l _Toc10484 </w:instrText>
          </w:r>
          <w:r>
            <w:rPr>
              <w:bCs/>
              <w:highlight w:val="none"/>
              <w:lang w:val="zh-CN"/>
            </w:rPr>
            <w:fldChar w:fldCharType="separate"/>
          </w:r>
          <w:r>
            <w:rPr>
              <w:rFonts w:hint="eastAsia" w:ascii="黑体" w:hAnsi="黑体" w:eastAsia="黑体"/>
              <w:snapToGrid w:val="0"/>
              <w:szCs w:val="32"/>
              <w:highlight w:val="none"/>
            </w:rPr>
            <w:t>附图</w:t>
          </w:r>
          <w:r>
            <w:tab/>
          </w:r>
          <w:r>
            <w:fldChar w:fldCharType="begin"/>
          </w:r>
          <w:r>
            <w:instrText xml:space="preserve"> PAGEREF _Toc10484 \h </w:instrText>
          </w:r>
          <w:r>
            <w:fldChar w:fldCharType="separate"/>
          </w:r>
          <w:r>
            <w:t>116</w:t>
          </w:r>
          <w:r>
            <w:fldChar w:fldCharType="end"/>
          </w:r>
          <w:r>
            <w:rPr>
              <w:bCs/>
              <w:color w:val="000000" w:themeColor="text1"/>
              <w:highlight w:val="none"/>
              <w:lang w:val="zh-CN"/>
              <w14:textFill>
                <w14:solidFill>
                  <w14:schemeClr w14:val="tx1"/>
                </w14:solidFill>
              </w14:textFill>
            </w:rPr>
            <w:fldChar w:fldCharType="end"/>
          </w:r>
        </w:p>
        <w:p w14:paraId="5C595977">
          <w:pPr>
            <w:pStyle w:val="24"/>
            <w:tabs>
              <w:tab w:val="right" w:leader="dot" w:pos="8844"/>
            </w:tabs>
          </w:pPr>
          <w:r>
            <w:rPr>
              <w:bCs/>
              <w:color w:val="000000" w:themeColor="text1"/>
              <w:highlight w:val="none"/>
              <w:lang w:val="zh-CN"/>
              <w14:textFill>
                <w14:solidFill>
                  <w14:schemeClr w14:val="tx1"/>
                </w14:solidFill>
              </w14:textFill>
            </w:rPr>
            <w:fldChar w:fldCharType="begin"/>
          </w:r>
          <w:r>
            <w:rPr>
              <w:bCs/>
              <w:highlight w:val="none"/>
              <w:lang w:val="zh-CN"/>
            </w:rPr>
            <w:instrText xml:space="preserve"> HYPERLINK \l _Toc16143 </w:instrText>
          </w:r>
          <w:r>
            <w:rPr>
              <w:bCs/>
              <w:highlight w:val="none"/>
              <w:lang w:val="zh-CN"/>
            </w:rPr>
            <w:fldChar w:fldCharType="separate"/>
          </w:r>
          <w:r>
            <w:rPr>
              <w:bCs w:val="0"/>
              <w:highlight w:val="none"/>
            </w:rPr>
            <w:t xml:space="preserve">附图1  </w:t>
          </w:r>
          <w:r>
            <w:rPr>
              <w:rFonts w:hint="eastAsia"/>
              <w:bCs w:val="0"/>
              <w:highlight w:val="none"/>
            </w:rPr>
            <w:t>项目地理位置布</w:t>
          </w:r>
          <w:r>
            <w:rPr>
              <w:bCs w:val="0"/>
              <w:highlight w:val="none"/>
            </w:rPr>
            <w:t>图</w:t>
          </w:r>
          <w:r>
            <w:tab/>
          </w:r>
          <w:r>
            <w:fldChar w:fldCharType="begin"/>
          </w:r>
          <w:r>
            <w:instrText xml:space="preserve"> PAGEREF _Toc16143 \h </w:instrText>
          </w:r>
          <w:r>
            <w:fldChar w:fldCharType="separate"/>
          </w:r>
          <w:r>
            <w:t>116</w:t>
          </w:r>
          <w:r>
            <w:fldChar w:fldCharType="end"/>
          </w:r>
          <w:r>
            <w:rPr>
              <w:bCs/>
              <w:color w:val="000000" w:themeColor="text1"/>
              <w:highlight w:val="none"/>
              <w:lang w:val="zh-CN"/>
              <w14:textFill>
                <w14:solidFill>
                  <w14:schemeClr w14:val="tx1"/>
                </w14:solidFill>
              </w14:textFill>
            </w:rPr>
            <w:fldChar w:fldCharType="end"/>
          </w:r>
        </w:p>
        <w:p w14:paraId="524DBCDC">
          <w:pPr>
            <w:tabs>
              <w:tab w:val="right" w:leader="dot" w:pos="8844"/>
            </w:tabs>
            <w:spacing w:line="360" w:lineRule="auto"/>
            <w:jc w:val="center"/>
            <w:rPr>
              <w:color w:val="000000" w:themeColor="text1"/>
              <w:highlight w:val="none"/>
              <w14:textFill>
                <w14:solidFill>
                  <w14:schemeClr w14:val="tx1"/>
                </w14:solidFill>
              </w14:textFill>
            </w:rPr>
          </w:pPr>
          <w:r>
            <w:rPr>
              <w:bCs/>
              <w:color w:val="000000" w:themeColor="text1"/>
              <w:highlight w:val="none"/>
              <w:lang w:val="zh-CN"/>
              <w14:textFill>
                <w14:solidFill>
                  <w14:schemeClr w14:val="tx1"/>
                </w14:solidFill>
              </w14:textFill>
            </w:rPr>
            <w:fldChar w:fldCharType="end"/>
          </w:r>
        </w:p>
      </w:sdtContent>
    </w:sdt>
    <w:p w14:paraId="65B90588">
      <w:pPr>
        <w:pStyle w:val="26"/>
        <w:jc w:val="center"/>
        <w:outlineLvl w:val="0"/>
        <w:rPr>
          <w:rFonts w:ascii="黑体" w:hAnsi="黑体" w:eastAsia="黑体"/>
          <w:snapToGrid w:val="0"/>
          <w:color w:val="000000" w:themeColor="text1"/>
          <w:sz w:val="30"/>
          <w:szCs w:val="30"/>
          <w:highlight w:val="none"/>
          <w14:textFill>
            <w14:solidFill>
              <w14:schemeClr w14:val="tx1"/>
            </w14:solidFill>
          </w14:textFill>
        </w:rPr>
        <w:sectPr>
          <w:headerReference r:id="rId5" w:type="default"/>
          <w:footerReference r:id="rId6"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4305BA15">
      <w:pPr>
        <w:pStyle w:val="26"/>
        <w:jc w:val="center"/>
        <w:outlineLvl w:val="0"/>
        <w:rPr>
          <w:rFonts w:ascii="黑体" w:hAnsi="黑体" w:eastAsia="黑体"/>
          <w:snapToGrid w:val="0"/>
          <w:color w:val="000000" w:themeColor="text1"/>
          <w:sz w:val="30"/>
          <w:szCs w:val="30"/>
          <w:highlight w:val="none"/>
          <w14:textFill>
            <w14:solidFill>
              <w14:schemeClr w14:val="tx1"/>
            </w14:solidFill>
          </w14:textFill>
        </w:rPr>
      </w:pPr>
      <w:bookmarkStart w:id="5" w:name="_Toc27926"/>
      <w:r>
        <w:rPr>
          <w:rFonts w:hint="eastAsia" w:ascii="黑体" w:hAnsi="黑体" w:eastAsia="黑体"/>
          <w:snapToGrid w:val="0"/>
          <w:color w:val="000000" w:themeColor="text1"/>
          <w:sz w:val="30"/>
          <w:szCs w:val="30"/>
          <w:highlight w:val="none"/>
          <w14:textFill>
            <w14:solidFill>
              <w14:schemeClr w14:val="tx1"/>
            </w14:solidFill>
          </w14:textFill>
        </w:rPr>
        <w:t>一、建设项目基本情况</w:t>
      </w:r>
      <w:bookmarkEnd w:id="5"/>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722"/>
        <w:gridCol w:w="282"/>
        <w:gridCol w:w="2820"/>
        <w:gridCol w:w="1677"/>
        <w:gridCol w:w="3369"/>
      </w:tblGrid>
      <w:tr w14:paraId="0F9FC1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04" w:type="dxa"/>
            <w:gridSpan w:val="2"/>
            <w:tcMar>
              <w:top w:w="16" w:type="dxa"/>
              <w:left w:w="16" w:type="dxa"/>
              <w:right w:w="16" w:type="dxa"/>
            </w:tcMar>
            <w:vAlign w:val="center"/>
          </w:tcPr>
          <w:p w14:paraId="4DC089C0">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建设项目名称</w:t>
            </w:r>
          </w:p>
        </w:tc>
        <w:tc>
          <w:tcPr>
            <w:tcW w:w="7866" w:type="dxa"/>
            <w:gridSpan w:val="3"/>
            <w:vAlign w:val="center"/>
          </w:tcPr>
          <w:p w14:paraId="6E716795">
            <w:pPr>
              <w:adjustRightInd w:val="0"/>
              <w:snapToGrid w:val="0"/>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至期超精密光学元器件研发生产基地项目(三期)</w:t>
            </w:r>
          </w:p>
        </w:tc>
      </w:tr>
      <w:tr w14:paraId="566EA9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04" w:type="dxa"/>
            <w:gridSpan w:val="2"/>
            <w:tcMar>
              <w:top w:w="16" w:type="dxa"/>
              <w:left w:w="16" w:type="dxa"/>
              <w:right w:w="16" w:type="dxa"/>
            </w:tcMar>
            <w:vAlign w:val="center"/>
          </w:tcPr>
          <w:p w14:paraId="7EC98E35">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项目代码</w:t>
            </w:r>
          </w:p>
        </w:tc>
        <w:tc>
          <w:tcPr>
            <w:tcW w:w="7866" w:type="dxa"/>
            <w:gridSpan w:val="3"/>
            <w:vAlign w:val="center"/>
          </w:tcPr>
          <w:p w14:paraId="12ED7297">
            <w:pPr>
              <w:adjustRightInd w:val="0"/>
              <w:snapToGrid w:val="0"/>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2512-350169-07-01-904457</w:t>
            </w:r>
          </w:p>
        </w:tc>
      </w:tr>
      <w:tr w14:paraId="017D56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04" w:type="dxa"/>
            <w:gridSpan w:val="2"/>
            <w:tcMar>
              <w:top w:w="16" w:type="dxa"/>
              <w:left w:w="16" w:type="dxa"/>
              <w:right w:w="16" w:type="dxa"/>
            </w:tcMar>
            <w:vAlign w:val="center"/>
          </w:tcPr>
          <w:p w14:paraId="6E6FCD33">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建设单位联系人</w:t>
            </w:r>
          </w:p>
        </w:tc>
        <w:tc>
          <w:tcPr>
            <w:tcW w:w="2820" w:type="dxa"/>
            <w:vAlign w:val="center"/>
          </w:tcPr>
          <w:p w14:paraId="522013B0">
            <w:pPr>
              <w:adjustRightInd w:val="0"/>
              <w:snapToGrid w:val="0"/>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郑</w:t>
            </w:r>
            <w:r>
              <w:rPr>
                <w:rFonts w:hint="eastAsia"/>
                <w:color w:val="000000" w:themeColor="text1"/>
                <w:szCs w:val="21"/>
                <w:highlight w:val="none"/>
                <w:lang w:val="en-US" w:eastAsia="zh-CN"/>
                <w14:textFill>
                  <w14:solidFill>
                    <w14:schemeClr w14:val="tx1"/>
                  </w14:solidFill>
                </w14:textFill>
              </w:rPr>
              <w:t>**</w:t>
            </w:r>
          </w:p>
        </w:tc>
        <w:tc>
          <w:tcPr>
            <w:tcW w:w="1677" w:type="dxa"/>
            <w:vAlign w:val="center"/>
          </w:tcPr>
          <w:p w14:paraId="33A03203">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联系方式</w:t>
            </w:r>
          </w:p>
        </w:tc>
        <w:tc>
          <w:tcPr>
            <w:tcW w:w="3369" w:type="dxa"/>
            <w:vAlign w:val="center"/>
          </w:tcPr>
          <w:p w14:paraId="23AB6639">
            <w:pPr>
              <w:adjustRightInd w:val="0"/>
              <w:snapToGrid w:val="0"/>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w:t>
            </w:r>
          </w:p>
        </w:tc>
      </w:tr>
      <w:tr w14:paraId="1ACE99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04" w:type="dxa"/>
            <w:gridSpan w:val="2"/>
            <w:tcMar>
              <w:top w:w="16" w:type="dxa"/>
              <w:left w:w="16" w:type="dxa"/>
              <w:right w:w="16" w:type="dxa"/>
            </w:tcMar>
            <w:vAlign w:val="center"/>
          </w:tcPr>
          <w:p w14:paraId="407E6620">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建设地点</w:t>
            </w:r>
          </w:p>
        </w:tc>
        <w:tc>
          <w:tcPr>
            <w:tcW w:w="7866" w:type="dxa"/>
            <w:gridSpan w:val="3"/>
            <w:vAlign w:val="center"/>
          </w:tcPr>
          <w:p w14:paraId="78E10374">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u w:val="single"/>
                <w14:textFill>
                  <w14:solidFill>
                    <w14:schemeClr w14:val="tx1"/>
                  </w14:solidFill>
                </w14:textFill>
              </w:rPr>
              <w:t xml:space="preserve"> 福建 </w:t>
            </w:r>
            <w:r>
              <w:rPr>
                <w:color w:val="000000" w:themeColor="text1"/>
                <w:szCs w:val="21"/>
                <w:highlight w:val="none"/>
                <w14:textFill>
                  <w14:solidFill>
                    <w14:schemeClr w14:val="tx1"/>
                  </w14:solidFill>
                </w14:textFill>
              </w:rPr>
              <w:t>省（自治区）</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lang w:val="en-US" w:eastAsia="zh-CN"/>
                <w14:textFill>
                  <w14:solidFill>
                    <w14:schemeClr w14:val="tx1"/>
                  </w14:solidFill>
                </w14:textFill>
              </w:rPr>
              <w:t>福州</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市</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lang w:val="en-US" w:eastAsia="zh-CN"/>
                <w14:textFill>
                  <w14:solidFill>
                    <w14:schemeClr w14:val="tx1"/>
                  </w14:solidFill>
                </w14:textFill>
              </w:rPr>
              <w:t>高新</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县（区）</w:t>
            </w:r>
            <w:r>
              <w:rPr>
                <w:rFonts w:hint="eastAsia"/>
                <w:color w:val="000000" w:themeColor="text1"/>
                <w:szCs w:val="21"/>
                <w:highlight w:val="none"/>
                <w:u w:val="single"/>
                <w:lang w:val="en-US" w:eastAsia="zh-CN"/>
                <w14:textFill>
                  <w14:solidFill>
                    <w14:schemeClr w14:val="tx1"/>
                  </w14:solidFill>
                </w14:textFill>
              </w:rPr>
              <w:t>南屿</w:t>
            </w:r>
            <w:r>
              <w:rPr>
                <w:rFonts w:hint="eastAsia"/>
                <w:color w:val="000000" w:themeColor="text1"/>
                <w:szCs w:val="21"/>
                <w:highlight w:val="none"/>
                <w:u w:val="single"/>
                <w:lang w:eastAsia="zh-CN"/>
                <w14:textFill>
                  <w14:solidFill>
                    <w14:schemeClr w14:val="tx1"/>
                  </w14:solidFill>
                </w14:textFill>
              </w:rPr>
              <w:t>镇</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乡（街道）</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lang w:eastAsia="zh-CN"/>
                <w14:textFill>
                  <w14:solidFill>
                    <w14:schemeClr w14:val="tx1"/>
                  </w14:solidFill>
                </w14:textFill>
              </w:rPr>
              <w:t>尧溪路3号1#厂房</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（具体地址）</w:t>
            </w:r>
          </w:p>
        </w:tc>
      </w:tr>
      <w:tr w14:paraId="5BA8AE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04" w:type="dxa"/>
            <w:gridSpan w:val="2"/>
            <w:tcMar>
              <w:top w:w="16" w:type="dxa"/>
              <w:left w:w="16" w:type="dxa"/>
              <w:right w:w="16" w:type="dxa"/>
            </w:tcMar>
            <w:vAlign w:val="center"/>
          </w:tcPr>
          <w:p w14:paraId="02D75B6C">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地理坐标</w:t>
            </w:r>
          </w:p>
        </w:tc>
        <w:tc>
          <w:tcPr>
            <w:tcW w:w="7866" w:type="dxa"/>
            <w:gridSpan w:val="3"/>
            <w:vAlign w:val="center"/>
          </w:tcPr>
          <w:p w14:paraId="1ADAEC51">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r>
              <w:rPr>
                <w:rFonts w:hint="eastAsia"/>
                <w:color w:val="000000" w:themeColor="text1"/>
                <w:szCs w:val="21"/>
                <w:highlight w:val="none"/>
                <w:u w:val="single"/>
                <w14:textFill>
                  <w14:solidFill>
                    <w14:schemeClr w14:val="tx1"/>
                  </w14:solidFill>
                </w14:textFill>
              </w:rPr>
              <w:t xml:space="preserve"> </w:t>
            </w:r>
            <w:r>
              <w:rPr>
                <w:color w:val="000000" w:themeColor="text1"/>
                <w:szCs w:val="21"/>
                <w:highlight w:val="none"/>
                <w:u w:val="single"/>
                <w14:textFill>
                  <w14:solidFill>
                    <w14:schemeClr w14:val="tx1"/>
                  </w14:solidFill>
                </w14:textFill>
              </w:rPr>
              <w:t xml:space="preserve">119 </w:t>
            </w:r>
            <w:r>
              <w:rPr>
                <w:color w:val="000000" w:themeColor="text1"/>
                <w:szCs w:val="21"/>
                <w:highlight w:val="none"/>
                <w14:textFill>
                  <w14:solidFill>
                    <w14:schemeClr w14:val="tx1"/>
                  </w14:solidFill>
                </w14:textFill>
              </w:rPr>
              <w:t>度</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lang w:val="en-US" w:eastAsia="zh-CN"/>
                <w14:textFill>
                  <w14:solidFill>
                    <w14:schemeClr w14:val="tx1"/>
                  </w14:solidFill>
                </w14:textFill>
              </w:rPr>
              <w:t>13</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分</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lang w:val="en-US" w:eastAsia="zh-CN"/>
                <w14:textFill>
                  <w14:solidFill>
                    <w14:schemeClr w14:val="tx1"/>
                  </w14:solidFill>
                </w14:textFill>
              </w:rPr>
              <w:t>34.450</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秒，</w:t>
            </w:r>
            <w:r>
              <w:rPr>
                <w:color w:val="000000" w:themeColor="text1"/>
                <w:szCs w:val="21"/>
                <w:highlight w:val="none"/>
                <w:u w:val="single"/>
                <w14:textFill>
                  <w14:solidFill>
                    <w14:schemeClr w14:val="tx1"/>
                  </w14:solidFill>
                </w14:textFill>
              </w:rPr>
              <w:t xml:space="preserve"> 2</w:t>
            </w:r>
            <w:r>
              <w:rPr>
                <w:rFonts w:hint="eastAsia"/>
                <w:color w:val="000000" w:themeColor="text1"/>
                <w:szCs w:val="21"/>
                <w:highlight w:val="none"/>
                <w:u w:val="single"/>
                <w:lang w:val="en-US" w:eastAsia="zh-CN"/>
                <w14:textFill>
                  <w14:solidFill>
                    <w14:schemeClr w14:val="tx1"/>
                  </w14:solidFill>
                </w14:textFill>
              </w:rPr>
              <w:t>5</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度</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lang w:val="en-US" w:eastAsia="zh-CN"/>
                <w14:textFill>
                  <w14:solidFill>
                    <w14:schemeClr w14:val="tx1"/>
                  </w14:solidFill>
                </w14:textFill>
              </w:rPr>
              <w:t>56</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分</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lang w:val="en-US" w:eastAsia="zh-CN"/>
                <w14:textFill>
                  <w14:solidFill>
                    <w14:schemeClr w14:val="tx1"/>
                  </w14:solidFill>
                </w14:textFill>
              </w:rPr>
              <w:t>33.030</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秒）</w:t>
            </w:r>
          </w:p>
        </w:tc>
      </w:tr>
      <w:tr w14:paraId="6656FD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004" w:type="dxa"/>
            <w:gridSpan w:val="2"/>
            <w:tcMar>
              <w:top w:w="16" w:type="dxa"/>
              <w:left w:w="16" w:type="dxa"/>
              <w:right w:w="16" w:type="dxa"/>
            </w:tcMar>
            <w:vAlign w:val="center"/>
          </w:tcPr>
          <w:p w14:paraId="712C01A5">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国民经济</w:t>
            </w:r>
          </w:p>
          <w:p w14:paraId="40480DDA">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行业类别</w:t>
            </w:r>
          </w:p>
        </w:tc>
        <w:tc>
          <w:tcPr>
            <w:tcW w:w="2820" w:type="dxa"/>
            <w:vAlign w:val="center"/>
          </w:tcPr>
          <w:p w14:paraId="2748483A">
            <w:pPr>
              <w:adjustRightInd w:val="0"/>
              <w:snapToGrid w:val="0"/>
              <w:jc w:val="center"/>
              <w:rPr>
                <w:rFonts w:hint="default" w:eastAsia="宋体"/>
                <w:color w:val="000000" w:themeColor="text1"/>
                <w:szCs w:val="21"/>
                <w:highlight w:val="none"/>
                <w:lang w:val="en-US" w:eastAsia="zh-CN"/>
                <w14:textFill>
                  <w14:solidFill>
                    <w14:schemeClr w14:val="tx1"/>
                  </w14:solidFill>
                </w14:textFill>
              </w:rPr>
            </w:pPr>
            <w:r>
              <w:rPr>
                <w:rFonts w:hint="default" w:eastAsia="宋体"/>
                <w:color w:val="000000" w:themeColor="text1"/>
                <w:szCs w:val="21"/>
                <w:highlight w:val="none"/>
                <w:lang w:val="en-US" w:eastAsia="zh-CN"/>
                <w14:textFill>
                  <w14:solidFill>
                    <w14:schemeClr w14:val="tx1"/>
                  </w14:solidFill>
                </w14:textFill>
              </w:rPr>
              <w:t>C3989 其他电子元件制造</w:t>
            </w:r>
          </w:p>
        </w:tc>
        <w:tc>
          <w:tcPr>
            <w:tcW w:w="1677" w:type="dxa"/>
            <w:vAlign w:val="center"/>
          </w:tcPr>
          <w:p w14:paraId="1B079F5B">
            <w:pPr>
              <w:adjustRightInd w:val="0"/>
              <w:snapToGrid w:val="0"/>
              <w:jc w:val="center"/>
              <w:rPr>
                <w:color w:val="000000" w:themeColor="text1"/>
                <w:szCs w:val="21"/>
                <w:highlight w:val="none"/>
                <w14:textFill>
                  <w14:solidFill>
                    <w14:schemeClr w14:val="tx1"/>
                  </w14:solidFill>
                </w14:textFill>
              </w:rPr>
            </w:pPr>
            <w:bookmarkStart w:id="6" w:name="_Hlk49843745"/>
            <w:r>
              <w:rPr>
                <w:color w:val="000000" w:themeColor="text1"/>
                <w:szCs w:val="21"/>
                <w:highlight w:val="none"/>
                <w14:textFill>
                  <w14:solidFill>
                    <w14:schemeClr w14:val="tx1"/>
                  </w14:solidFill>
                </w14:textFill>
              </w:rPr>
              <w:t>建设项目</w:t>
            </w:r>
          </w:p>
          <w:p w14:paraId="0E792813">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行业类别</w:t>
            </w:r>
            <w:bookmarkEnd w:id="6"/>
          </w:p>
        </w:tc>
        <w:tc>
          <w:tcPr>
            <w:tcW w:w="3369" w:type="dxa"/>
            <w:vAlign w:val="center"/>
          </w:tcPr>
          <w:p w14:paraId="4A01A52F">
            <w:pPr>
              <w:adjustRightInd w:val="0"/>
              <w:snapToGrid w:val="0"/>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三十六、计算机、通信和其他电子设备制造39</w:t>
            </w:r>
            <w:r>
              <w:rPr>
                <w:rFonts w:hint="eastAsia"/>
                <w:color w:val="000000" w:themeColor="text1"/>
                <w:szCs w:val="21"/>
                <w:highlight w:val="none"/>
                <w:lang w:val="en-US" w:eastAsia="zh-CN"/>
                <w14:textFill>
                  <w14:solidFill>
                    <w14:schemeClr w14:val="tx1"/>
                  </w14:solidFill>
                </w14:textFill>
              </w:rPr>
              <w:t>-</w:t>
            </w:r>
            <w:r>
              <w:rPr>
                <w:rFonts w:hint="eastAsia"/>
                <w:color w:val="000000" w:themeColor="text1"/>
                <w:szCs w:val="21"/>
                <w:highlight w:val="none"/>
                <w14:textFill>
                  <w14:solidFill>
                    <w14:schemeClr w14:val="tx1"/>
                  </w14:solidFill>
                </w14:textFill>
              </w:rPr>
              <w:t>81电子元件及电子专用材料制造398</w:t>
            </w:r>
            <w:r>
              <w:rPr>
                <w:rFonts w:hint="eastAsia"/>
                <w:color w:val="000000" w:themeColor="text1"/>
                <w:szCs w:val="21"/>
                <w:highlight w:val="none"/>
                <w:lang w:val="en-US" w:eastAsia="zh-CN"/>
                <w14:textFill>
                  <w14:solidFill>
                    <w14:schemeClr w14:val="tx1"/>
                  </w14:solidFill>
                </w14:textFill>
              </w:rPr>
              <w:t>-</w:t>
            </w:r>
            <w:r>
              <w:rPr>
                <w:rFonts w:hint="eastAsia"/>
                <w:color w:val="000000" w:themeColor="text1"/>
                <w:szCs w:val="21"/>
                <w:highlight w:val="none"/>
                <w14:textFill>
                  <w14:solidFill>
                    <w14:schemeClr w14:val="tx1"/>
                  </w14:solidFill>
                </w14:textFill>
              </w:rPr>
              <w:t>印刷电路板制造；电子专用材料制造（电子化工材料制造除外）；使用有机溶剂的；有酸洗的</w:t>
            </w:r>
          </w:p>
          <w:p w14:paraId="5903155A">
            <w:pPr>
              <w:adjustRightInd w:val="0"/>
              <w:snapToGrid w:val="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以上均不含仅分割、焊接、组装的</w:t>
            </w:r>
          </w:p>
        </w:tc>
      </w:tr>
      <w:tr w14:paraId="4B9AD5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004" w:type="dxa"/>
            <w:gridSpan w:val="2"/>
            <w:tcMar>
              <w:top w:w="16" w:type="dxa"/>
              <w:left w:w="16" w:type="dxa"/>
              <w:right w:w="16" w:type="dxa"/>
            </w:tcMar>
            <w:vAlign w:val="center"/>
          </w:tcPr>
          <w:p w14:paraId="323D8A9D">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建设性质</w:t>
            </w:r>
          </w:p>
        </w:tc>
        <w:tc>
          <w:tcPr>
            <w:tcW w:w="2820" w:type="dxa"/>
            <w:vAlign w:val="center"/>
          </w:tcPr>
          <w:p w14:paraId="7DFB7C21">
            <w:pPr>
              <w:jc w:val="left"/>
              <w:rPr>
                <w:color w:val="000000" w:themeColor="text1"/>
                <w:szCs w:val="21"/>
                <w:highlight w:val="none"/>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w:t>
            </w:r>
            <w:r>
              <w:rPr>
                <w:color w:val="000000" w:themeColor="text1"/>
                <w:szCs w:val="21"/>
                <w:highlight w:val="none"/>
                <w14:textFill>
                  <w14:solidFill>
                    <w14:schemeClr w14:val="tx1"/>
                  </w14:solidFill>
                </w14:textFill>
              </w:rPr>
              <w:t>新建（迁建）</w:t>
            </w:r>
          </w:p>
          <w:p w14:paraId="33D5E8B0">
            <w:pPr>
              <w:jc w:val="left"/>
              <w:rPr>
                <w:color w:val="000000" w:themeColor="text1"/>
                <w:szCs w:val="21"/>
                <w:highlight w:val="none"/>
                <w14:textFill>
                  <w14:solidFill>
                    <w14:schemeClr w14:val="tx1"/>
                  </w14:solidFill>
                </w14:textFill>
              </w:rPr>
            </w:pPr>
            <w:r>
              <w:rPr>
                <w:rFonts w:ascii="Wingdings 2" w:hAnsi="Wingdings 2"/>
                <w:color w:val="000000" w:themeColor="text1"/>
                <w:szCs w:val="21"/>
                <w:highlight w:val="none"/>
                <w14:textFill>
                  <w14:solidFill>
                    <w14:schemeClr w14:val="tx1"/>
                  </w14:solidFill>
                </w14:textFill>
              </w:rPr>
              <w:sym w:font="Wingdings 2" w:char="00A3"/>
            </w:r>
            <w:r>
              <w:rPr>
                <w:color w:val="000000" w:themeColor="text1"/>
                <w:szCs w:val="21"/>
                <w:highlight w:val="none"/>
                <w14:textFill>
                  <w14:solidFill>
                    <w14:schemeClr w14:val="tx1"/>
                  </w14:solidFill>
                </w14:textFill>
              </w:rPr>
              <w:t>改建</w:t>
            </w:r>
          </w:p>
          <w:p w14:paraId="304C7497">
            <w:pPr>
              <w:jc w:val="left"/>
              <w:rPr>
                <w:color w:val="000000" w:themeColor="text1"/>
                <w:szCs w:val="21"/>
                <w:highlight w:val="none"/>
                <w14:textFill>
                  <w14:solidFill>
                    <w14:schemeClr w14:val="tx1"/>
                  </w14:solidFill>
                </w14:textFill>
              </w:rPr>
            </w:pPr>
            <w:r>
              <w:rPr>
                <w:rFonts w:ascii="Wingdings 2" w:hAnsi="Wingdings 2"/>
                <w:color w:val="000000" w:themeColor="text1"/>
                <w:szCs w:val="21"/>
                <w:highlight w:val="none"/>
                <w14:textFill>
                  <w14:solidFill>
                    <w14:schemeClr w14:val="tx1"/>
                  </w14:solidFill>
                </w14:textFill>
              </w:rPr>
              <w:sym w:font="Wingdings 2" w:char="0052"/>
            </w:r>
            <w:r>
              <w:rPr>
                <w:color w:val="000000" w:themeColor="text1"/>
                <w:szCs w:val="21"/>
                <w:highlight w:val="none"/>
                <w14:textFill>
                  <w14:solidFill>
                    <w14:schemeClr w14:val="tx1"/>
                  </w14:solidFill>
                </w14:textFill>
              </w:rPr>
              <w:t>扩建</w:t>
            </w:r>
          </w:p>
          <w:p w14:paraId="002197BB">
            <w:pPr>
              <w:jc w:val="left"/>
              <w:rPr>
                <w:color w:val="000000" w:themeColor="text1"/>
                <w:szCs w:val="21"/>
                <w:highlight w:val="none"/>
                <w14:textFill>
                  <w14:solidFill>
                    <w14:schemeClr w14:val="tx1"/>
                  </w14:solidFill>
                </w14:textFill>
              </w:rPr>
            </w:pPr>
            <w:r>
              <w:rPr>
                <w:rFonts w:ascii="Wingdings 2" w:hAnsi="Wingdings 2"/>
                <w:color w:val="000000" w:themeColor="text1"/>
                <w:szCs w:val="21"/>
                <w:highlight w:val="none"/>
                <w14:textFill>
                  <w14:solidFill>
                    <w14:schemeClr w14:val="tx1"/>
                  </w14:solidFill>
                </w14:textFill>
              </w:rPr>
              <w:sym w:font="Wingdings 2" w:char="00A3"/>
            </w:r>
            <w:r>
              <w:rPr>
                <w:color w:val="000000" w:themeColor="text1"/>
                <w:szCs w:val="21"/>
                <w:highlight w:val="none"/>
                <w14:textFill>
                  <w14:solidFill>
                    <w14:schemeClr w14:val="tx1"/>
                  </w14:solidFill>
                </w14:textFill>
              </w:rPr>
              <w:t>技术改造</w:t>
            </w:r>
          </w:p>
        </w:tc>
        <w:tc>
          <w:tcPr>
            <w:tcW w:w="1677" w:type="dxa"/>
            <w:vAlign w:val="center"/>
          </w:tcPr>
          <w:p w14:paraId="23C6905E">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建设项目</w:t>
            </w:r>
          </w:p>
          <w:p w14:paraId="139D18CE">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申报情形</w:t>
            </w:r>
          </w:p>
        </w:tc>
        <w:tc>
          <w:tcPr>
            <w:tcW w:w="3369" w:type="dxa"/>
            <w:vAlign w:val="center"/>
          </w:tcPr>
          <w:p w14:paraId="0CCD509C">
            <w:pPr>
              <w:jc w:val="left"/>
              <w:rPr>
                <w:color w:val="000000" w:themeColor="text1"/>
                <w:szCs w:val="21"/>
                <w:highlight w:val="none"/>
                <w14:textFill>
                  <w14:solidFill>
                    <w14:schemeClr w14:val="tx1"/>
                  </w14:solidFill>
                </w14:textFill>
              </w:rPr>
            </w:pPr>
            <w:r>
              <w:rPr>
                <w:rFonts w:ascii="Wingdings 2" w:hAnsi="Wingdings 2"/>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 xml:space="preserve">首次申报项目             </w:t>
            </w:r>
          </w:p>
          <w:p w14:paraId="3B9A25DF">
            <w:pPr>
              <w:jc w:val="left"/>
              <w:rPr>
                <w:color w:val="000000" w:themeColor="text1"/>
                <w:szCs w:val="21"/>
                <w:highlight w:val="none"/>
                <w14:textFill>
                  <w14:solidFill>
                    <w14:schemeClr w14:val="tx1"/>
                  </w14:solidFill>
                </w14:textFill>
              </w:rPr>
            </w:pPr>
            <w:r>
              <w:rPr>
                <w:rFonts w:ascii="Wingdings 2" w:hAnsi="Wingdings 2"/>
                <w:color w:val="000000" w:themeColor="text1"/>
                <w:szCs w:val="21"/>
                <w:highlight w:val="none"/>
                <w14:textFill>
                  <w14:solidFill>
                    <w14:schemeClr w14:val="tx1"/>
                  </w14:solidFill>
                </w14:textFill>
              </w:rPr>
              <w:sym w:font="Wingdings 2" w:char="00A3"/>
            </w:r>
            <w:r>
              <w:rPr>
                <w:color w:val="000000" w:themeColor="text1"/>
                <w:szCs w:val="21"/>
                <w:highlight w:val="none"/>
                <w14:textFill>
                  <w14:solidFill>
                    <w14:schemeClr w14:val="tx1"/>
                  </w14:solidFill>
                </w14:textFill>
              </w:rPr>
              <w:t>不予批准后再次申报项目</w:t>
            </w:r>
          </w:p>
          <w:p w14:paraId="23ABB481">
            <w:pPr>
              <w:jc w:val="left"/>
              <w:rPr>
                <w:color w:val="000000" w:themeColor="text1"/>
                <w:szCs w:val="21"/>
                <w:highlight w:val="none"/>
                <w14:textFill>
                  <w14:solidFill>
                    <w14:schemeClr w14:val="tx1"/>
                  </w14:solidFill>
                </w14:textFill>
              </w:rPr>
            </w:pPr>
            <w:r>
              <w:rPr>
                <w:rFonts w:ascii="Wingdings 2" w:hAnsi="Wingdings 2"/>
                <w:color w:val="000000" w:themeColor="text1"/>
                <w:szCs w:val="21"/>
                <w:highlight w:val="none"/>
                <w14:textFill>
                  <w14:solidFill>
                    <w14:schemeClr w14:val="tx1"/>
                  </w14:solidFill>
                </w14:textFill>
              </w:rPr>
              <w:sym w:font="Wingdings 2" w:char="00A3"/>
            </w:r>
            <w:r>
              <w:rPr>
                <w:color w:val="000000" w:themeColor="text1"/>
                <w:szCs w:val="21"/>
                <w:highlight w:val="none"/>
                <w14:textFill>
                  <w14:solidFill>
                    <w14:schemeClr w14:val="tx1"/>
                  </w14:solidFill>
                </w14:textFill>
              </w:rPr>
              <w:t xml:space="preserve">超五年重新审核项目     </w:t>
            </w:r>
          </w:p>
          <w:p w14:paraId="0D388033">
            <w:pPr>
              <w:jc w:val="left"/>
              <w:rPr>
                <w:color w:val="000000" w:themeColor="text1"/>
                <w:szCs w:val="21"/>
                <w:highlight w:val="none"/>
                <w14:textFill>
                  <w14:solidFill>
                    <w14:schemeClr w14:val="tx1"/>
                  </w14:solidFill>
                </w14:textFill>
              </w:rPr>
            </w:pPr>
            <w:r>
              <w:rPr>
                <w:rFonts w:ascii="Wingdings 2" w:hAnsi="Wingdings 2"/>
                <w:color w:val="000000" w:themeColor="text1"/>
                <w:szCs w:val="21"/>
                <w:highlight w:val="none"/>
                <w14:textFill>
                  <w14:solidFill>
                    <w14:schemeClr w14:val="tx1"/>
                  </w14:solidFill>
                </w14:textFill>
              </w:rPr>
              <w:sym w:font="Wingdings 2" w:char="00A3"/>
            </w:r>
            <w:r>
              <w:rPr>
                <w:color w:val="000000" w:themeColor="text1"/>
                <w:szCs w:val="21"/>
                <w:highlight w:val="none"/>
                <w14:textFill>
                  <w14:solidFill>
                    <w14:schemeClr w14:val="tx1"/>
                  </w14:solidFill>
                </w14:textFill>
              </w:rPr>
              <w:t>重大变动重新报批项目</w:t>
            </w:r>
          </w:p>
        </w:tc>
      </w:tr>
      <w:tr w14:paraId="45592F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004" w:type="dxa"/>
            <w:gridSpan w:val="2"/>
            <w:tcMar>
              <w:top w:w="16" w:type="dxa"/>
              <w:left w:w="16" w:type="dxa"/>
              <w:right w:w="16" w:type="dxa"/>
            </w:tcMar>
            <w:vAlign w:val="center"/>
          </w:tcPr>
          <w:p w14:paraId="0DEA7536">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项目审批（核准/</w:t>
            </w:r>
          </w:p>
          <w:p w14:paraId="769F5708">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备案）部门（选填）</w:t>
            </w:r>
          </w:p>
        </w:tc>
        <w:tc>
          <w:tcPr>
            <w:tcW w:w="2820" w:type="dxa"/>
            <w:vAlign w:val="center"/>
          </w:tcPr>
          <w:p w14:paraId="59DAB382">
            <w:pPr>
              <w:adjustRightInd w:val="0"/>
              <w:snapToGrid w:val="0"/>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福州高新区经济发展局</w:t>
            </w:r>
          </w:p>
        </w:tc>
        <w:tc>
          <w:tcPr>
            <w:tcW w:w="1677" w:type="dxa"/>
            <w:vAlign w:val="center"/>
          </w:tcPr>
          <w:p w14:paraId="362567C1">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项目审批（核准/</w:t>
            </w:r>
          </w:p>
          <w:p w14:paraId="540A35AC">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备案）文号（选填）</w:t>
            </w:r>
          </w:p>
        </w:tc>
        <w:tc>
          <w:tcPr>
            <w:tcW w:w="3369" w:type="dxa"/>
            <w:vAlign w:val="center"/>
          </w:tcPr>
          <w:p w14:paraId="26B9EA2B">
            <w:pPr>
              <w:adjustRightInd w:val="0"/>
              <w:snapToGrid w:val="0"/>
              <w:jc w:val="center"/>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闽工信备[2025]A140209号</w:t>
            </w:r>
          </w:p>
        </w:tc>
      </w:tr>
      <w:tr w14:paraId="6ABFEB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04" w:type="dxa"/>
            <w:gridSpan w:val="2"/>
            <w:tcMar>
              <w:top w:w="16" w:type="dxa"/>
              <w:left w:w="16" w:type="dxa"/>
              <w:right w:w="16" w:type="dxa"/>
            </w:tcMar>
            <w:vAlign w:val="center"/>
          </w:tcPr>
          <w:p w14:paraId="09828D25">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总投资（万元）</w:t>
            </w:r>
          </w:p>
        </w:tc>
        <w:tc>
          <w:tcPr>
            <w:tcW w:w="2820" w:type="dxa"/>
            <w:vAlign w:val="center"/>
          </w:tcPr>
          <w:p w14:paraId="706D7225">
            <w:pPr>
              <w:adjustRightInd w:val="0"/>
              <w:snapToGrid w:val="0"/>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w:t>
            </w:r>
          </w:p>
        </w:tc>
        <w:tc>
          <w:tcPr>
            <w:tcW w:w="1677" w:type="dxa"/>
            <w:tcMar>
              <w:top w:w="16" w:type="dxa"/>
              <w:left w:w="16" w:type="dxa"/>
              <w:right w:w="16" w:type="dxa"/>
            </w:tcMar>
            <w:vAlign w:val="center"/>
          </w:tcPr>
          <w:p w14:paraId="31C0EE01">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环保投资（万元）</w:t>
            </w:r>
          </w:p>
        </w:tc>
        <w:tc>
          <w:tcPr>
            <w:tcW w:w="3369" w:type="dxa"/>
            <w:vAlign w:val="center"/>
          </w:tcPr>
          <w:p w14:paraId="517759E1">
            <w:pPr>
              <w:adjustRightInd w:val="0"/>
              <w:snapToGrid w:val="0"/>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w:t>
            </w:r>
          </w:p>
        </w:tc>
      </w:tr>
      <w:tr w14:paraId="4CE818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04" w:type="dxa"/>
            <w:gridSpan w:val="2"/>
            <w:tcMar>
              <w:top w:w="16" w:type="dxa"/>
              <w:left w:w="16" w:type="dxa"/>
              <w:right w:w="16" w:type="dxa"/>
            </w:tcMar>
            <w:vAlign w:val="center"/>
          </w:tcPr>
          <w:p w14:paraId="5FB86508">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环保投资占比（%）</w:t>
            </w:r>
          </w:p>
        </w:tc>
        <w:tc>
          <w:tcPr>
            <w:tcW w:w="2820" w:type="dxa"/>
            <w:vAlign w:val="center"/>
          </w:tcPr>
          <w:p w14:paraId="4008BDF8">
            <w:pPr>
              <w:adjustRightInd w:val="0"/>
              <w:snapToGrid w:val="0"/>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w:t>
            </w:r>
          </w:p>
        </w:tc>
        <w:tc>
          <w:tcPr>
            <w:tcW w:w="1677" w:type="dxa"/>
            <w:tcMar>
              <w:top w:w="16" w:type="dxa"/>
              <w:left w:w="16" w:type="dxa"/>
              <w:right w:w="16" w:type="dxa"/>
            </w:tcMar>
            <w:vAlign w:val="center"/>
          </w:tcPr>
          <w:p w14:paraId="2A6CB9AC">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施工工期</w:t>
            </w:r>
          </w:p>
        </w:tc>
        <w:tc>
          <w:tcPr>
            <w:tcW w:w="3369" w:type="dxa"/>
            <w:vAlign w:val="center"/>
          </w:tcPr>
          <w:p w14:paraId="281BC883">
            <w:pPr>
              <w:adjustRightInd w:val="0"/>
              <w:snapToGrid w:val="0"/>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24</w:t>
            </w:r>
            <w:r>
              <w:rPr>
                <w:rFonts w:hint="eastAsia"/>
                <w:color w:val="000000" w:themeColor="text1"/>
                <w:szCs w:val="21"/>
                <w:highlight w:val="none"/>
                <w14:textFill>
                  <w14:solidFill>
                    <w14:schemeClr w14:val="tx1"/>
                  </w14:solidFill>
                </w14:textFill>
              </w:rPr>
              <w:t>个月</w:t>
            </w:r>
          </w:p>
        </w:tc>
      </w:tr>
      <w:tr w14:paraId="1AF84D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04" w:type="dxa"/>
            <w:gridSpan w:val="2"/>
            <w:tcMar>
              <w:top w:w="16" w:type="dxa"/>
              <w:left w:w="16" w:type="dxa"/>
              <w:right w:w="16" w:type="dxa"/>
            </w:tcMar>
            <w:vAlign w:val="center"/>
          </w:tcPr>
          <w:p w14:paraId="7F1196BC">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是否开工建设</w:t>
            </w:r>
          </w:p>
        </w:tc>
        <w:tc>
          <w:tcPr>
            <w:tcW w:w="2820" w:type="dxa"/>
            <w:vAlign w:val="center"/>
          </w:tcPr>
          <w:p w14:paraId="60D0AB8C">
            <w:pPr>
              <w:adjustRightInd w:val="0"/>
              <w:snapToGrid w:val="0"/>
              <w:rPr>
                <w:color w:val="000000" w:themeColor="text1"/>
                <w:szCs w:val="21"/>
                <w:highlight w:val="none"/>
                <w14:textFill>
                  <w14:solidFill>
                    <w14:schemeClr w14:val="tx1"/>
                  </w14:solidFill>
                </w14:textFill>
              </w:rPr>
            </w:pPr>
            <w:r>
              <w:rPr>
                <w:rFonts w:ascii="Wingdings 2" w:hAnsi="Wingdings 2"/>
                <w:color w:val="000000" w:themeColor="text1"/>
                <w:szCs w:val="21"/>
                <w:highlight w:val="none"/>
                <w14:textFill>
                  <w14:solidFill>
                    <w14:schemeClr w14:val="tx1"/>
                  </w14:solidFill>
                </w14:textFill>
              </w:rPr>
              <w:sym w:font="Wingdings 2" w:char="0052"/>
            </w:r>
            <w:r>
              <w:rPr>
                <w:color w:val="000000" w:themeColor="text1"/>
                <w:szCs w:val="21"/>
                <w:highlight w:val="none"/>
                <w14:textFill>
                  <w14:solidFill>
                    <w14:schemeClr w14:val="tx1"/>
                  </w14:solidFill>
                </w14:textFill>
              </w:rPr>
              <w:t>否</w:t>
            </w:r>
          </w:p>
          <w:p w14:paraId="40520070">
            <w:pPr>
              <w:adjustRightInd w:val="0"/>
              <w:snapToGrid w:val="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sym w:font="Wingdings 2" w:char="00A3"/>
            </w:r>
            <w:r>
              <w:rPr>
                <w:color w:val="000000" w:themeColor="text1"/>
                <w:szCs w:val="21"/>
                <w:highlight w:val="none"/>
                <w14:textFill>
                  <w14:solidFill>
                    <w14:schemeClr w14:val="tx1"/>
                  </w14:solidFill>
                </w14:textFill>
              </w:rPr>
              <w:t>是：</w:t>
            </w:r>
            <w:r>
              <w:rPr>
                <w:color w:val="000000" w:themeColor="text1"/>
                <w:szCs w:val="21"/>
                <w:highlight w:val="none"/>
                <w:u w:val="single"/>
                <w14:textFill>
                  <w14:solidFill>
                    <w14:schemeClr w14:val="tx1"/>
                  </w14:solidFill>
                </w14:textFill>
              </w:rPr>
              <w:t xml:space="preserve">           </w:t>
            </w:r>
          </w:p>
        </w:tc>
        <w:tc>
          <w:tcPr>
            <w:tcW w:w="1677" w:type="dxa"/>
            <w:tcMar>
              <w:top w:w="16" w:type="dxa"/>
              <w:left w:w="16" w:type="dxa"/>
              <w:right w:w="16" w:type="dxa"/>
            </w:tcMar>
            <w:vAlign w:val="center"/>
          </w:tcPr>
          <w:p w14:paraId="24E795B7">
            <w:pPr>
              <w:adjustRightInd w:val="0"/>
              <w:snapToGrid w:val="0"/>
              <w:jc w:val="center"/>
              <w:rPr>
                <w:color w:val="000000" w:themeColor="text1"/>
                <w:spacing w:val="-6"/>
                <w:szCs w:val="21"/>
                <w:highlight w:val="none"/>
                <w14:textFill>
                  <w14:solidFill>
                    <w14:schemeClr w14:val="tx1"/>
                  </w14:solidFill>
                </w14:textFill>
              </w:rPr>
            </w:pPr>
            <w:r>
              <w:rPr>
                <w:color w:val="000000" w:themeColor="text1"/>
                <w:spacing w:val="-6"/>
                <w:szCs w:val="21"/>
                <w:highlight w:val="none"/>
                <w14:textFill>
                  <w14:solidFill>
                    <w14:schemeClr w14:val="tx1"/>
                  </w14:solidFill>
                </w14:textFill>
              </w:rPr>
              <w:t>用地（用海）</w:t>
            </w:r>
          </w:p>
          <w:p w14:paraId="63675CD4">
            <w:pPr>
              <w:adjustRightInd w:val="0"/>
              <w:snapToGrid w:val="0"/>
              <w:jc w:val="center"/>
              <w:rPr>
                <w:color w:val="000000" w:themeColor="text1"/>
                <w:szCs w:val="21"/>
                <w:highlight w:val="none"/>
                <w14:textFill>
                  <w14:solidFill>
                    <w14:schemeClr w14:val="tx1"/>
                  </w14:solidFill>
                </w14:textFill>
              </w:rPr>
            </w:pPr>
            <w:r>
              <w:rPr>
                <w:color w:val="000000" w:themeColor="text1"/>
                <w:spacing w:val="-6"/>
                <w:szCs w:val="21"/>
                <w:highlight w:val="none"/>
                <w14:textFill>
                  <w14:solidFill>
                    <w14:schemeClr w14:val="tx1"/>
                  </w14:solidFill>
                </w14:textFill>
              </w:rPr>
              <w:t>面积（m</w:t>
            </w:r>
            <w:r>
              <w:rPr>
                <w:color w:val="000000" w:themeColor="text1"/>
                <w:spacing w:val="-6"/>
                <w:szCs w:val="21"/>
                <w:highlight w:val="none"/>
                <w:vertAlign w:val="superscript"/>
                <w14:textFill>
                  <w14:solidFill>
                    <w14:schemeClr w14:val="tx1"/>
                  </w14:solidFill>
                </w14:textFill>
              </w:rPr>
              <w:t>2</w:t>
            </w:r>
            <w:r>
              <w:rPr>
                <w:color w:val="000000" w:themeColor="text1"/>
                <w:spacing w:val="-6"/>
                <w:szCs w:val="21"/>
                <w:highlight w:val="none"/>
                <w14:textFill>
                  <w14:solidFill>
                    <w14:schemeClr w14:val="tx1"/>
                  </w14:solidFill>
                </w14:textFill>
              </w:rPr>
              <w:t>）</w:t>
            </w:r>
          </w:p>
        </w:tc>
        <w:tc>
          <w:tcPr>
            <w:tcW w:w="3369" w:type="dxa"/>
            <w:vAlign w:val="center"/>
          </w:tcPr>
          <w:p w14:paraId="0F611892">
            <w:pPr>
              <w:adjustRightInd w:val="0"/>
              <w:snapToGrid w:val="0"/>
              <w:jc w:val="center"/>
              <w:rPr>
                <w:color w:val="000000" w:themeColor="text1"/>
                <w:szCs w:val="21"/>
                <w:highlight w:val="none"/>
                <w14:textFill>
                  <w14:solidFill>
                    <w14:schemeClr w14:val="tx1"/>
                  </w14:solidFill>
                </w14:textFill>
              </w:rPr>
            </w:pPr>
            <w:r>
              <w:rPr>
                <w:rFonts w:hint="eastAsia"/>
                <w:bCs/>
                <w:color w:val="000000" w:themeColor="text1"/>
                <w:kern w:val="0"/>
                <w:sz w:val="21"/>
                <w:szCs w:val="21"/>
                <w:highlight w:val="none"/>
                <w:lang w:val="en-US" w:eastAsia="zh-CN"/>
                <w14:textFill>
                  <w14:solidFill>
                    <w14:schemeClr w14:val="tx1"/>
                  </w14:solidFill>
                </w14:textFill>
              </w:rPr>
              <w:t>租用</w:t>
            </w:r>
            <w:r>
              <w:rPr>
                <w:bCs/>
                <w:color w:val="000000" w:themeColor="text1"/>
                <w:kern w:val="0"/>
                <w:sz w:val="21"/>
                <w:szCs w:val="21"/>
                <w:highlight w:val="none"/>
                <w14:textFill>
                  <w14:solidFill>
                    <w14:schemeClr w14:val="tx1"/>
                  </w14:solidFill>
                </w14:textFill>
              </w:rPr>
              <w:t>面积</w:t>
            </w:r>
            <w:r>
              <w:rPr>
                <w:rFonts w:hint="eastAsia"/>
                <w:bCs/>
                <w:color w:val="000000" w:themeColor="text1"/>
                <w:kern w:val="0"/>
                <w:sz w:val="21"/>
                <w:szCs w:val="21"/>
                <w:highlight w:val="none"/>
                <w:lang w:val="en-US" w:eastAsia="zh-CN"/>
                <w14:textFill>
                  <w14:solidFill>
                    <w14:schemeClr w14:val="tx1"/>
                  </w14:solidFill>
                </w14:textFill>
              </w:rPr>
              <w:t>约11858.28</w:t>
            </w:r>
            <w:r>
              <w:rPr>
                <w:bCs/>
                <w:color w:val="000000" w:themeColor="text1"/>
                <w:kern w:val="0"/>
                <w:sz w:val="21"/>
                <w:szCs w:val="21"/>
                <w:highlight w:val="none"/>
                <w14:textFill>
                  <w14:solidFill>
                    <w14:schemeClr w14:val="tx1"/>
                  </w14:solidFill>
                </w14:textFill>
              </w:rPr>
              <w:t>m</w:t>
            </w:r>
            <w:r>
              <w:rPr>
                <w:bCs/>
                <w:color w:val="000000" w:themeColor="text1"/>
                <w:kern w:val="0"/>
                <w:sz w:val="21"/>
                <w:szCs w:val="21"/>
                <w:highlight w:val="none"/>
                <w:vertAlign w:val="superscript"/>
                <w14:textFill>
                  <w14:solidFill>
                    <w14:schemeClr w14:val="tx1"/>
                  </w14:solidFill>
                </w14:textFill>
              </w:rPr>
              <w:t>2</w:t>
            </w:r>
          </w:p>
        </w:tc>
      </w:tr>
      <w:tr w14:paraId="0C52AA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29" w:hRule="atLeast"/>
          <w:jc w:val="center"/>
        </w:trPr>
        <w:tc>
          <w:tcPr>
            <w:tcW w:w="722" w:type="dxa"/>
            <w:vAlign w:val="center"/>
          </w:tcPr>
          <w:p w14:paraId="42C473D1">
            <w:pPr>
              <w:autoSpaceDE w:val="0"/>
              <w:autoSpaceDN w:val="0"/>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专项评价设置情况</w:t>
            </w:r>
          </w:p>
        </w:tc>
        <w:tc>
          <w:tcPr>
            <w:tcW w:w="8148" w:type="dxa"/>
            <w:gridSpan w:val="4"/>
            <w:vAlign w:val="center"/>
          </w:tcPr>
          <w:p w14:paraId="059BDEFD">
            <w:pPr>
              <w:autoSpaceDE w:val="0"/>
              <w:autoSpaceDN w:val="0"/>
              <w:adjustRightInd w:val="0"/>
              <w:snapToGrid w:val="0"/>
              <w:spacing w:before="120" w:beforeLines="50" w:line="360" w:lineRule="auto"/>
              <w:jc w:val="center"/>
              <w:rPr>
                <w:b/>
                <w:color w:val="000000" w:themeColor="text1"/>
                <w:kern w:val="0"/>
                <w:sz w:val="24"/>
                <w:szCs w:val="24"/>
                <w:highlight w:val="none"/>
                <w14:textFill>
                  <w14:solidFill>
                    <w14:schemeClr w14:val="tx1"/>
                  </w14:solidFill>
                </w14:textFill>
              </w:rPr>
            </w:pPr>
            <w:r>
              <w:rPr>
                <w:b/>
                <w:color w:val="000000" w:themeColor="text1"/>
                <w:kern w:val="0"/>
                <w:sz w:val="24"/>
                <w:szCs w:val="24"/>
                <w:highlight w:val="none"/>
                <w14:textFill>
                  <w14:solidFill>
                    <w14:schemeClr w14:val="tx1"/>
                  </w14:solidFill>
                </w14:textFill>
              </w:rPr>
              <w:t>表</w:t>
            </w:r>
            <w:r>
              <w:rPr>
                <w:rFonts w:hint="eastAsia"/>
                <w:b/>
                <w:color w:val="000000" w:themeColor="text1"/>
                <w:kern w:val="0"/>
                <w:sz w:val="24"/>
                <w:szCs w:val="24"/>
                <w:highlight w:val="none"/>
                <w14:textFill>
                  <w14:solidFill>
                    <w14:schemeClr w14:val="tx1"/>
                  </w14:solidFill>
                </w14:textFill>
              </w:rPr>
              <w:t xml:space="preserve"> </w:t>
            </w:r>
            <w:r>
              <w:rPr>
                <w:b/>
                <w:color w:val="000000" w:themeColor="text1"/>
                <w:kern w:val="0"/>
                <w:sz w:val="24"/>
                <w:szCs w:val="24"/>
                <w:highlight w:val="none"/>
                <w14:textFill>
                  <w14:solidFill>
                    <w14:schemeClr w14:val="tx1"/>
                  </w14:solidFill>
                </w14:textFill>
              </w:rPr>
              <w:t xml:space="preserve">1-1  </w:t>
            </w:r>
            <w:r>
              <w:rPr>
                <w:rFonts w:hint="eastAsia"/>
                <w:b/>
                <w:color w:val="000000" w:themeColor="text1"/>
                <w:kern w:val="0"/>
                <w:sz w:val="24"/>
                <w:szCs w:val="24"/>
                <w:highlight w:val="none"/>
                <w14:textFill>
                  <w14:solidFill>
                    <w14:schemeClr w14:val="tx1"/>
                  </w14:solidFill>
                </w14:textFill>
              </w:rPr>
              <w:t>专项评价设置原则及本项目情况</w:t>
            </w:r>
          </w:p>
          <w:tbl>
            <w:tblPr>
              <w:tblStyle w:val="30"/>
              <w:tblW w:w="788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76"/>
              <w:gridCol w:w="2686"/>
              <w:gridCol w:w="2359"/>
              <w:gridCol w:w="1559"/>
            </w:tblGrid>
            <w:tr w14:paraId="30C6A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 w:hRule="atLeast"/>
              </w:trPr>
              <w:tc>
                <w:tcPr>
                  <w:tcW w:w="810" w:type="pct"/>
                  <w:shd w:val="clear" w:color="auto" w:fill="auto"/>
                  <w:vAlign w:val="center"/>
                </w:tcPr>
                <w:p w14:paraId="47C63D04">
                  <w:pPr>
                    <w:pStyle w:val="36"/>
                    <w:autoSpaceDE/>
                    <w:autoSpaceDN/>
                    <w:spacing w:before="0"/>
                    <w:ind w:left="0"/>
                    <w:jc w:val="center"/>
                    <w:rPr>
                      <w:rFonts w:ascii="Times New Roman" w:hAnsi="Times New Roman" w:cs="Times New Roman"/>
                      <w:color w:val="000000" w:themeColor="text1"/>
                      <w:kern w:val="2"/>
                      <w:sz w:val="21"/>
                      <w:szCs w:val="28"/>
                      <w:highlight w:val="none"/>
                      <w:lang w:eastAsia="zh-CN"/>
                      <w14:textFill>
                        <w14:solidFill>
                          <w14:schemeClr w14:val="tx1"/>
                        </w14:solidFill>
                      </w14:textFill>
                    </w:rPr>
                  </w:pPr>
                  <w:r>
                    <w:rPr>
                      <w:rFonts w:ascii="Times New Roman" w:hAnsi="Times New Roman" w:cs="Times New Roman"/>
                      <w:color w:val="000000" w:themeColor="text1"/>
                      <w:kern w:val="2"/>
                      <w:sz w:val="21"/>
                      <w:szCs w:val="28"/>
                      <w:highlight w:val="none"/>
                      <w:lang w:eastAsia="zh-CN"/>
                      <w14:textFill>
                        <w14:solidFill>
                          <w14:schemeClr w14:val="tx1"/>
                        </w14:solidFill>
                      </w14:textFill>
                    </w:rPr>
                    <w:t>专项评价类别</w:t>
                  </w:r>
                </w:p>
              </w:tc>
              <w:tc>
                <w:tcPr>
                  <w:tcW w:w="1704" w:type="pct"/>
                  <w:shd w:val="clear" w:color="auto" w:fill="auto"/>
                  <w:vAlign w:val="center"/>
                </w:tcPr>
                <w:p w14:paraId="1B1FA9A2">
                  <w:pPr>
                    <w:pStyle w:val="36"/>
                    <w:autoSpaceDE/>
                    <w:autoSpaceDN/>
                    <w:spacing w:before="0"/>
                    <w:ind w:left="0"/>
                    <w:jc w:val="center"/>
                    <w:rPr>
                      <w:rFonts w:ascii="Times New Roman" w:hAnsi="Times New Roman" w:cs="Times New Roman"/>
                      <w:color w:val="000000" w:themeColor="text1"/>
                      <w:kern w:val="2"/>
                      <w:sz w:val="21"/>
                      <w:szCs w:val="28"/>
                      <w:highlight w:val="none"/>
                      <w:lang w:eastAsia="zh-CN"/>
                      <w14:textFill>
                        <w14:solidFill>
                          <w14:schemeClr w14:val="tx1"/>
                        </w14:solidFill>
                      </w14:textFill>
                    </w:rPr>
                  </w:pPr>
                  <w:r>
                    <w:rPr>
                      <w:rFonts w:ascii="Times New Roman" w:hAnsi="Times New Roman" w:cs="Times New Roman"/>
                      <w:color w:val="000000" w:themeColor="text1"/>
                      <w:kern w:val="2"/>
                      <w:sz w:val="21"/>
                      <w:szCs w:val="28"/>
                      <w:highlight w:val="none"/>
                      <w:lang w:eastAsia="zh-CN"/>
                      <w14:textFill>
                        <w14:solidFill>
                          <w14:schemeClr w14:val="tx1"/>
                        </w14:solidFill>
                      </w14:textFill>
                    </w:rPr>
                    <w:t>设置原则</w:t>
                  </w:r>
                </w:p>
              </w:tc>
              <w:tc>
                <w:tcPr>
                  <w:tcW w:w="1497" w:type="pct"/>
                  <w:shd w:val="clear" w:color="auto" w:fill="auto"/>
                  <w:vAlign w:val="center"/>
                </w:tcPr>
                <w:p w14:paraId="28BB63E6">
                  <w:pPr>
                    <w:pStyle w:val="36"/>
                    <w:autoSpaceDE/>
                    <w:autoSpaceDN/>
                    <w:spacing w:before="0"/>
                    <w:ind w:left="0"/>
                    <w:jc w:val="center"/>
                    <w:rPr>
                      <w:rFonts w:ascii="Times New Roman" w:hAnsi="Times New Roman" w:cs="Times New Roman"/>
                      <w:color w:val="000000" w:themeColor="text1"/>
                      <w:kern w:val="2"/>
                      <w:sz w:val="21"/>
                      <w:szCs w:val="28"/>
                      <w:highlight w:val="none"/>
                      <w:lang w:eastAsia="zh-CN"/>
                      <w14:textFill>
                        <w14:solidFill>
                          <w14:schemeClr w14:val="tx1"/>
                        </w14:solidFill>
                      </w14:textFill>
                    </w:rPr>
                  </w:pPr>
                  <w:r>
                    <w:rPr>
                      <w:rFonts w:ascii="Times New Roman" w:hAnsi="Times New Roman" w:cs="Times New Roman"/>
                      <w:color w:val="000000" w:themeColor="text1"/>
                      <w:kern w:val="2"/>
                      <w:sz w:val="21"/>
                      <w:szCs w:val="28"/>
                      <w:highlight w:val="none"/>
                      <w:lang w:eastAsia="zh-CN"/>
                      <w14:textFill>
                        <w14:solidFill>
                          <w14:schemeClr w14:val="tx1"/>
                        </w14:solidFill>
                      </w14:textFill>
                    </w:rPr>
                    <w:t>本项目情况</w:t>
                  </w:r>
                </w:p>
              </w:tc>
              <w:tc>
                <w:tcPr>
                  <w:tcW w:w="989" w:type="pct"/>
                  <w:shd w:val="clear" w:color="auto" w:fill="auto"/>
                  <w:vAlign w:val="center"/>
                </w:tcPr>
                <w:p w14:paraId="37F4434D">
                  <w:pPr>
                    <w:pStyle w:val="36"/>
                    <w:autoSpaceDE/>
                    <w:autoSpaceDN/>
                    <w:spacing w:before="0"/>
                    <w:ind w:left="0"/>
                    <w:jc w:val="center"/>
                    <w:rPr>
                      <w:rFonts w:ascii="Times New Roman" w:hAnsi="Times New Roman" w:cs="Times New Roman"/>
                      <w:color w:val="000000" w:themeColor="text1"/>
                      <w:kern w:val="2"/>
                      <w:sz w:val="21"/>
                      <w:szCs w:val="28"/>
                      <w:highlight w:val="none"/>
                      <w:lang w:eastAsia="zh-CN"/>
                      <w14:textFill>
                        <w14:solidFill>
                          <w14:schemeClr w14:val="tx1"/>
                        </w14:solidFill>
                      </w14:textFill>
                    </w:rPr>
                  </w:pPr>
                  <w:r>
                    <w:rPr>
                      <w:rFonts w:hint="eastAsia" w:ascii="Times New Roman" w:hAnsi="Times New Roman" w:cs="Times New Roman"/>
                      <w:color w:val="000000" w:themeColor="text1"/>
                      <w:kern w:val="2"/>
                      <w:sz w:val="21"/>
                      <w:szCs w:val="28"/>
                      <w:highlight w:val="none"/>
                      <w:lang w:eastAsia="zh-CN"/>
                      <w14:textFill>
                        <w14:solidFill>
                          <w14:schemeClr w14:val="tx1"/>
                        </w14:solidFill>
                      </w14:textFill>
                    </w:rPr>
                    <w:t>专项评价设置情况</w:t>
                  </w:r>
                </w:p>
              </w:tc>
            </w:tr>
            <w:tr w14:paraId="04761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8" w:hRule="atLeast"/>
              </w:trPr>
              <w:tc>
                <w:tcPr>
                  <w:tcW w:w="810" w:type="pct"/>
                  <w:shd w:val="clear" w:color="auto" w:fill="auto"/>
                  <w:vAlign w:val="center"/>
                </w:tcPr>
                <w:p w14:paraId="4FBAD49C">
                  <w:pPr>
                    <w:pStyle w:val="36"/>
                    <w:autoSpaceDE/>
                    <w:autoSpaceDN/>
                    <w:spacing w:before="0"/>
                    <w:ind w:left="0"/>
                    <w:jc w:val="center"/>
                    <w:rPr>
                      <w:rFonts w:ascii="Times New Roman" w:hAnsi="Times New Roman" w:cs="Times New Roman"/>
                      <w:color w:val="000000" w:themeColor="text1"/>
                      <w:kern w:val="2"/>
                      <w:sz w:val="21"/>
                      <w:szCs w:val="28"/>
                      <w:highlight w:val="none"/>
                      <w:lang w:eastAsia="zh-CN"/>
                      <w14:textFill>
                        <w14:solidFill>
                          <w14:schemeClr w14:val="tx1"/>
                        </w14:solidFill>
                      </w14:textFill>
                    </w:rPr>
                  </w:pPr>
                  <w:r>
                    <w:rPr>
                      <w:rFonts w:ascii="Times New Roman" w:hAnsi="Times New Roman" w:cs="Times New Roman"/>
                      <w:color w:val="000000" w:themeColor="text1"/>
                      <w:kern w:val="2"/>
                      <w:sz w:val="21"/>
                      <w:szCs w:val="28"/>
                      <w:highlight w:val="none"/>
                      <w:lang w:eastAsia="zh-CN"/>
                      <w14:textFill>
                        <w14:solidFill>
                          <w14:schemeClr w14:val="tx1"/>
                        </w14:solidFill>
                      </w14:textFill>
                    </w:rPr>
                    <w:t>大气</w:t>
                  </w:r>
                </w:p>
              </w:tc>
              <w:tc>
                <w:tcPr>
                  <w:tcW w:w="1704" w:type="pct"/>
                  <w:shd w:val="clear" w:color="auto" w:fill="auto"/>
                  <w:vAlign w:val="center"/>
                </w:tcPr>
                <w:p w14:paraId="4D7B3FC9">
                  <w:pPr>
                    <w:pStyle w:val="36"/>
                    <w:autoSpaceDE/>
                    <w:autoSpaceDN/>
                    <w:spacing w:before="0"/>
                    <w:ind w:left="0"/>
                    <w:jc w:val="center"/>
                    <w:rPr>
                      <w:rFonts w:ascii="Times New Roman" w:hAnsi="Times New Roman" w:cs="Times New Roman"/>
                      <w:color w:val="000000" w:themeColor="text1"/>
                      <w:kern w:val="2"/>
                      <w:sz w:val="21"/>
                      <w:szCs w:val="28"/>
                      <w:highlight w:val="none"/>
                      <w:lang w:eastAsia="zh-CN"/>
                      <w14:textFill>
                        <w14:solidFill>
                          <w14:schemeClr w14:val="tx1"/>
                        </w14:solidFill>
                      </w14:textFill>
                    </w:rPr>
                  </w:pPr>
                  <w:r>
                    <w:rPr>
                      <w:rFonts w:ascii="Times New Roman" w:hAnsi="Times New Roman" w:cs="Times New Roman"/>
                      <w:color w:val="000000" w:themeColor="text1"/>
                      <w:kern w:val="2"/>
                      <w:sz w:val="21"/>
                      <w:szCs w:val="28"/>
                      <w:highlight w:val="none"/>
                      <w:lang w:eastAsia="zh-CN"/>
                      <w14:textFill>
                        <w14:solidFill>
                          <w14:schemeClr w14:val="tx1"/>
                        </w14:solidFill>
                      </w14:textFill>
                    </w:rPr>
                    <w:t>排放废气含有毒有害污染物</w:t>
                  </w:r>
                  <w:r>
                    <w:rPr>
                      <w:rFonts w:ascii="Times New Roman" w:hAnsi="Times New Roman" w:cs="Times New Roman"/>
                      <w:color w:val="000000" w:themeColor="text1"/>
                      <w:kern w:val="2"/>
                      <w:sz w:val="21"/>
                      <w:szCs w:val="28"/>
                      <w:highlight w:val="none"/>
                      <w:vertAlign w:val="superscript"/>
                      <w:lang w:eastAsia="zh-CN"/>
                      <w14:textFill>
                        <w14:solidFill>
                          <w14:schemeClr w14:val="tx1"/>
                        </w14:solidFill>
                      </w14:textFill>
                    </w:rPr>
                    <w:t>1</w:t>
                  </w:r>
                  <w:r>
                    <w:rPr>
                      <w:rFonts w:ascii="Times New Roman" w:hAnsi="Times New Roman" w:cs="Times New Roman"/>
                      <w:color w:val="000000" w:themeColor="text1"/>
                      <w:kern w:val="2"/>
                      <w:sz w:val="21"/>
                      <w:szCs w:val="28"/>
                      <w:highlight w:val="none"/>
                      <w:lang w:eastAsia="zh-CN"/>
                      <w14:textFill>
                        <w14:solidFill>
                          <w14:schemeClr w14:val="tx1"/>
                        </w14:solidFill>
                      </w14:textFill>
                    </w:rPr>
                    <w:t>、二噁英、苯并[a]芘、氰化物、氯气且厂界外500米范围内有环境空气保护目标</w:t>
                  </w:r>
                  <w:r>
                    <w:rPr>
                      <w:rFonts w:ascii="Times New Roman" w:hAnsi="Times New Roman" w:cs="Times New Roman"/>
                      <w:color w:val="000000" w:themeColor="text1"/>
                      <w:kern w:val="2"/>
                      <w:sz w:val="21"/>
                      <w:szCs w:val="28"/>
                      <w:highlight w:val="none"/>
                      <w:vertAlign w:val="superscript"/>
                      <w:lang w:eastAsia="zh-CN"/>
                      <w14:textFill>
                        <w14:solidFill>
                          <w14:schemeClr w14:val="tx1"/>
                        </w14:solidFill>
                      </w14:textFill>
                    </w:rPr>
                    <w:t>2</w:t>
                  </w:r>
                  <w:r>
                    <w:rPr>
                      <w:rFonts w:ascii="Times New Roman" w:hAnsi="Times New Roman" w:cs="Times New Roman"/>
                      <w:color w:val="000000" w:themeColor="text1"/>
                      <w:kern w:val="2"/>
                      <w:sz w:val="21"/>
                      <w:szCs w:val="28"/>
                      <w:highlight w:val="none"/>
                      <w:lang w:eastAsia="zh-CN"/>
                      <w14:textFill>
                        <w14:solidFill>
                          <w14:schemeClr w14:val="tx1"/>
                        </w14:solidFill>
                      </w14:textFill>
                    </w:rPr>
                    <w:t>的建设项目</w:t>
                  </w:r>
                </w:p>
              </w:tc>
              <w:tc>
                <w:tcPr>
                  <w:tcW w:w="1497" w:type="pct"/>
                  <w:shd w:val="clear" w:color="auto" w:fill="auto"/>
                  <w:vAlign w:val="center"/>
                </w:tcPr>
                <w:p w14:paraId="0C4AD711">
                  <w:pPr>
                    <w:pStyle w:val="36"/>
                    <w:autoSpaceDE/>
                    <w:autoSpaceDN/>
                    <w:spacing w:before="0"/>
                    <w:ind w:left="0"/>
                    <w:jc w:val="center"/>
                    <w:rPr>
                      <w:rFonts w:ascii="Times New Roman" w:hAnsi="Times New Roman" w:cs="Times New Roman"/>
                      <w:color w:val="000000" w:themeColor="text1"/>
                      <w:kern w:val="2"/>
                      <w:sz w:val="21"/>
                      <w:szCs w:val="28"/>
                      <w:highlight w:val="none"/>
                      <w:lang w:eastAsia="zh-CN"/>
                      <w14:textFill>
                        <w14:solidFill>
                          <w14:schemeClr w14:val="tx1"/>
                        </w14:solidFill>
                      </w14:textFill>
                    </w:rPr>
                  </w:pPr>
                  <w:r>
                    <w:rPr>
                      <w:rFonts w:ascii="Times New Roman" w:hAnsi="Times New Roman" w:cs="Times New Roman"/>
                      <w:color w:val="000000" w:themeColor="text1"/>
                      <w:kern w:val="2"/>
                      <w:sz w:val="21"/>
                      <w:szCs w:val="28"/>
                      <w:highlight w:val="none"/>
                      <w:lang w:eastAsia="zh-CN"/>
                      <w14:textFill>
                        <w14:solidFill>
                          <w14:schemeClr w14:val="tx1"/>
                        </w14:solidFill>
                      </w14:textFill>
                    </w:rPr>
                    <w:t>项目不涉及，因此</w:t>
                  </w:r>
                  <w:r>
                    <w:rPr>
                      <w:rFonts w:hint="eastAsia" w:ascii="Times New Roman" w:hAnsi="Times New Roman" w:cs="Times New Roman"/>
                      <w:color w:val="000000" w:themeColor="text1"/>
                      <w:kern w:val="2"/>
                      <w:sz w:val="21"/>
                      <w:szCs w:val="28"/>
                      <w:highlight w:val="none"/>
                      <w:lang w:val="en-US" w:eastAsia="zh-CN"/>
                      <w14:textFill>
                        <w14:solidFill>
                          <w14:schemeClr w14:val="tx1"/>
                        </w14:solidFill>
                      </w14:textFill>
                    </w:rPr>
                    <w:t>不需要</w:t>
                  </w:r>
                  <w:r>
                    <w:rPr>
                      <w:rFonts w:ascii="Times New Roman" w:hAnsi="Times New Roman" w:cs="Times New Roman"/>
                      <w:color w:val="000000" w:themeColor="text1"/>
                      <w:kern w:val="2"/>
                      <w:sz w:val="21"/>
                      <w:szCs w:val="28"/>
                      <w:highlight w:val="none"/>
                      <w:lang w:eastAsia="zh-CN"/>
                      <w14:textFill>
                        <w14:solidFill>
                          <w14:schemeClr w14:val="tx1"/>
                        </w14:solidFill>
                      </w14:textFill>
                    </w:rPr>
                    <w:t>开展大气专项评价。</w:t>
                  </w:r>
                </w:p>
              </w:tc>
              <w:tc>
                <w:tcPr>
                  <w:tcW w:w="989" w:type="pct"/>
                  <w:shd w:val="clear" w:color="auto" w:fill="auto"/>
                  <w:vAlign w:val="center"/>
                </w:tcPr>
                <w:p w14:paraId="2E2960DF">
                  <w:pPr>
                    <w:pStyle w:val="36"/>
                    <w:autoSpaceDE/>
                    <w:autoSpaceDN/>
                    <w:spacing w:before="0"/>
                    <w:ind w:left="0"/>
                    <w:jc w:val="center"/>
                    <w:rPr>
                      <w:rFonts w:ascii="Times New Roman" w:hAnsi="Times New Roman" w:cs="Times New Roman"/>
                      <w:color w:val="000000" w:themeColor="text1"/>
                      <w:kern w:val="2"/>
                      <w:sz w:val="21"/>
                      <w:szCs w:val="28"/>
                      <w:highlight w:val="none"/>
                      <w:lang w:eastAsia="zh-CN"/>
                      <w14:textFill>
                        <w14:solidFill>
                          <w14:schemeClr w14:val="tx1"/>
                        </w14:solidFill>
                      </w14:textFill>
                    </w:rPr>
                  </w:pPr>
                  <w:r>
                    <w:rPr>
                      <w:rFonts w:hint="eastAsia" w:ascii="Times New Roman" w:hAnsi="Times New Roman" w:cs="Times New Roman"/>
                      <w:color w:val="000000" w:themeColor="text1"/>
                      <w:kern w:val="2"/>
                      <w:sz w:val="21"/>
                      <w:szCs w:val="28"/>
                      <w:highlight w:val="none"/>
                      <w:lang w:eastAsia="zh-CN"/>
                      <w14:textFill>
                        <w14:solidFill>
                          <w14:schemeClr w14:val="tx1"/>
                        </w14:solidFill>
                      </w14:textFill>
                    </w:rPr>
                    <w:t>无</w:t>
                  </w:r>
                </w:p>
              </w:tc>
            </w:tr>
            <w:tr w14:paraId="5C01D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trPr>
              <w:tc>
                <w:tcPr>
                  <w:tcW w:w="810" w:type="pct"/>
                  <w:shd w:val="clear" w:color="auto" w:fill="auto"/>
                  <w:vAlign w:val="center"/>
                </w:tcPr>
                <w:p w14:paraId="42A759EC">
                  <w:pPr>
                    <w:pStyle w:val="36"/>
                    <w:autoSpaceDE/>
                    <w:autoSpaceDN/>
                    <w:spacing w:before="0"/>
                    <w:ind w:left="0"/>
                    <w:jc w:val="center"/>
                    <w:rPr>
                      <w:rFonts w:ascii="Times New Roman" w:hAnsi="Times New Roman" w:cs="Times New Roman"/>
                      <w:color w:val="000000" w:themeColor="text1"/>
                      <w:kern w:val="2"/>
                      <w:sz w:val="21"/>
                      <w:szCs w:val="28"/>
                      <w:highlight w:val="none"/>
                      <w14:textFill>
                        <w14:solidFill>
                          <w14:schemeClr w14:val="tx1"/>
                        </w14:solidFill>
                      </w14:textFill>
                    </w:rPr>
                  </w:pPr>
                  <w:r>
                    <w:rPr>
                      <w:rFonts w:ascii="Times New Roman" w:hAnsi="Times New Roman" w:cs="Times New Roman"/>
                      <w:color w:val="000000" w:themeColor="text1"/>
                      <w:kern w:val="2"/>
                      <w:sz w:val="21"/>
                      <w:szCs w:val="28"/>
                      <w:highlight w:val="none"/>
                      <w14:textFill>
                        <w14:solidFill>
                          <w14:schemeClr w14:val="tx1"/>
                        </w14:solidFill>
                      </w14:textFill>
                    </w:rPr>
                    <w:t>地表水</w:t>
                  </w:r>
                </w:p>
              </w:tc>
              <w:tc>
                <w:tcPr>
                  <w:tcW w:w="1704" w:type="pct"/>
                  <w:shd w:val="clear" w:color="auto" w:fill="auto"/>
                  <w:vAlign w:val="center"/>
                </w:tcPr>
                <w:p w14:paraId="293179B1">
                  <w:pPr>
                    <w:pStyle w:val="36"/>
                    <w:autoSpaceDE/>
                    <w:autoSpaceDN/>
                    <w:spacing w:before="0"/>
                    <w:ind w:left="0"/>
                    <w:jc w:val="center"/>
                    <w:rPr>
                      <w:rFonts w:ascii="Times New Roman" w:hAnsi="Times New Roman" w:cs="Times New Roman"/>
                      <w:color w:val="000000" w:themeColor="text1"/>
                      <w:kern w:val="2"/>
                      <w:sz w:val="21"/>
                      <w:szCs w:val="28"/>
                      <w:highlight w:val="none"/>
                      <w:lang w:eastAsia="zh-CN"/>
                      <w14:textFill>
                        <w14:solidFill>
                          <w14:schemeClr w14:val="tx1"/>
                        </w14:solidFill>
                      </w14:textFill>
                    </w:rPr>
                  </w:pPr>
                  <w:r>
                    <w:rPr>
                      <w:rFonts w:ascii="Times New Roman" w:hAnsi="Times New Roman" w:cs="Times New Roman"/>
                      <w:color w:val="000000" w:themeColor="text1"/>
                      <w:kern w:val="2"/>
                      <w:sz w:val="21"/>
                      <w:szCs w:val="28"/>
                      <w:highlight w:val="none"/>
                      <w:lang w:eastAsia="zh-CN"/>
                      <w14:textFill>
                        <w14:solidFill>
                          <w14:schemeClr w14:val="tx1"/>
                        </w14:solidFill>
                      </w14:textFill>
                    </w:rPr>
                    <w:t>新增工业废水直排建设项目（槽罐车外送污水处理厂的除外）；新增废水直排的污水集中处理厂</w:t>
                  </w:r>
                </w:p>
              </w:tc>
              <w:tc>
                <w:tcPr>
                  <w:tcW w:w="1497" w:type="pct"/>
                  <w:shd w:val="clear" w:color="auto" w:fill="auto"/>
                  <w:vAlign w:val="center"/>
                </w:tcPr>
                <w:p w14:paraId="6A1655A9">
                  <w:pPr>
                    <w:pStyle w:val="36"/>
                    <w:autoSpaceDE/>
                    <w:autoSpaceDN/>
                    <w:spacing w:before="0"/>
                    <w:ind w:left="0"/>
                    <w:jc w:val="center"/>
                    <w:rPr>
                      <w:rFonts w:ascii="Times New Roman" w:hAnsi="Times New Roman" w:cs="Times New Roman"/>
                      <w:color w:val="000000" w:themeColor="text1"/>
                      <w:kern w:val="2"/>
                      <w:sz w:val="21"/>
                      <w:szCs w:val="28"/>
                      <w:highlight w:val="none"/>
                      <w:lang w:eastAsia="zh-CN"/>
                      <w14:textFill>
                        <w14:solidFill>
                          <w14:schemeClr w14:val="tx1"/>
                        </w14:solidFill>
                      </w14:textFill>
                    </w:rPr>
                  </w:pPr>
                  <w:r>
                    <w:rPr>
                      <w:rFonts w:ascii="Times New Roman" w:hAnsi="Times New Roman" w:cs="Times New Roman"/>
                      <w:color w:val="000000" w:themeColor="text1"/>
                      <w:kern w:val="2"/>
                      <w:sz w:val="21"/>
                      <w:szCs w:val="28"/>
                      <w:highlight w:val="none"/>
                      <w:lang w:eastAsia="zh-CN"/>
                      <w14:textFill>
                        <w14:solidFill>
                          <w14:schemeClr w14:val="tx1"/>
                        </w14:solidFill>
                      </w14:textFill>
                    </w:rPr>
                    <w:t>项目无新增废水直排，</w:t>
                  </w:r>
                  <w:r>
                    <w:rPr>
                      <w:rFonts w:hint="eastAsia" w:ascii="Times New Roman" w:hAnsi="Times New Roman" w:cs="Times New Roman"/>
                      <w:color w:val="000000" w:themeColor="text1"/>
                      <w:kern w:val="2"/>
                      <w:sz w:val="21"/>
                      <w:szCs w:val="28"/>
                      <w:highlight w:val="none"/>
                      <w:lang w:val="en-US" w:eastAsia="zh-CN"/>
                      <w14:textFill>
                        <w14:solidFill>
                          <w14:schemeClr w14:val="tx1"/>
                        </w14:solidFill>
                      </w14:textFill>
                    </w:rPr>
                    <w:t>不需要</w:t>
                  </w:r>
                  <w:r>
                    <w:rPr>
                      <w:rFonts w:ascii="Times New Roman" w:hAnsi="Times New Roman" w:cs="Times New Roman"/>
                      <w:color w:val="000000" w:themeColor="text1"/>
                      <w:kern w:val="2"/>
                      <w:sz w:val="21"/>
                      <w:szCs w:val="28"/>
                      <w:highlight w:val="none"/>
                      <w:lang w:eastAsia="zh-CN"/>
                      <w14:textFill>
                        <w14:solidFill>
                          <w14:schemeClr w14:val="tx1"/>
                        </w14:solidFill>
                      </w14:textFill>
                    </w:rPr>
                    <w:t>开展地表水专项评价。</w:t>
                  </w:r>
                </w:p>
              </w:tc>
              <w:tc>
                <w:tcPr>
                  <w:tcW w:w="989" w:type="pct"/>
                  <w:shd w:val="clear" w:color="auto" w:fill="auto"/>
                  <w:vAlign w:val="center"/>
                </w:tcPr>
                <w:p w14:paraId="75E136D7">
                  <w:pPr>
                    <w:pStyle w:val="36"/>
                    <w:autoSpaceDE/>
                    <w:autoSpaceDN/>
                    <w:spacing w:before="0"/>
                    <w:ind w:left="0"/>
                    <w:jc w:val="center"/>
                    <w:rPr>
                      <w:rFonts w:ascii="Times New Roman" w:hAnsi="Times New Roman" w:cs="Times New Roman"/>
                      <w:color w:val="000000" w:themeColor="text1"/>
                      <w:kern w:val="2"/>
                      <w:sz w:val="21"/>
                      <w:szCs w:val="28"/>
                      <w:highlight w:val="none"/>
                      <w:lang w:eastAsia="zh-CN"/>
                      <w14:textFill>
                        <w14:solidFill>
                          <w14:schemeClr w14:val="tx1"/>
                        </w14:solidFill>
                      </w14:textFill>
                    </w:rPr>
                  </w:pPr>
                  <w:r>
                    <w:rPr>
                      <w:rFonts w:hint="eastAsia" w:ascii="Times New Roman" w:hAnsi="Times New Roman" w:cs="Times New Roman"/>
                      <w:color w:val="000000" w:themeColor="text1"/>
                      <w:kern w:val="2"/>
                      <w:sz w:val="21"/>
                      <w:szCs w:val="28"/>
                      <w:highlight w:val="none"/>
                      <w:lang w:eastAsia="zh-CN"/>
                      <w14:textFill>
                        <w14:solidFill>
                          <w14:schemeClr w14:val="tx1"/>
                        </w14:solidFill>
                      </w14:textFill>
                    </w:rPr>
                    <w:t>无</w:t>
                  </w:r>
                </w:p>
              </w:tc>
            </w:tr>
            <w:tr w14:paraId="557B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7" w:hRule="atLeast"/>
              </w:trPr>
              <w:tc>
                <w:tcPr>
                  <w:tcW w:w="810" w:type="pct"/>
                  <w:shd w:val="clear" w:color="auto" w:fill="auto"/>
                  <w:vAlign w:val="center"/>
                </w:tcPr>
                <w:p w14:paraId="4EE336B9">
                  <w:pPr>
                    <w:pStyle w:val="36"/>
                    <w:autoSpaceDE/>
                    <w:autoSpaceDN/>
                    <w:spacing w:before="0"/>
                    <w:ind w:left="0"/>
                    <w:jc w:val="center"/>
                    <w:rPr>
                      <w:rFonts w:ascii="Times New Roman" w:hAnsi="Times New Roman" w:cs="Times New Roman"/>
                      <w:color w:val="000000" w:themeColor="text1"/>
                      <w:kern w:val="2"/>
                      <w:sz w:val="21"/>
                      <w:szCs w:val="28"/>
                      <w:highlight w:val="none"/>
                      <w14:textFill>
                        <w14:solidFill>
                          <w14:schemeClr w14:val="tx1"/>
                        </w14:solidFill>
                      </w14:textFill>
                    </w:rPr>
                  </w:pPr>
                  <w:r>
                    <w:rPr>
                      <w:rFonts w:ascii="Times New Roman" w:hAnsi="Times New Roman" w:cs="Times New Roman"/>
                      <w:color w:val="000000" w:themeColor="text1"/>
                      <w:kern w:val="2"/>
                      <w:sz w:val="21"/>
                      <w:szCs w:val="28"/>
                      <w:highlight w:val="none"/>
                      <w14:textFill>
                        <w14:solidFill>
                          <w14:schemeClr w14:val="tx1"/>
                        </w14:solidFill>
                      </w14:textFill>
                    </w:rPr>
                    <w:t>环境风险</w:t>
                  </w:r>
                </w:p>
              </w:tc>
              <w:tc>
                <w:tcPr>
                  <w:tcW w:w="1704" w:type="pct"/>
                  <w:shd w:val="clear" w:color="auto" w:fill="auto"/>
                  <w:vAlign w:val="center"/>
                </w:tcPr>
                <w:p w14:paraId="7DB730AB">
                  <w:pPr>
                    <w:pStyle w:val="36"/>
                    <w:autoSpaceDE/>
                    <w:autoSpaceDN/>
                    <w:spacing w:before="0"/>
                    <w:ind w:left="0"/>
                    <w:jc w:val="center"/>
                    <w:rPr>
                      <w:rFonts w:ascii="Times New Roman" w:hAnsi="Times New Roman" w:cs="Times New Roman"/>
                      <w:color w:val="000000" w:themeColor="text1"/>
                      <w:kern w:val="2"/>
                      <w:sz w:val="21"/>
                      <w:szCs w:val="28"/>
                      <w:highlight w:val="none"/>
                      <w:lang w:eastAsia="zh-CN"/>
                      <w14:textFill>
                        <w14:solidFill>
                          <w14:schemeClr w14:val="tx1"/>
                        </w14:solidFill>
                      </w14:textFill>
                    </w:rPr>
                  </w:pPr>
                  <w:r>
                    <w:rPr>
                      <w:rFonts w:ascii="Times New Roman" w:hAnsi="Times New Roman" w:cs="Times New Roman"/>
                      <w:color w:val="000000" w:themeColor="text1"/>
                      <w:kern w:val="2"/>
                      <w:sz w:val="21"/>
                      <w:szCs w:val="28"/>
                      <w:highlight w:val="none"/>
                      <w:lang w:eastAsia="zh-CN"/>
                      <w14:textFill>
                        <w14:solidFill>
                          <w14:schemeClr w14:val="tx1"/>
                        </w14:solidFill>
                      </w14:textFill>
                    </w:rPr>
                    <w:t>有毒有害和易燃易爆危险物质存储量超过临界量</w:t>
                  </w:r>
                  <w:r>
                    <w:rPr>
                      <w:rFonts w:ascii="Times New Roman" w:hAnsi="Times New Roman" w:cs="Times New Roman"/>
                      <w:color w:val="000000" w:themeColor="text1"/>
                      <w:kern w:val="2"/>
                      <w:sz w:val="21"/>
                      <w:szCs w:val="28"/>
                      <w:highlight w:val="none"/>
                      <w:vertAlign w:val="superscript"/>
                      <w:lang w:eastAsia="zh-CN"/>
                      <w14:textFill>
                        <w14:solidFill>
                          <w14:schemeClr w14:val="tx1"/>
                        </w14:solidFill>
                      </w14:textFill>
                    </w:rPr>
                    <w:t>3</w:t>
                  </w:r>
                  <w:r>
                    <w:rPr>
                      <w:rFonts w:ascii="Times New Roman" w:hAnsi="Times New Roman" w:cs="Times New Roman"/>
                      <w:color w:val="000000" w:themeColor="text1"/>
                      <w:kern w:val="2"/>
                      <w:sz w:val="21"/>
                      <w:szCs w:val="28"/>
                      <w:highlight w:val="none"/>
                      <w:lang w:eastAsia="zh-CN"/>
                      <w14:textFill>
                        <w14:solidFill>
                          <w14:schemeClr w14:val="tx1"/>
                        </w14:solidFill>
                      </w14:textFill>
                    </w:rPr>
                    <w:t>的建设项目</w:t>
                  </w:r>
                </w:p>
              </w:tc>
              <w:tc>
                <w:tcPr>
                  <w:tcW w:w="1497" w:type="pct"/>
                  <w:shd w:val="clear" w:color="auto" w:fill="auto"/>
                  <w:vAlign w:val="center"/>
                </w:tcPr>
                <w:p w14:paraId="77D30BAD">
                  <w:pPr>
                    <w:pStyle w:val="36"/>
                    <w:ind w:left="0"/>
                    <w:jc w:val="center"/>
                    <w:rPr>
                      <w:rFonts w:ascii="Times New Roman" w:hAnsi="Times New Roman" w:cs="Times New Roman"/>
                      <w:color w:val="000000" w:themeColor="text1"/>
                      <w:kern w:val="2"/>
                      <w:sz w:val="21"/>
                      <w:szCs w:val="28"/>
                      <w:highlight w:val="none"/>
                      <w:lang w:eastAsia="zh-CN"/>
                      <w14:textFill>
                        <w14:solidFill>
                          <w14:schemeClr w14:val="tx1"/>
                        </w14:solidFill>
                      </w14:textFill>
                    </w:rPr>
                  </w:pPr>
                  <w:r>
                    <w:rPr>
                      <w:rFonts w:hint="eastAsia" w:ascii="Times New Roman" w:hAnsi="Times New Roman" w:cs="Times New Roman"/>
                      <w:color w:val="000000" w:themeColor="text1"/>
                      <w:kern w:val="2"/>
                      <w:sz w:val="21"/>
                      <w:szCs w:val="28"/>
                      <w:highlight w:val="none"/>
                      <w:lang w:val="en-US" w:eastAsia="zh-CN"/>
                      <w14:textFill>
                        <w14:solidFill>
                          <w14:schemeClr w14:val="tx1"/>
                        </w14:solidFill>
                      </w14:textFill>
                    </w:rPr>
                    <w:t>项目不涉及有毒有害和易燃易爆危险物质存储量超过临界量的情况，</w:t>
                  </w:r>
                  <w:r>
                    <w:rPr>
                      <w:rFonts w:hint="eastAsia" w:ascii="Times New Roman" w:hAnsi="Times New Roman" w:cs="Times New Roman"/>
                      <w:color w:val="000000" w:themeColor="text1"/>
                      <w:kern w:val="2"/>
                      <w:sz w:val="21"/>
                      <w:szCs w:val="28"/>
                      <w:highlight w:val="none"/>
                      <w:lang w:eastAsia="zh-CN"/>
                      <w14:textFill>
                        <w14:solidFill>
                          <w14:schemeClr w14:val="tx1"/>
                        </w14:solidFill>
                      </w14:textFill>
                    </w:rPr>
                    <w:t>因此</w:t>
                  </w:r>
                  <w:r>
                    <w:rPr>
                      <w:rFonts w:hint="eastAsia" w:ascii="Times New Roman" w:hAnsi="Times New Roman" w:cs="Times New Roman"/>
                      <w:color w:val="000000" w:themeColor="text1"/>
                      <w:kern w:val="2"/>
                      <w:sz w:val="21"/>
                      <w:szCs w:val="28"/>
                      <w:highlight w:val="none"/>
                      <w:lang w:val="en-US" w:eastAsia="zh-CN"/>
                      <w14:textFill>
                        <w14:solidFill>
                          <w14:schemeClr w14:val="tx1"/>
                        </w14:solidFill>
                      </w14:textFill>
                    </w:rPr>
                    <w:t>不需要开展</w:t>
                  </w:r>
                  <w:r>
                    <w:rPr>
                      <w:rFonts w:hint="eastAsia" w:ascii="Times New Roman" w:hAnsi="Times New Roman" w:cs="Times New Roman"/>
                      <w:color w:val="000000" w:themeColor="text1"/>
                      <w:kern w:val="2"/>
                      <w:sz w:val="21"/>
                      <w:szCs w:val="28"/>
                      <w:highlight w:val="none"/>
                      <w:lang w:eastAsia="zh-CN"/>
                      <w14:textFill>
                        <w14:solidFill>
                          <w14:schemeClr w14:val="tx1"/>
                        </w14:solidFill>
                      </w14:textFill>
                    </w:rPr>
                    <w:t>环境风险专项评价</w:t>
                  </w:r>
                  <w:r>
                    <w:rPr>
                      <w:rFonts w:ascii="Times New Roman" w:hAnsi="Times New Roman" w:cs="Times New Roman"/>
                      <w:color w:val="000000" w:themeColor="text1"/>
                      <w:kern w:val="2"/>
                      <w:sz w:val="21"/>
                      <w:szCs w:val="28"/>
                      <w:highlight w:val="none"/>
                      <w:lang w:eastAsia="zh-CN"/>
                      <w14:textFill>
                        <w14:solidFill>
                          <w14:schemeClr w14:val="tx1"/>
                        </w14:solidFill>
                      </w14:textFill>
                    </w:rPr>
                    <w:t>。</w:t>
                  </w:r>
                </w:p>
              </w:tc>
              <w:tc>
                <w:tcPr>
                  <w:tcW w:w="989" w:type="pct"/>
                  <w:shd w:val="clear" w:color="auto" w:fill="auto"/>
                  <w:vAlign w:val="center"/>
                </w:tcPr>
                <w:p w14:paraId="7673D9EA">
                  <w:pPr>
                    <w:pStyle w:val="36"/>
                    <w:autoSpaceDE/>
                    <w:autoSpaceDN/>
                    <w:spacing w:before="0"/>
                    <w:ind w:left="0"/>
                    <w:jc w:val="center"/>
                    <w:rPr>
                      <w:rFonts w:ascii="Times New Roman" w:hAnsi="Times New Roman" w:cs="Times New Roman"/>
                      <w:color w:val="000000" w:themeColor="text1"/>
                      <w:kern w:val="2"/>
                      <w:sz w:val="21"/>
                      <w:szCs w:val="28"/>
                      <w:highlight w:val="none"/>
                      <w:lang w:eastAsia="zh-CN"/>
                      <w14:textFill>
                        <w14:solidFill>
                          <w14:schemeClr w14:val="tx1"/>
                        </w14:solidFill>
                      </w14:textFill>
                    </w:rPr>
                  </w:pPr>
                  <w:r>
                    <w:rPr>
                      <w:rFonts w:hint="eastAsia" w:ascii="Times New Roman" w:hAnsi="Times New Roman" w:cs="Times New Roman"/>
                      <w:color w:val="000000" w:themeColor="text1"/>
                      <w:kern w:val="2"/>
                      <w:sz w:val="21"/>
                      <w:szCs w:val="28"/>
                      <w:highlight w:val="none"/>
                      <w:lang w:val="en-US" w:eastAsia="zh-CN"/>
                      <w14:textFill>
                        <w14:solidFill>
                          <w14:schemeClr w14:val="tx1"/>
                        </w14:solidFill>
                      </w14:textFill>
                    </w:rPr>
                    <w:t>无</w:t>
                  </w:r>
                </w:p>
              </w:tc>
            </w:tr>
            <w:tr w14:paraId="611A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 w:hRule="atLeast"/>
              </w:trPr>
              <w:tc>
                <w:tcPr>
                  <w:tcW w:w="810" w:type="pct"/>
                  <w:shd w:val="clear" w:color="auto" w:fill="auto"/>
                  <w:vAlign w:val="center"/>
                </w:tcPr>
                <w:p w14:paraId="0C44427D">
                  <w:pPr>
                    <w:pStyle w:val="36"/>
                    <w:autoSpaceDE/>
                    <w:autoSpaceDN/>
                    <w:spacing w:before="0"/>
                    <w:ind w:left="0"/>
                    <w:jc w:val="center"/>
                    <w:rPr>
                      <w:rFonts w:ascii="Times New Roman" w:hAnsi="Times New Roman" w:cs="Times New Roman"/>
                      <w:color w:val="000000" w:themeColor="text1"/>
                      <w:kern w:val="2"/>
                      <w:sz w:val="21"/>
                      <w:szCs w:val="28"/>
                      <w:highlight w:val="none"/>
                      <w14:textFill>
                        <w14:solidFill>
                          <w14:schemeClr w14:val="tx1"/>
                        </w14:solidFill>
                      </w14:textFill>
                    </w:rPr>
                  </w:pPr>
                  <w:r>
                    <w:rPr>
                      <w:rFonts w:ascii="Times New Roman" w:hAnsi="Times New Roman" w:cs="Times New Roman"/>
                      <w:color w:val="000000" w:themeColor="text1"/>
                      <w:kern w:val="2"/>
                      <w:sz w:val="21"/>
                      <w:szCs w:val="28"/>
                      <w:highlight w:val="none"/>
                      <w14:textFill>
                        <w14:solidFill>
                          <w14:schemeClr w14:val="tx1"/>
                        </w14:solidFill>
                      </w14:textFill>
                    </w:rPr>
                    <w:t>生态</w:t>
                  </w:r>
                </w:p>
              </w:tc>
              <w:tc>
                <w:tcPr>
                  <w:tcW w:w="1704" w:type="pct"/>
                  <w:shd w:val="clear" w:color="auto" w:fill="auto"/>
                  <w:vAlign w:val="center"/>
                </w:tcPr>
                <w:p w14:paraId="31B7788C">
                  <w:pPr>
                    <w:pStyle w:val="36"/>
                    <w:autoSpaceDE/>
                    <w:autoSpaceDN/>
                    <w:spacing w:before="0"/>
                    <w:ind w:left="0"/>
                    <w:jc w:val="center"/>
                    <w:rPr>
                      <w:rFonts w:ascii="Times New Roman" w:hAnsi="Times New Roman" w:cs="Times New Roman"/>
                      <w:color w:val="000000" w:themeColor="text1"/>
                      <w:kern w:val="2"/>
                      <w:sz w:val="21"/>
                      <w:szCs w:val="28"/>
                      <w:highlight w:val="none"/>
                      <w:lang w:eastAsia="zh-CN"/>
                      <w14:textFill>
                        <w14:solidFill>
                          <w14:schemeClr w14:val="tx1"/>
                        </w14:solidFill>
                      </w14:textFill>
                    </w:rPr>
                  </w:pPr>
                  <w:r>
                    <w:rPr>
                      <w:rFonts w:ascii="Times New Roman" w:hAnsi="Times New Roman" w:cs="Times New Roman"/>
                      <w:color w:val="000000" w:themeColor="text1"/>
                      <w:kern w:val="2"/>
                      <w:sz w:val="21"/>
                      <w:szCs w:val="28"/>
                      <w:highlight w:val="none"/>
                      <w:lang w:eastAsia="zh-CN"/>
                      <w14:textFill>
                        <w14:solidFill>
                          <w14:schemeClr w14:val="tx1"/>
                        </w14:solidFill>
                      </w14:textFill>
                    </w:rPr>
                    <w:t>取水口下游500米范围内有重要水生生物的自然产卵场、索饵场、越冬场和洄游通道的新增河道取水的污染类建设项目</w:t>
                  </w:r>
                </w:p>
              </w:tc>
              <w:tc>
                <w:tcPr>
                  <w:tcW w:w="1497" w:type="pct"/>
                  <w:shd w:val="clear" w:color="auto" w:fill="auto"/>
                  <w:vAlign w:val="center"/>
                </w:tcPr>
                <w:p w14:paraId="6698631B">
                  <w:pPr>
                    <w:pStyle w:val="36"/>
                    <w:autoSpaceDE/>
                    <w:autoSpaceDN/>
                    <w:spacing w:before="0"/>
                    <w:ind w:left="0"/>
                    <w:jc w:val="center"/>
                    <w:rPr>
                      <w:rFonts w:ascii="Times New Roman" w:hAnsi="Times New Roman" w:cs="Times New Roman"/>
                      <w:color w:val="000000" w:themeColor="text1"/>
                      <w:kern w:val="2"/>
                      <w:sz w:val="21"/>
                      <w:szCs w:val="28"/>
                      <w:highlight w:val="none"/>
                      <w:lang w:eastAsia="zh-CN"/>
                      <w14:textFill>
                        <w14:solidFill>
                          <w14:schemeClr w14:val="tx1"/>
                        </w14:solidFill>
                      </w14:textFill>
                    </w:rPr>
                  </w:pPr>
                  <w:r>
                    <w:rPr>
                      <w:rFonts w:ascii="Times New Roman" w:hAnsi="Times New Roman" w:cs="Times New Roman"/>
                      <w:color w:val="000000" w:themeColor="text1"/>
                      <w:kern w:val="2"/>
                      <w:sz w:val="21"/>
                      <w:szCs w:val="28"/>
                      <w:highlight w:val="none"/>
                      <w:lang w:eastAsia="zh-CN"/>
                      <w14:textFill>
                        <w14:solidFill>
                          <w14:schemeClr w14:val="tx1"/>
                        </w14:solidFill>
                      </w14:textFill>
                    </w:rPr>
                    <w:t>项目不涉及，因此无需开展生态专项评价。</w:t>
                  </w:r>
                </w:p>
              </w:tc>
              <w:tc>
                <w:tcPr>
                  <w:tcW w:w="989" w:type="pct"/>
                  <w:shd w:val="clear" w:color="auto" w:fill="auto"/>
                  <w:vAlign w:val="center"/>
                </w:tcPr>
                <w:p w14:paraId="7F1EF140">
                  <w:pPr>
                    <w:pStyle w:val="36"/>
                    <w:autoSpaceDE/>
                    <w:autoSpaceDN/>
                    <w:spacing w:before="0"/>
                    <w:ind w:left="0"/>
                    <w:jc w:val="center"/>
                    <w:rPr>
                      <w:rFonts w:ascii="Times New Roman" w:hAnsi="Times New Roman" w:cs="Times New Roman"/>
                      <w:color w:val="000000" w:themeColor="text1"/>
                      <w:kern w:val="2"/>
                      <w:sz w:val="21"/>
                      <w:szCs w:val="28"/>
                      <w:highlight w:val="none"/>
                      <w:lang w:eastAsia="zh-CN"/>
                      <w14:textFill>
                        <w14:solidFill>
                          <w14:schemeClr w14:val="tx1"/>
                        </w14:solidFill>
                      </w14:textFill>
                    </w:rPr>
                  </w:pPr>
                  <w:r>
                    <w:rPr>
                      <w:rFonts w:hint="eastAsia" w:ascii="Times New Roman" w:hAnsi="Times New Roman" w:cs="Times New Roman"/>
                      <w:color w:val="000000" w:themeColor="text1"/>
                      <w:kern w:val="2"/>
                      <w:sz w:val="21"/>
                      <w:szCs w:val="28"/>
                      <w:highlight w:val="none"/>
                      <w:lang w:eastAsia="zh-CN"/>
                      <w14:textFill>
                        <w14:solidFill>
                          <w14:schemeClr w14:val="tx1"/>
                        </w14:solidFill>
                      </w14:textFill>
                    </w:rPr>
                    <w:t>无</w:t>
                  </w:r>
                </w:p>
              </w:tc>
            </w:tr>
            <w:tr w14:paraId="5146B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 w:hRule="atLeast"/>
              </w:trPr>
              <w:tc>
                <w:tcPr>
                  <w:tcW w:w="810" w:type="pct"/>
                  <w:shd w:val="clear" w:color="auto" w:fill="auto"/>
                  <w:vAlign w:val="center"/>
                </w:tcPr>
                <w:p w14:paraId="41741938">
                  <w:pPr>
                    <w:pStyle w:val="36"/>
                    <w:autoSpaceDE/>
                    <w:autoSpaceDN/>
                    <w:spacing w:before="0"/>
                    <w:ind w:left="0"/>
                    <w:jc w:val="center"/>
                    <w:rPr>
                      <w:rFonts w:ascii="Times New Roman" w:hAnsi="Times New Roman" w:cs="Times New Roman"/>
                      <w:color w:val="000000" w:themeColor="text1"/>
                      <w:kern w:val="2"/>
                      <w:sz w:val="21"/>
                      <w:szCs w:val="28"/>
                      <w:highlight w:val="none"/>
                      <w14:textFill>
                        <w14:solidFill>
                          <w14:schemeClr w14:val="tx1"/>
                        </w14:solidFill>
                      </w14:textFill>
                    </w:rPr>
                  </w:pPr>
                  <w:r>
                    <w:rPr>
                      <w:rFonts w:ascii="Times New Roman" w:hAnsi="Times New Roman" w:cs="Times New Roman"/>
                      <w:color w:val="000000" w:themeColor="text1"/>
                      <w:kern w:val="2"/>
                      <w:sz w:val="21"/>
                      <w:szCs w:val="28"/>
                      <w:highlight w:val="none"/>
                      <w14:textFill>
                        <w14:solidFill>
                          <w14:schemeClr w14:val="tx1"/>
                        </w14:solidFill>
                      </w14:textFill>
                    </w:rPr>
                    <w:t>海洋</w:t>
                  </w:r>
                </w:p>
              </w:tc>
              <w:tc>
                <w:tcPr>
                  <w:tcW w:w="1704" w:type="pct"/>
                  <w:shd w:val="clear" w:color="auto" w:fill="auto"/>
                  <w:vAlign w:val="center"/>
                </w:tcPr>
                <w:p w14:paraId="1DF8427A">
                  <w:pPr>
                    <w:pStyle w:val="36"/>
                    <w:autoSpaceDE/>
                    <w:autoSpaceDN/>
                    <w:spacing w:before="0"/>
                    <w:ind w:left="0"/>
                    <w:jc w:val="center"/>
                    <w:rPr>
                      <w:rFonts w:ascii="Times New Roman" w:hAnsi="Times New Roman" w:cs="Times New Roman"/>
                      <w:color w:val="000000" w:themeColor="text1"/>
                      <w:kern w:val="2"/>
                      <w:sz w:val="21"/>
                      <w:szCs w:val="28"/>
                      <w:highlight w:val="none"/>
                      <w:lang w:eastAsia="zh-CN"/>
                      <w14:textFill>
                        <w14:solidFill>
                          <w14:schemeClr w14:val="tx1"/>
                        </w14:solidFill>
                      </w14:textFill>
                    </w:rPr>
                  </w:pPr>
                  <w:r>
                    <w:rPr>
                      <w:rFonts w:ascii="Times New Roman" w:hAnsi="Times New Roman" w:cs="Times New Roman"/>
                      <w:color w:val="000000" w:themeColor="text1"/>
                      <w:kern w:val="2"/>
                      <w:sz w:val="21"/>
                      <w:szCs w:val="28"/>
                      <w:highlight w:val="none"/>
                      <w:lang w:eastAsia="zh-CN"/>
                      <w14:textFill>
                        <w14:solidFill>
                          <w14:schemeClr w14:val="tx1"/>
                        </w14:solidFill>
                      </w14:textFill>
                    </w:rPr>
                    <w:t>直接向海排放污染物的海洋工程建设项目</w:t>
                  </w:r>
                </w:p>
              </w:tc>
              <w:tc>
                <w:tcPr>
                  <w:tcW w:w="1497" w:type="pct"/>
                  <w:shd w:val="clear" w:color="auto" w:fill="auto"/>
                  <w:vAlign w:val="center"/>
                </w:tcPr>
                <w:p w14:paraId="581B0096">
                  <w:pPr>
                    <w:pStyle w:val="36"/>
                    <w:autoSpaceDE/>
                    <w:autoSpaceDN/>
                    <w:spacing w:before="0"/>
                    <w:ind w:left="0"/>
                    <w:jc w:val="center"/>
                    <w:rPr>
                      <w:rFonts w:ascii="Times New Roman" w:hAnsi="Times New Roman" w:cs="Times New Roman"/>
                      <w:color w:val="000000" w:themeColor="text1"/>
                      <w:kern w:val="2"/>
                      <w:sz w:val="21"/>
                      <w:szCs w:val="28"/>
                      <w:highlight w:val="none"/>
                      <w:lang w:eastAsia="zh-CN"/>
                      <w14:textFill>
                        <w14:solidFill>
                          <w14:schemeClr w14:val="tx1"/>
                        </w14:solidFill>
                      </w14:textFill>
                    </w:rPr>
                  </w:pPr>
                  <w:r>
                    <w:rPr>
                      <w:rFonts w:ascii="Times New Roman" w:hAnsi="Times New Roman" w:cs="Times New Roman"/>
                      <w:color w:val="000000" w:themeColor="text1"/>
                      <w:kern w:val="2"/>
                      <w:sz w:val="21"/>
                      <w:szCs w:val="28"/>
                      <w:highlight w:val="none"/>
                      <w:lang w:eastAsia="zh-CN"/>
                      <w14:textFill>
                        <w14:solidFill>
                          <w14:schemeClr w14:val="tx1"/>
                        </w14:solidFill>
                      </w14:textFill>
                    </w:rPr>
                    <w:t>项目不属于海洋工程建设项目</w:t>
                  </w:r>
                </w:p>
              </w:tc>
              <w:tc>
                <w:tcPr>
                  <w:tcW w:w="989" w:type="pct"/>
                  <w:shd w:val="clear" w:color="auto" w:fill="auto"/>
                  <w:vAlign w:val="center"/>
                </w:tcPr>
                <w:p w14:paraId="1EF25229">
                  <w:pPr>
                    <w:pStyle w:val="36"/>
                    <w:autoSpaceDE/>
                    <w:autoSpaceDN/>
                    <w:spacing w:before="0"/>
                    <w:ind w:left="0"/>
                    <w:jc w:val="center"/>
                    <w:rPr>
                      <w:rFonts w:ascii="Times New Roman" w:hAnsi="Times New Roman" w:cs="Times New Roman"/>
                      <w:color w:val="000000" w:themeColor="text1"/>
                      <w:kern w:val="2"/>
                      <w:sz w:val="21"/>
                      <w:szCs w:val="28"/>
                      <w:highlight w:val="none"/>
                      <w:lang w:eastAsia="zh-CN"/>
                      <w14:textFill>
                        <w14:solidFill>
                          <w14:schemeClr w14:val="tx1"/>
                        </w14:solidFill>
                      </w14:textFill>
                    </w:rPr>
                  </w:pPr>
                  <w:r>
                    <w:rPr>
                      <w:rFonts w:hint="eastAsia" w:ascii="Times New Roman" w:hAnsi="Times New Roman" w:cs="Times New Roman"/>
                      <w:color w:val="000000" w:themeColor="text1"/>
                      <w:kern w:val="2"/>
                      <w:sz w:val="21"/>
                      <w:szCs w:val="28"/>
                      <w:highlight w:val="none"/>
                      <w:lang w:eastAsia="zh-CN"/>
                      <w14:textFill>
                        <w14:solidFill>
                          <w14:schemeClr w14:val="tx1"/>
                        </w14:solidFill>
                      </w14:textFill>
                    </w:rPr>
                    <w:t>无</w:t>
                  </w:r>
                </w:p>
              </w:tc>
            </w:tr>
            <w:tr w14:paraId="30D1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 w:hRule="atLeast"/>
              </w:trPr>
              <w:tc>
                <w:tcPr>
                  <w:tcW w:w="810" w:type="pct"/>
                  <w:shd w:val="clear" w:color="auto" w:fill="auto"/>
                  <w:vAlign w:val="center"/>
                </w:tcPr>
                <w:p w14:paraId="20CC85C9">
                  <w:pPr>
                    <w:pStyle w:val="63"/>
                    <w:autoSpaceDE/>
                    <w:autoSpaceDN/>
                    <w:adjustRightInd/>
                    <w:jc w:val="center"/>
                    <w:rPr>
                      <w:rFonts w:ascii="Times New Roman" w:cs="Times New Roman"/>
                      <w:color w:val="000000" w:themeColor="text1"/>
                      <w:kern w:val="2"/>
                      <w:sz w:val="21"/>
                      <w:szCs w:val="24"/>
                      <w:highlight w:val="none"/>
                      <w14:textFill>
                        <w14:solidFill>
                          <w14:schemeClr w14:val="tx1"/>
                        </w14:solidFill>
                      </w14:textFill>
                    </w:rPr>
                  </w:pPr>
                  <w:r>
                    <w:rPr>
                      <w:rFonts w:ascii="Times New Roman" w:cs="Times New Roman"/>
                      <w:color w:val="000000" w:themeColor="text1"/>
                      <w:kern w:val="2"/>
                      <w:sz w:val="21"/>
                      <w:szCs w:val="24"/>
                      <w:highlight w:val="none"/>
                      <w14:textFill>
                        <w14:solidFill>
                          <w14:schemeClr w14:val="tx1"/>
                        </w14:solidFill>
                      </w14:textFill>
                    </w:rPr>
                    <w:t>声环境、土壤</w:t>
                  </w:r>
                </w:p>
              </w:tc>
              <w:tc>
                <w:tcPr>
                  <w:tcW w:w="1704" w:type="pct"/>
                  <w:shd w:val="clear" w:color="auto" w:fill="auto"/>
                  <w:vAlign w:val="center"/>
                </w:tcPr>
                <w:p w14:paraId="61353361">
                  <w:pPr>
                    <w:pStyle w:val="36"/>
                    <w:autoSpaceDE/>
                    <w:autoSpaceDN/>
                    <w:spacing w:before="0"/>
                    <w:ind w:left="0"/>
                    <w:jc w:val="center"/>
                    <w:rPr>
                      <w:rFonts w:ascii="Times New Roman" w:hAnsi="Times New Roman" w:cs="Times New Roman"/>
                      <w:color w:val="000000" w:themeColor="text1"/>
                      <w:kern w:val="2"/>
                      <w:sz w:val="21"/>
                      <w:szCs w:val="28"/>
                      <w:highlight w:val="none"/>
                      <w:lang w:eastAsia="zh-CN"/>
                      <w14:textFill>
                        <w14:solidFill>
                          <w14:schemeClr w14:val="tx1"/>
                        </w14:solidFill>
                      </w14:textFill>
                    </w:rPr>
                  </w:pPr>
                  <w:r>
                    <w:rPr>
                      <w:rFonts w:ascii="Times New Roman" w:hAnsi="Times New Roman" w:cs="Times New Roman"/>
                      <w:color w:val="000000" w:themeColor="text1"/>
                      <w:kern w:val="2"/>
                      <w:sz w:val="21"/>
                      <w:szCs w:val="24"/>
                      <w:highlight w:val="none"/>
                      <w:lang w:eastAsia="zh-CN"/>
                      <w14:textFill>
                        <w14:solidFill>
                          <w14:schemeClr w14:val="tx1"/>
                        </w14:solidFill>
                      </w14:textFill>
                    </w:rPr>
                    <w:t>不开展专项评价</w:t>
                  </w:r>
                </w:p>
              </w:tc>
              <w:tc>
                <w:tcPr>
                  <w:tcW w:w="1497" w:type="pct"/>
                  <w:shd w:val="clear" w:color="auto" w:fill="auto"/>
                  <w:vAlign w:val="center"/>
                </w:tcPr>
                <w:p w14:paraId="5100F564">
                  <w:pPr>
                    <w:pStyle w:val="36"/>
                    <w:autoSpaceDE/>
                    <w:autoSpaceDN/>
                    <w:spacing w:before="0"/>
                    <w:ind w:left="0"/>
                    <w:jc w:val="center"/>
                    <w:rPr>
                      <w:rFonts w:ascii="Times New Roman" w:hAnsi="Times New Roman" w:cs="Times New Roman"/>
                      <w:color w:val="000000" w:themeColor="text1"/>
                      <w:kern w:val="2"/>
                      <w:sz w:val="21"/>
                      <w:szCs w:val="28"/>
                      <w:highlight w:val="none"/>
                      <w:lang w:eastAsia="zh-CN"/>
                      <w14:textFill>
                        <w14:solidFill>
                          <w14:schemeClr w14:val="tx1"/>
                        </w14:solidFill>
                      </w14:textFill>
                    </w:rPr>
                  </w:pPr>
                  <w:r>
                    <w:rPr>
                      <w:rFonts w:ascii="Times New Roman" w:hAnsi="Times New Roman" w:cs="Times New Roman"/>
                      <w:color w:val="000000" w:themeColor="text1"/>
                      <w:kern w:val="2"/>
                      <w:sz w:val="21"/>
                      <w:szCs w:val="24"/>
                      <w:highlight w:val="none"/>
                      <w:lang w:eastAsia="zh-CN"/>
                      <w14:textFill>
                        <w14:solidFill>
                          <w14:schemeClr w14:val="tx1"/>
                        </w14:solidFill>
                      </w14:textFill>
                    </w:rPr>
                    <w:t>/</w:t>
                  </w:r>
                </w:p>
              </w:tc>
              <w:tc>
                <w:tcPr>
                  <w:tcW w:w="989" w:type="pct"/>
                  <w:shd w:val="clear" w:color="auto" w:fill="auto"/>
                  <w:vAlign w:val="center"/>
                </w:tcPr>
                <w:p w14:paraId="2CD2DF69">
                  <w:pPr>
                    <w:pStyle w:val="36"/>
                    <w:autoSpaceDE/>
                    <w:autoSpaceDN/>
                    <w:spacing w:before="0"/>
                    <w:ind w:left="0"/>
                    <w:jc w:val="center"/>
                    <w:rPr>
                      <w:rFonts w:ascii="Times New Roman" w:hAnsi="Times New Roman" w:cs="Times New Roman"/>
                      <w:color w:val="000000" w:themeColor="text1"/>
                      <w:kern w:val="2"/>
                      <w:sz w:val="21"/>
                      <w:szCs w:val="24"/>
                      <w:highlight w:val="none"/>
                      <w:lang w:eastAsia="zh-CN"/>
                      <w14:textFill>
                        <w14:solidFill>
                          <w14:schemeClr w14:val="tx1"/>
                        </w14:solidFill>
                      </w14:textFill>
                    </w:rPr>
                  </w:pPr>
                  <w:r>
                    <w:rPr>
                      <w:rFonts w:hint="eastAsia" w:ascii="Times New Roman" w:hAnsi="Times New Roman" w:cs="Times New Roman"/>
                      <w:color w:val="000000" w:themeColor="text1"/>
                      <w:kern w:val="2"/>
                      <w:sz w:val="21"/>
                      <w:szCs w:val="24"/>
                      <w:highlight w:val="none"/>
                      <w:lang w:eastAsia="zh-CN"/>
                      <w14:textFill>
                        <w14:solidFill>
                          <w14:schemeClr w14:val="tx1"/>
                        </w14:solidFill>
                      </w14:textFill>
                    </w:rPr>
                    <w:t>无</w:t>
                  </w:r>
                </w:p>
              </w:tc>
            </w:tr>
            <w:tr w14:paraId="280B6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8" w:hRule="atLeast"/>
              </w:trPr>
              <w:tc>
                <w:tcPr>
                  <w:tcW w:w="810" w:type="pct"/>
                  <w:shd w:val="clear" w:color="auto" w:fill="auto"/>
                  <w:vAlign w:val="center"/>
                </w:tcPr>
                <w:p w14:paraId="7290BC9B">
                  <w:pPr>
                    <w:pStyle w:val="36"/>
                    <w:autoSpaceDE/>
                    <w:autoSpaceDN/>
                    <w:spacing w:before="0"/>
                    <w:ind w:left="0"/>
                    <w:jc w:val="center"/>
                    <w:rPr>
                      <w:rFonts w:ascii="Times New Roman" w:hAnsi="Times New Roman" w:cs="Times New Roman"/>
                      <w:color w:val="000000" w:themeColor="text1"/>
                      <w:kern w:val="2"/>
                      <w:sz w:val="21"/>
                      <w:szCs w:val="28"/>
                      <w:highlight w:val="none"/>
                      <w:lang w:eastAsia="zh-CN"/>
                      <w14:textFill>
                        <w14:solidFill>
                          <w14:schemeClr w14:val="tx1"/>
                        </w14:solidFill>
                      </w14:textFill>
                    </w:rPr>
                  </w:pPr>
                  <w:r>
                    <w:rPr>
                      <w:rFonts w:ascii="Times New Roman" w:hAnsi="Times New Roman" w:cs="Times New Roman"/>
                      <w:color w:val="000000" w:themeColor="text1"/>
                      <w:kern w:val="2"/>
                      <w:sz w:val="21"/>
                      <w:szCs w:val="24"/>
                      <w:highlight w:val="none"/>
                      <w:lang w:eastAsia="zh-CN"/>
                      <w14:textFill>
                        <w14:solidFill>
                          <w14:schemeClr w14:val="tx1"/>
                        </w14:solidFill>
                      </w14:textFill>
                    </w:rPr>
                    <w:t>地下水</w:t>
                  </w:r>
                </w:p>
              </w:tc>
              <w:tc>
                <w:tcPr>
                  <w:tcW w:w="1704" w:type="pct"/>
                  <w:shd w:val="clear" w:color="auto" w:fill="auto"/>
                  <w:vAlign w:val="center"/>
                </w:tcPr>
                <w:p w14:paraId="35A07DBF">
                  <w:pPr>
                    <w:pStyle w:val="63"/>
                    <w:autoSpaceDE/>
                    <w:autoSpaceDN/>
                    <w:adjustRightInd/>
                    <w:jc w:val="center"/>
                    <w:rPr>
                      <w:rFonts w:ascii="Times New Roman" w:cs="Times New Roman"/>
                      <w:color w:val="000000" w:themeColor="text1"/>
                      <w:kern w:val="2"/>
                      <w:sz w:val="21"/>
                      <w:szCs w:val="24"/>
                      <w:highlight w:val="none"/>
                      <w14:textFill>
                        <w14:solidFill>
                          <w14:schemeClr w14:val="tx1"/>
                        </w14:solidFill>
                      </w14:textFill>
                    </w:rPr>
                  </w:pPr>
                  <w:r>
                    <w:rPr>
                      <w:rFonts w:ascii="Times New Roman" w:cs="Times New Roman"/>
                      <w:color w:val="000000" w:themeColor="text1"/>
                      <w:kern w:val="2"/>
                      <w:sz w:val="21"/>
                      <w:szCs w:val="24"/>
                      <w:highlight w:val="none"/>
                      <w14:textFill>
                        <w14:solidFill>
                          <w14:schemeClr w14:val="tx1"/>
                        </w14:solidFill>
                      </w14:textFill>
                    </w:rPr>
                    <w:t>地下水原则上不开展专项评价，涉及集中式饮用水水源和热水、矿泉水、温泉等特殊地下水资源保护区的开展专项评价工作。</w:t>
                  </w:r>
                </w:p>
              </w:tc>
              <w:tc>
                <w:tcPr>
                  <w:tcW w:w="1497" w:type="pct"/>
                  <w:shd w:val="clear" w:color="auto" w:fill="auto"/>
                  <w:vAlign w:val="center"/>
                </w:tcPr>
                <w:p w14:paraId="6904D08A">
                  <w:pPr>
                    <w:pStyle w:val="63"/>
                    <w:autoSpaceDE/>
                    <w:autoSpaceDN/>
                    <w:adjustRightInd/>
                    <w:jc w:val="center"/>
                    <w:rPr>
                      <w:rFonts w:ascii="Times New Roman" w:cs="Times New Roman"/>
                      <w:color w:val="000000" w:themeColor="text1"/>
                      <w:kern w:val="2"/>
                      <w:sz w:val="21"/>
                      <w:szCs w:val="24"/>
                      <w:highlight w:val="none"/>
                      <w14:textFill>
                        <w14:solidFill>
                          <w14:schemeClr w14:val="tx1"/>
                        </w14:solidFill>
                      </w14:textFill>
                    </w:rPr>
                  </w:pPr>
                  <w:r>
                    <w:rPr>
                      <w:rFonts w:ascii="Times New Roman" w:cs="Times New Roman"/>
                      <w:color w:val="000000" w:themeColor="text1"/>
                      <w:kern w:val="2"/>
                      <w:sz w:val="21"/>
                      <w:szCs w:val="24"/>
                      <w:highlight w:val="none"/>
                      <w14:textFill>
                        <w14:solidFill>
                          <w14:schemeClr w14:val="tx1"/>
                        </w14:solidFill>
                      </w14:textFill>
                    </w:rPr>
                    <w:t>项目不涉及地下水敏感区</w:t>
                  </w:r>
                </w:p>
              </w:tc>
              <w:tc>
                <w:tcPr>
                  <w:tcW w:w="989" w:type="pct"/>
                  <w:shd w:val="clear" w:color="auto" w:fill="auto"/>
                  <w:vAlign w:val="center"/>
                </w:tcPr>
                <w:p w14:paraId="78C13B43">
                  <w:pPr>
                    <w:pStyle w:val="63"/>
                    <w:autoSpaceDE/>
                    <w:autoSpaceDN/>
                    <w:adjustRightInd/>
                    <w:jc w:val="center"/>
                    <w:rPr>
                      <w:rFonts w:ascii="Times New Roman" w:cs="Times New Roman"/>
                      <w:color w:val="000000" w:themeColor="text1"/>
                      <w:kern w:val="2"/>
                      <w:sz w:val="21"/>
                      <w:szCs w:val="24"/>
                      <w:highlight w:val="none"/>
                      <w14:textFill>
                        <w14:solidFill>
                          <w14:schemeClr w14:val="tx1"/>
                        </w14:solidFill>
                      </w14:textFill>
                    </w:rPr>
                  </w:pPr>
                  <w:r>
                    <w:rPr>
                      <w:rFonts w:hint="eastAsia" w:ascii="Times New Roman" w:cs="Times New Roman"/>
                      <w:color w:val="000000" w:themeColor="text1"/>
                      <w:kern w:val="2"/>
                      <w:sz w:val="21"/>
                      <w:szCs w:val="24"/>
                      <w:highlight w:val="none"/>
                      <w14:textFill>
                        <w14:solidFill>
                          <w14:schemeClr w14:val="tx1"/>
                        </w14:solidFill>
                      </w14:textFill>
                    </w:rPr>
                    <w:t>无</w:t>
                  </w:r>
                </w:p>
              </w:tc>
            </w:tr>
          </w:tbl>
          <w:p w14:paraId="577706F4">
            <w:pPr>
              <w:autoSpaceDE w:val="0"/>
              <w:autoSpaceDN w:val="0"/>
              <w:adjustRightInd w:val="0"/>
              <w:snapToGrid w:val="0"/>
              <w:spacing w:before="120" w:beforeLines="50" w:line="360" w:lineRule="auto"/>
              <w:rPr>
                <w:rFonts w:hint="eastAsia"/>
                <w:color w:val="000000" w:themeColor="text1"/>
                <w:kern w:val="0"/>
                <w:sz w:val="21"/>
                <w:szCs w:val="24"/>
                <w:highlight w:val="none"/>
                <w14:textFill>
                  <w14:solidFill>
                    <w14:schemeClr w14:val="tx1"/>
                  </w14:solidFill>
                </w14:textFill>
              </w:rPr>
            </w:pPr>
            <w:r>
              <w:rPr>
                <w:rFonts w:hint="eastAsia"/>
                <w:color w:val="000000" w:themeColor="text1"/>
                <w:kern w:val="0"/>
                <w:sz w:val="21"/>
                <w:szCs w:val="24"/>
                <w:highlight w:val="none"/>
                <w14:textFill>
                  <w14:solidFill>
                    <w14:schemeClr w14:val="tx1"/>
                  </w14:solidFill>
                </w14:textFill>
              </w:rPr>
              <w:t>注：1.废气中有毒有害污染物指纳入《有毒有害大气污染物名录》的污染物（不包括无排放标准的污染物）。2.环境空气保护目标指自然保护区、风景名胜区、居住区、文化区和农村地区中人群较集中的区域。3.临界量及其计算方法可参考《建设项目环境风险评价技术导则》（HJ 169）附录B、附录C。</w:t>
            </w:r>
          </w:p>
          <w:p w14:paraId="542F4F94">
            <w:pPr>
              <w:keepNext w:val="0"/>
              <w:keepLines w:val="0"/>
              <w:pageBreakBefore w:val="0"/>
              <w:widowControl w:val="0"/>
              <w:kinsoku/>
              <w:wordWrap/>
              <w:overflowPunct/>
              <w:topLinePunct w:val="0"/>
              <w:autoSpaceDE w:val="0"/>
              <w:autoSpaceDN w:val="0"/>
              <w:bidi w:val="0"/>
              <w:adjustRightInd w:val="0"/>
              <w:snapToGrid w:val="0"/>
              <w:spacing w:before="120" w:beforeLines="50" w:line="360" w:lineRule="auto"/>
              <w:ind w:firstLine="480" w:firstLineChars="200"/>
              <w:textAlignment w:val="auto"/>
              <w:rPr>
                <w:rFonts w:hint="eastAsia"/>
                <w:color w:val="000000" w:themeColor="text1"/>
                <w:kern w:val="0"/>
                <w:sz w:val="21"/>
                <w:szCs w:val="24"/>
                <w:highlight w:val="none"/>
                <w14:textFill>
                  <w14:solidFill>
                    <w14:schemeClr w14:val="tx1"/>
                  </w14:solidFill>
                </w14:textFill>
              </w:rPr>
            </w:pPr>
            <w:r>
              <w:rPr>
                <w:rFonts w:hint="eastAsia" w:ascii="Times New Roman" w:hAnsi="Times New Roman" w:eastAsia="宋体" w:cs="Times New Roman"/>
                <w:bCs/>
                <w:color w:val="000000" w:themeColor="text1"/>
                <w:kern w:val="0"/>
                <w:sz w:val="24"/>
                <w:szCs w:val="24"/>
                <w:highlight w:val="none"/>
                <w:lang w:val="en-US" w:eastAsia="zh-CN" w:bidi="ar-SA"/>
                <w14:textFill>
                  <w14:solidFill>
                    <w14:schemeClr w14:val="tx1"/>
                  </w14:solidFill>
                </w14:textFill>
              </w:rPr>
              <w:t>综上所述，本项目无需开展专项评价工作。</w:t>
            </w:r>
          </w:p>
        </w:tc>
      </w:tr>
      <w:tr w14:paraId="16457A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722" w:type="dxa"/>
            <w:vAlign w:val="center"/>
          </w:tcPr>
          <w:p w14:paraId="5A70B8AB">
            <w:pPr>
              <w:autoSpaceDE w:val="0"/>
              <w:autoSpaceDN w:val="0"/>
              <w:adjustRightInd w:val="0"/>
              <w:snapToGrid w:val="0"/>
              <w:jc w:val="center"/>
              <w:rPr>
                <w:color w:val="000000" w:themeColor="text1"/>
                <w:kern w:val="0"/>
                <w:szCs w:val="21"/>
                <w:highlight w:val="none"/>
                <w14:textFill>
                  <w14:solidFill>
                    <w14:schemeClr w14:val="tx1"/>
                  </w14:solidFill>
                </w14:textFill>
              </w:rPr>
            </w:pPr>
            <w:r>
              <w:rPr>
                <w:color w:val="000000" w:themeColor="text1"/>
                <w:szCs w:val="21"/>
                <w:highlight w:val="none"/>
                <w14:textFill>
                  <w14:solidFill>
                    <w14:schemeClr w14:val="tx1"/>
                  </w14:solidFill>
                </w14:textFill>
              </w:rPr>
              <w:t>规划情况</w:t>
            </w:r>
          </w:p>
        </w:tc>
        <w:tc>
          <w:tcPr>
            <w:tcW w:w="8148" w:type="dxa"/>
            <w:gridSpan w:val="4"/>
            <w:vAlign w:val="center"/>
          </w:tcPr>
          <w:p w14:paraId="38A90BC0">
            <w:pPr>
              <w:autoSpaceDE w:val="0"/>
              <w:autoSpaceDN w:val="0"/>
              <w:adjustRightInd w:val="0"/>
              <w:snapToGrid w:val="0"/>
              <w:spacing w:line="360" w:lineRule="auto"/>
              <w:rPr>
                <w:rFonts w:hint="eastAsia"/>
                <w:b w:val="0"/>
                <w:bCs/>
                <w:color w:val="000000" w:themeColor="text1"/>
                <w:kern w:val="0"/>
                <w:sz w:val="24"/>
                <w:szCs w:val="24"/>
                <w:highlight w:val="none"/>
                <w14:textFill>
                  <w14:solidFill>
                    <w14:schemeClr w14:val="tx1"/>
                  </w14:solidFill>
                </w14:textFill>
              </w:rPr>
            </w:pPr>
            <w:r>
              <w:rPr>
                <w:rFonts w:hint="eastAsia"/>
                <w:b w:val="0"/>
                <w:bCs/>
                <w:color w:val="000000" w:themeColor="text1"/>
                <w:kern w:val="0"/>
                <w:sz w:val="24"/>
                <w:szCs w:val="24"/>
                <w:highlight w:val="none"/>
                <w14:textFill>
                  <w14:solidFill>
                    <w14:schemeClr w14:val="tx1"/>
                  </w14:solidFill>
                </w14:textFill>
              </w:rPr>
              <w:t>①《福州市生物医药和机电产业园区控制性详细规划》，福州市规划设计研究院，2010年9月</w:t>
            </w:r>
          </w:p>
          <w:p w14:paraId="141E4DAD">
            <w:pPr>
              <w:autoSpaceDE w:val="0"/>
              <w:autoSpaceDN w:val="0"/>
              <w:adjustRightInd w:val="0"/>
              <w:snapToGrid w:val="0"/>
              <w:spacing w:line="360" w:lineRule="auto"/>
              <w:rPr>
                <w:rFonts w:hint="eastAsia"/>
                <w:b w:val="0"/>
                <w:bCs/>
                <w:color w:val="000000" w:themeColor="text1"/>
                <w:kern w:val="0"/>
                <w:sz w:val="24"/>
                <w:szCs w:val="24"/>
                <w:highlight w:val="none"/>
                <w14:textFill>
                  <w14:solidFill>
                    <w14:schemeClr w14:val="tx1"/>
                  </w14:solidFill>
                </w14:textFill>
              </w:rPr>
            </w:pPr>
            <w:r>
              <w:rPr>
                <w:rFonts w:hint="eastAsia"/>
                <w:b w:val="0"/>
                <w:bCs/>
                <w:color w:val="000000" w:themeColor="text1"/>
                <w:kern w:val="0"/>
                <w:sz w:val="24"/>
                <w:szCs w:val="24"/>
                <w:highlight w:val="none"/>
                <w14:textFill>
                  <w14:solidFill>
                    <w14:schemeClr w14:val="tx1"/>
                  </w14:solidFill>
                </w14:textFill>
              </w:rPr>
              <w:t>审批机关：福州市人民政府审批文件名称及文号：无</w:t>
            </w:r>
          </w:p>
          <w:p w14:paraId="66481DF9">
            <w:pPr>
              <w:autoSpaceDE w:val="0"/>
              <w:autoSpaceDN w:val="0"/>
              <w:adjustRightInd w:val="0"/>
              <w:snapToGrid w:val="0"/>
              <w:spacing w:line="360" w:lineRule="auto"/>
              <w:rPr>
                <w:rFonts w:hint="eastAsia"/>
                <w:b w:val="0"/>
                <w:bCs/>
                <w:color w:val="000000" w:themeColor="text1"/>
                <w:kern w:val="0"/>
                <w:sz w:val="24"/>
                <w:szCs w:val="24"/>
                <w:highlight w:val="none"/>
                <w14:textFill>
                  <w14:solidFill>
                    <w14:schemeClr w14:val="tx1"/>
                  </w14:solidFill>
                </w14:textFill>
              </w:rPr>
            </w:pPr>
            <w:r>
              <w:rPr>
                <w:rFonts w:hint="eastAsia"/>
                <w:b w:val="0"/>
                <w:bCs/>
                <w:color w:val="000000" w:themeColor="text1"/>
                <w:kern w:val="0"/>
                <w:sz w:val="24"/>
                <w:szCs w:val="24"/>
                <w:highlight w:val="none"/>
                <w14:textFill>
                  <w14:solidFill>
                    <w14:schemeClr w14:val="tx1"/>
                  </w14:solidFill>
                </w14:textFill>
              </w:rPr>
              <w:t>②《福州高新区两园南单元控制性详细规划》，福州市规划设计研究院集团有限公司，2022年9月</w:t>
            </w:r>
          </w:p>
          <w:p w14:paraId="42D28ABF">
            <w:pPr>
              <w:autoSpaceDE w:val="0"/>
              <w:autoSpaceDN w:val="0"/>
              <w:adjustRightInd w:val="0"/>
              <w:snapToGrid w:val="0"/>
              <w:spacing w:line="360" w:lineRule="auto"/>
              <w:rPr>
                <w:rFonts w:hint="eastAsia"/>
                <w:b w:val="0"/>
                <w:bCs/>
                <w:color w:val="000000" w:themeColor="text1"/>
                <w:kern w:val="0"/>
                <w:sz w:val="24"/>
                <w:szCs w:val="24"/>
                <w:highlight w:val="none"/>
                <w14:textFill>
                  <w14:solidFill>
                    <w14:schemeClr w14:val="tx1"/>
                  </w14:solidFill>
                </w14:textFill>
              </w:rPr>
            </w:pPr>
            <w:r>
              <w:rPr>
                <w:rFonts w:hint="eastAsia"/>
                <w:b w:val="0"/>
                <w:bCs/>
                <w:color w:val="000000" w:themeColor="text1"/>
                <w:kern w:val="0"/>
                <w:sz w:val="24"/>
                <w:szCs w:val="24"/>
                <w:highlight w:val="none"/>
                <w14:textFill>
                  <w14:solidFill>
                    <w14:schemeClr w14:val="tx1"/>
                  </w14:solidFill>
                </w14:textFill>
              </w:rPr>
              <w:t>审批机关：福州市人民政府</w:t>
            </w:r>
          </w:p>
          <w:p w14:paraId="6C775639">
            <w:pPr>
              <w:autoSpaceDE w:val="0"/>
              <w:autoSpaceDN w:val="0"/>
              <w:adjustRightInd w:val="0"/>
              <w:snapToGrid w:val="0"/>
              <w:spacing w:line="360" w:lineRule="auto"/>
              <w:rPr>
                <w:rFonts w:hint="eastAsia"/>
                <w:b w:val="0"/>
                <w:bCs/>
                <w:color w:val="000000" w:themeColor="text1"/>
                <w:kern w:val="0"/>
                <w:szCs w:val="21"/>
                <w:highlight w:val="none"/>
                <w14:textFill>
                  <w14:solidFill>
                    <w14:schemeClr w14:val="tx1"/>
                  </w14:solidFill>
                </w14:textFill>
              </w:rPr>
            </w:pPr>
            <w:r>
              <w:rPr>
                <w:rFonts w:hint="eastAsia"/>
                <w:b w:val="0"/>
                <w:bCs/>
                <w:color w:val="000000" w:themeColor="text1"/>
                <w:kern w:val="0"/>
                <w:sz w:val="24"/>
                <w:szCs w:val="24"/>
                <w:highlight w:val="none"/>
                <w14:textFill>
                  <w14:solidFill>
                    <w14:schemeClr w14:val="tx1"/>
                  </w14:solidFill>
                </w14:textFill>
              </w:rPr>
              <w:t>审批文件名称及文号：无</w:t>
            </w:r>
          </w:p>
        </w:tc>
      </w:tr>
      <w:tr w14:paraId="4EDF3D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722" w:type="dxa"/>
            <w:vAlign w:val="center"/>
          </w:tcPr>
          <w:p w14:paraId="028AC21A">
            <w:pPr>
              <w:adjustRightInd w:val="0"/>
              <w:snapToGrid w:val="0"/>
              <w:jc w:val="center"/>
              <w:rPr>
                <w:color w:val="000000" w:themeColor="text1"/>
                <w:kern w:val="0"/>
                <w:szCs w:val="21"/>
                <w:highlight w:val="none"/>
                <w14:textFill>
                  <w14:solidFill>
                    <w14:schemeClr w14:val="tx1"/>
                  </w14:solidFill>
                </w14:textFill>
              </w:rPr>
            </w:pPr>
            <w:r>
              <w:rPr>
                <w:color w:val="000000" w:themeColor="text1"/>
                <w:szCs w:val="21"/>
                <w:highlight w:val="none"/>
                <w14:textFill>
                  <w14:solidFill>
                    <w14:schemeClr w14:val="tx1"/>
                  </w14:solidFill>
                </w14:textFill>
              </w:rPr>
              <w:t>规划环境影响评价情况</w:t>
            </w:r>
          </w:p>
        </w:tc>
        <w:tc>
          <w:tcPr>
            <w:tcW w:w="8148" w:type="dxa"/>
            <w:gridSpan w:val="4"/>
            <w:vAlign w:val="center"/>
          </w:tcPr>
          <w:p w14:paraId="60DF7297">
            <w:pPr>
              <w:autoSpaceDE w:val="0"/>
              <w:autoSpaceDN w:val="0"/>
              <w:adjustRightInd w:val="0"/>
              <w:snapToGrid w:val="0"/>
              <w:spacing w:line="360" w:lineRule="auto"/>
              <w:rPr>
                <w:rFonts w:hint="eastAsia"/>
                <w:b w:val="0"/>
                <w:bCs/>
                <w:color w:val="000000" w:themeColor="text1"/>
                <w:kern w:val="0"/>
                <w:sz w:val="24"/>
                <w:szCs w:val="24"/>
                <w:highlight w:val="none"/>
                <w14:textFill>
                  <w14:solidFill>
                    <w14:schemeClr w14:val="tx1"/>
                  </w14:solidFill>
                </w14:textFill>
              </w:rPr>
            </w:pPr>
            <w:r>
              <w:rPr>
                <w:rFonts w:hint="eastAsia"/>
                <w:b w:val="0"/>
                <w:bCs/>
                <w:color w:val="000000" w:themeColor="text1"/>
                <w:kern w:val="0"/>
                <w:sz w:val="24"/>
                <w:szCs w:val="24"/>
                <w:highlight w:val="none"/>
                <w14:textFill>
                  <w14:solidFill>
                    <w14:schemeClr w14:val="tx1"/>
                  </w14:solidFill>
                </w14:textFill>
              </w:rPr>
              <w:t>①《福州市生物医药和机电产业园规划环境影响报告书》，福州市环境科学研究院，2011年4月</w:t>
            </w:r>
          </w:p>
          <w:p w14:paraId="5741EFF6">
            <w:pPr>
              <w:autoSpaceDE w:val="0"/>
              <w:autoSpaceDN w:val="0"/>
              <w:adjustRightInd w:val="0"/>
              <w:snapToGrid w:val="0"/>
              <w:spacing w:line="360" w:lineRule="auto"/>
              <w:rPr>
                <w:rFonts w:hint="eastAsia"/>
                <w:b w:val="0"/>
                <w:bCs/>
                <w:color w:val="000000" w:themeColor="text1"/>
                <w:kern w:val="0"/>
                <w:sz w:val="24"/>
                <w:szCs w:val="24"/>
                <w:highlight w:val="none"/>
                <w14:textFill>
                  <w14:solidFill>
                    <w14:schemeClr w14:val="tx1"/>
                  </w14:solidFill>
                </w14:textFill>
              </w:rPr>
            </w:pPr>
            <w:r>
              <w:rPr>
                <w:rFonts w:hint="eastAsia"/>
                <w:b w:val="0"/>
                <w:bCs/>
                <w:color w:val="000000" w:themeColor="text1"/>
                <w:kern w:val="0"/>
                <w:sz w:val="24"/>
                <w:szCs w:val="24"/>
                <w:highlight w:val="none"/>
                <w14:textFill>
                  <w14:solidFill>
                    <w14:schemeClr w14:val="tx1"/>
                  </w14:solidFill>
                </w14:textFill>
              </w:rPr>
              <w:t>审批机关：福州市环境保护局</w:t>
            </w:r>
          </w:p>
          <w:p w14:paraId="058FAB4C">
            <w:pPr>
              <w:autoSpaceDE w:val="0"/>
              <w:autoSpaceDN w:val="0"/>
              <w:adjustRightInd w:val="0"/>
              <w:snapToGrid w:val="0"/>
              <w:spacing w:line="360" w:lineRule="auto"/>
              <w:rPr>
                <w:rFonts w:hint="eastAsia"/>
                <w:b w:val="0"/>
                <w:bCs/>
                <w:color w:val="000000" w:themeColor="text1"/>
                <w:kern w:val="0"/>
                <w:sz w:val="24"/>
                <w:szCs w:val="24"/>
                <w:highlight w:val="none"/>
                <w14:textFill>
                  <w14:solidFill>
                    <w14:schemeClr w14:val="tx1"/>
                  </w14:solidFill>
                </w14:textFill>
              </w:rPr>
            </w:pPr>
            <w:r>
              <w:rPr>
                <w:rFonts w:hint="eastAsia"/>
                <w:b w:val="0"/>
                <w:bCs/>
                <w:color w:val="000000" w:themeColor="text1"/>
                <w:kern w:val="0"/>
                <w:sz w:val="24"/>
                <w:szCs w:val="24"/>
                <w:highlight w:val="none"/>
                <w14:textFill>
                  <w14:solidFill>
                    <w14:schemeClr w14:val="tx1"/>
                  </w14:solidFill>
                </w14:textFill>
              </w:rPr>
              <w:t>审批文件名称及文号：《福州市生物医药和机电产业园规划环境影响报告书的审查意见》（榕环保〔2011〕204号）；</w:t>
            </w:r>
          </w:p>
          <w:p w14:paraId="40AEBAA3">
            <w:pPr>
              <w:autoSpaceDE w:val="0"/>
              <w:autoSpaceDN w:val="0"/>
              <w:adjustRightInd w:val="0"/>
              <w:snapToGrid w:val="0"/>
              <w:spacing w:line="360" w:lineRule="auto"/>
              <w:rPr>
                <w:rFonts w:hint="eastAsia"/>
                <w:b w:val="0"/>
                <w:bCs/>
                <w:color w:val="000000" w:themeColor="text1"/>
                <w:kern w:val="0"/>
                <w:sz w:val="24"/>
                <w:szCs w:val="24"/>
                <w:highlight w:val="none"/>
                <w14:textFill>
                  <w14:solidFill>
                    <w14:schemeClr w14:val="tx1"/>
                  </w14:solidFill>
                </w14:textFill>
              </w:rPr>
            </w:pPr>
            <w:r>
              <w:rPr>
                <w:rFonts w:hint="eastAsia"/>
                <w:b w:val="0"/>
                <w:bCs/>
                <w:color w:val="000000" w:themeColor="text1"/>
                <w:kern w:val="0"/>
                <w:sz w:val="24"/>
                <w:szCs w:val="24"/>
                <w:highlight w:val="none"/>
                <w14:textFill>
                  <w14:solidFill>
                    <w14:schemeClr w14:val="tx1"/>
                  </w14:solidFill>
                </w14:textFill>
              </w:rPr>
              <w:t>②《福州市生物医药和机电产业园区地块用地性质和产业规划调整环境影响补充报告》，福州市环境科学研究院，201</w:t>
            </w:r>
            <w:r>
              <w:rPr>
                <w:rFonts w:hint="eastAsia"/>
                <w:b w:val="0"/>
                <w:bCs/>
                <w:color w:val="000000" w:themeColor="text1"/>
                <w:kern w:val="0"/>
                <w:sz w:val="24"/>
                <w:szCs w:val="24"/>
                <w:highlight w:val="none"/>
                <w:lang w:val="en-US" w:eastAsia="zh-CN"/>
                <w14:textFill>
                  <w14:solidFill>
                    <w14:schemeClr w14:val="tx1"/>
                  </w14:solidFill>
                </w14:textFill>
              </w:rPr>
              <w:t>4</w:t>
            </w:r>
            <w:r>
              <w:rPr>
                <w:rFonts w:hint="eastAsia"/>
                <w:b w:val="0"/>
                <w:bCs/>
                <w:color w:val="000000" w:themeColor="text1"/>
                <w:kern w:val="0"/>
                <w:sz w:val="24"/>
                <w:szCs w:val="24"/>
                <w:highlight w:val="none"/>
                <w14:textFill>
                  <w14:solidFill>
                    <w14:schemeClr w14:val="tx1"/>
                  </w14:solidFill>
                </w14:textFill>
              </w:rPr>
              <w:t>年11月</w:t>
            </w:r>
          </w:p>
          <w:p w14:paraId="5DA30474">
            <w:pPr>
              <w:autoSpaceDE w:val="0"/>
              <w:autoSpaceDN w:val="0"/>
              <w:adjustRightInd w:val="0"/>
              <w:snapToGrid w:val="0"/>
              <w:spacing w:line="360" w:lineRule="auto"/>
              <w:rPr>
                <w:rFonts w:hint="eastAsia"/>
                <w:b w:val="0"/>
                <w:bCs/>
                <w:color w:val="000000" w:themeColor="text1"/>
                <w:kern w:val="0"/>
                <w:sz w:val="24"/>
                <w:szCs w:val="24"/>
                <w:highlight w:val="none"/>
                <w14:textFill>
                  <w14:solidFill>
                    <w14:schemeClr w14:val="tx1"/>
                  </w14:solidFill>
                </w14:textFill>
              </w:rPr>
            </w:pPr>
            <w:r>
              <w:rPr>
                <w:rFonts w:hint="eastAsia"/>
                <w:b w:val="0"/>
                <w:bCs/>
                <w:color w:val="000000" w:themeColor="text1"/>
                <w:kern w:val="0"/>
                <w:sz w:val="24"/>
                <w:szCs w:val="24"/>
                <w:highlight w:val="none"/>
                <w14:textFill>
                  <w14:solidFill>
                    <w14:schemeClr w14:val="tx1"/>
                  </w14:solidFill>
                </w14:textFill>
              </w:rPr>
              <w:t>审批机关：福州市环境保护局</w:t>
            </w:r>
          </w:p>
          <w:p w14:paraId="6EC3BCB9">
            <w:pPr>
              <w:autoSpaceDE w:val="0"/>
              <w:autoSpaceDN w:val="0"/>
              <w:adjustRightInd w:val="0"/>
              <w:snapToGrid w:val="0"/>
              <w:spacing w:line="360" w:lineRule="auto"/>
              <w:rPr>
                <w:rFonts w:hint="eastAsia"/>
                <w:b w:val="0"/>
                <w:bCs/>
                <w:color w:val="000000" w:themeColor="text1"/>
                <w:kern w:val="0"/>
                <w:sz w:val="24"/>
                <w:szCs w:val="24"/>
                <w:highlight w:val="none"/>
                <w14:textFill>
                  <w14:solidFill>
                    <w14:schemeClr w14:val="tx1"/>
                  </w14:solidFill>
                </w14:textFill>
              </w:rPr>
            </w:pPr>
            <w:r>
              <w:rPr>
                <w:rFonts w:hint="eastAsia"/>
                <w:b w:val="0"/>
                <w:bCs/>
                <w:color w:val="000000" w:themeColor="text1"/>
                <w:kern w:val="0"/>
                <w:sz w:val="24"/>
                <w:szCs w:val="24"/>
                <w:highlight w:val="none"/>
                <w14:textFill>
                  <w14:solidFill>
                    <w14:schemeClr w14:val="tx1"/>
                  </w14:solidFill>
                </w14:textFill>
              </w:rPr>
              <w:t>审批文件名称及文号：《福州市生物医药和机电产业园区地块用地性质和产业规划调整环境影响补充报告的审查意见》（榕环保综〔2014〕435号）。</w:t>
            </w:r>
          </w:p>
          <w:p w14:paraId="15703DD6">
            <w:pPr>
              <w:autoSpaceDE w:val="0"/>
              <w:autoSpaceDN w:val="0"/>
              <w:adjustRightInd w:val="0"/>
              <w:snapToGrid w:val="0"/>
              <w:spacing w:line="360" w:lineRule="auto"/>
              <w:rPr>
                <w:rFonts w:hint="eastAsia"/>
                <w:b w:val="0"/>
                <w:bCs/>
                <w:color w:val="000000" w:themeColor="text1"/>
                <w:kern w:val="0"/>
                <w:sz w:val="24"/>
                <w:szCs w:val="24"/>
                <w:highlight w:val="none"/>
                <w14:textFill>
                  <w14:solidFill>
                    <w14:schemeClr w14:val="tx1"/>
                  </w14:solidFill>
                </w14:textFill>
              </w:rPr>
            </w:pPr>
            <w:r>
              <w:rPr>
                <w:rFonts w:hint="eastAsia"/>
                <w:b w:val="0"/>
                <w:bCs/>
                <w:color w:val="000000" w:themeColor="text1"/>
                <w:kern w:val="0"/>
                <w:sz w:val="24"/>
                <w:szCs w:val="24"/>
                <w:highlight w:val="none"/>
                <w14:textFill>
                  <w14:solidFill>
                    <w14:schemeClr w14:val="tx1"/>
                  </w14:solidFill>
                </w14:textFill>
              </w:rPr>
              <w:t>③《福州市生物医药和机电产业园规划环境影响跟踪评价报告书》，福建省环境保护设计院有限公司，2023年12月</w:t>
            </w:r>
          </w:p>
          <w:p w14:paraId="6E3830D0">
            <w:pPr>
              <w:autoSpaceDE w:val="0"/>
              <w:autoSpaceDN w:val="0"/>
              <w:adjustRightInd w:val="0"/>
              <w:snapToGrid w:val="0"/>
              <w:spacing w:line="360" w:lineRule="auto"/>
              <w:rPr>
                <w:rFonts w:hint="eastAsia"/>
                <w:b w:val="0"/>
                <w:bCs/>
                <w:color w:val="000000" w:themeColor="text1"/>
                <w:kern w:val="0"/>
                <w:sz w:val="24"/>
                <w:szCs w:val="24"/>
                <w:highlight w:val="none"/>
                <w14:textFill>
                  <w14:solidFill>
                    <w14:schemeClr w14:val="tx1"/>
                  </w14:solidFill>
                </w14:textFill>
              </w:rPr>
            </w:pPr>
            <w:r>
              <w:rPr>
                <w:rFonts w:hint="eastAsia"/>
                <w:b w:val="0"/>
                <w:bCs/>
                <w:color w:val="000000" w:themeColor="text1"/>
                <w:kern w:val="0"/>
                <w:sz w:val="24"/>
                <w:szCs w:val="24"/>
                <w:highlight w:val="none"/>
                <w14:textFill>
                  <w14:solidFill>
                    <w14:schemeClr w14:val="tx1"/>
                  </w14:solidFill>
                </w14:textFill>
              </w:rPr>
              <w:t>审批机关：福州市生态环境局</w:t>
            </w:r>
          </w:p>
          <w:p w14:paraId="097CA98A">
            <w:pPr>
              <w:autoSpaceDE w:val="0"/>
              <w:autoSpaceDN w:val="0"/>
              <w:adjustRightInd w:val="0"/>
              <w:snapToGrid w:val="0"/>
              <w:spacing w:line="360" w:lineRule="auto"/>
              <w:rPr>
                <w:rFonts w:hint="eastAsia"/>
                <w:b w:val="0"/>
                <w:bCs/>
                <w:color w:val="000000" w:themeColor="text1"/>
                <w:kern w:val="0"/>
                <w:sz w:val="24"/>
                <w:szCs w:val="24"/>
                <w:highlight w:val="none"/>
                <w14:textFill>
                  <w14:solidFill>
                    <w14:schemeClr w14:val="tx1"/>
                  </w14:solidFill>
                </w14:textFill>
              </w:rPr>
            </w:pPr>
            <w:r>
              <w:rPr>
                <w:rFonts w:hint="eastAsia"/>
                <w:b w:val="0"/>
                <w:bCs/>
                <w:color w:val="000000" w:themeColor="text1"/>
                <w:kern w:val="0"/>
                <w:sz w:val="24"/>
                <w:szCs w:val="24"/>
                <w:highlight w:val="none"/>
                <w14:textFill>
                  <w14:solidFill>
                    <w14:schemeClr w14:val="tx1"/>
                  </w14:solidFill>
                </w14:textFill>
              </w:rPr>
              <w:t>审批文件名称及文号：/</w:t>
            </w:r>
          </w:p>
        </w:tc>
      </w:tr>
      <w:tr w14:paraId="5B5A67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22" w:type="dxa"/>
            <w:vAlign w:val="center"/>
          </w:tcPr>
          <w:p w14:paraId="65375D4A">
            <w:pPr>
              <w:autoSpaceDE w:val="0"/>
              <w:autoSpaceDN w:val="0"/>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规划及规划环境影响评价符合性分析</w:t>
            </w:r>
          </w:p>
        </w:tc>
        <w:tc>
          <w:tcPr>
            <w:tcW w:w="8148" w:type="dxa"/>
            <w:gridSpan w:val="4"/>
            <w:vAlign w:val="center"/>
          </w:tcPr>
          <w:p w14:paraId="1802DA18">
            <w:pPr>
              <w:pStyle w:val="37"/>
              <w:rPr>
                <w:rFonts w:hint="eastAsia"/>
                <w:color w:val="000000" w:themeColor="text1"/>
                <w:sz w:val="24"/>
                <w:szCs w:val="21"/>
                <w:highlight w:val="none"/>
                <w14:textFill>
                  <w14:solidFill>
                    <w14:schemeClr w14:val="tx1"/>
                  </w14:solidFill>
                </w14:textFill>
              </w:rPr>
            </w:pPr>
            <w:r>
              <w:rPr>
                <w:color w:val="000000" w:themeColor="text1"/>
                <w:sz w:val="24"/>
                <w:szCs w:val="21"/>
                <w:highlight w:val="none"/>
                <w14:textFill>
                  <w14:solidFill>
                    <w14:schemeClr w14:val="tx1"/>
                  </w14:solidFill>
                </w14:textFill>
              </w:rPr>
              <w:t>1.1</w:t>
            </w:r>
            <w:r>
              <w:rPr>
                <w:rFonts w:hint="eastAsia"/>
                <w:color w:val="000000" w:themeColor="text1"/>
                <w:sz w:val="24"/>
                <w:szCs w:val="21"/>
                <w:highlight w:val="none"/>
                <w14:textFill>
                  <w14:solidFill>
                    <w14:schemeClr w14:val="tx1"/>
                  </w14:solidFill>
                </w14:textFill>
              </w:rPr>
              <w:t>与规划符合性分析</w:t>
            </w:r>
          </w:p>
          <w:p w14:paraId="38D69DCD">
            <w:pPr>
              <w:pStyle w:val="97"/>
              <w:ind w:firstLine="0" w:firstLineChars="0"/>
              <w:rPr>
                <w:rFonts w:ascii="Times New Roman" w:hAnsi="Times New Roman"/>
                <w:b/>
                <w:color w:val="000000" w:themeColor="text1"/>
                <w:szCs w:val="24"/>
                <w:highlight w:val="none"/>
                <w14:textFill>
                  <w14:solidFill>
                    <w14:schemeClr w14:val="tx1"/>
                  </w14:solidFill>
                </w14:textFill>
              </w:rPr>
            </w:pPr>
            <w:r>
              <w:rPr>
                <w:rFonts w:ascii="Times New Roman" w:hAnsi="Times New Roman"/>
                <w:b/>
                <w:color w:val="000000" w:themeColor="text1"/>
                <w:szCs w:val="24"/>
                <w:highlight w:val="none"/>
                <w14:textFill>
                  <w14:solidFill>
                    <w14:schemeClr w14:val="tx1"/>
                  </w14:solidFill>
                </w14:textFill>
              </w:rPr>
              <w:t>1.1.</w:t>
            </w:r>
            <w:r>
              <w:rPr>
                <w:rFonts w:hint="eastAsia" w:ascii="Times New Roman" w:hAnsi="Times New Roman"/>
                <w:b/>
                <w:color w:val="000000" w:themeColor="text1"/>
                <w:szCs w:val="24"/>
                <w:highlight w:val="none"/>
                <w14:textFill>
                  <w14:solidFill>
                    <w14:schemeClr w14:val="tx1"/>
                  </w14:solidFill>
                </w14:textFill>
              </w:rPr>
              <w:t>1</w:t>
            </w:r>
            <w:r>
              <w:rPr>
                <w:rFonts w:ascii="Times New Roman" w:hAnsi="Times New Roman"/>
                <w:b/>
                <w:color w:val="000000" w:themeColor="text1"/>
                <w:szCs w:val="24"/>
                <w:highlight w:val="none"/>
                <w14:textFill>
                  <w14:solidFill>
                    <w14:schemeClr w14:val="tx1"/>
                  </w14:solidFill>
                </w14:textFill>
              </w:rPr>
              <w:t>与《福州市国土空间总体规划（2021-2035年）</w:t>
            </w:r>
            <w:r>
              <w:rPr>
                <w:rFonts w:hint="eastAsia" w:ascii="Times New Roman" w:hAnsi="Times New Roman"/>
                <w:b/>
                <w:color w:val="000000" w:themeColor="text1"/>
                <w:szCs w:val="24"/>
                <w:highlight w:val="none"/>
                <w:lang w:eastAsia="zh-CN"/>
                <w14:textFill>
                  <w14:solidFill>
                    <w14:schemeClr w14:val="tx1"/>
                  </w14:solidFill>
                </w14:textFill>
              </w:rPr>
              <w:t>》和《闽侯县国土空间总体规划（2021-2035年）》</w:t>
            </w:r>
            <w:r>
              <w:rPr>
                <w:rFonts w:hint="eastAsia" w:ascii="Times New Roman" w:hAnsi="Times New Roman"/>
                <w:b/>
                <w:color w:val="000000" w:themeColor="text1"/>
                <w:szCs w:val="24"/>
                <w:highlight w:val="none"/>
                <w:lang w:val="en-US" w:eastAsia="zh-CN"/>
                <w14:textFill>
                  <w14:solidFill>
                    <w14:schemeClr w14:val="tx1"/>
                  </w14:solidFill>
                </w14:textFill>
              </w:rPr>
              <w:t>的</w:t>
            </w:r>
            <w:r>
              <w:rPr>
                <w:rFonts w:ascii="Times New Roman" w:hAnsi="Times New Roman"/>
                <w:b/>
                <w:color w:val="000000" w:themeColor="text1"/>
                <w:szCs w:val="24"/>
                <w:highlight w:val="none"/>
                <w14:textFill>
                  <w14:solidFill>
                    <w14:schemeClr w14:val="tx1"/>
                  </w14:solidFill>
                </w14:textFill>
              </w:rPr>
              <w:t>符合性分析</w:t>
            </w:r>
          </w:p>
          <w:p w14:paraId="581DF449">
            <w:pPr>
              <w:pStyle w:val="97"/>
              <w:ind w:firstLine="480"/>
              <w:rPr>
                <w:rFonts w:hint="eastAsia" w:ascii="Times New Roman" w:hAnsi="Times New Roman" w:eastAsia="宋体"/>
                <w:color w:val="000000" w:themeColor="text1"/>
                <w:szCs w:val="24"/>
                <w:highlight w:val="none"/>
                <w:lang w:eastAsia="zh-CN"/>
                <w14:textFill>
                  <w14:solidFill>
                    <w14:schemeClr w14:val="tx1"/>
                  </w14:solidFill>
                </w14:textFill>
              </w:rPr>
            </w:pPr>
            <w:r>
              <w:rPr>
                <w:rFonts w:ascii="Times New Roman" w:hAnsi="Times New Roman"/>
                <w:color w:val="000000" w:themeColor="text1"/>
                <w:szCs w:val="24"/>
                <w:highlight w:val="none"/>
                <w14:textFill>
                  <w14:solidFill>
                    <w14:schemeClr w14:val="tx1"/>
                  </w14:solidFill>
                </w14:textFill>
              </w:rPr>
              <w:t>《福州市国土空间总体规划</w:t>
            </w:r>
            <w:r>
              <w:rPr>
                <w:rFonts w:hint="eastAsia" w:ascii="Times New Roman" w:hAnsi="Times New Roman"/>
                <w:color w:val="000000" w:themeColor="text1"/>
                <w:szCs w:val="24"/>
                <w:highlight w:val="none"/>
                <w14:textFill>
                  <w14:solidFill>
                    <w14:schemeClr w14:val="tx1"/>
                  </w14:solidFill>
                </w14:textFill>
              </w:rPr>
              <w:t>（</w:t>
            </w:r>
            <w:r>
              <w:rPr>
                <w:rFonts w:ascii="Times New Roman" w:hAnsi="Times New Roman"/>
                <w:color w:val="000000" w:themeColor="text1"/>
                <w:szCs w:val="24"/>
                <w:highlight w:val="none"/>
                <w14:textFill>
                  <w14:solidFill>
                    <w14:schemeClr w14:val="tx1"/>
                  </w14:solidFill>
                </w14:textFill>
              </w:rPr>
              <w:t>2021-2035年</w:t>
            </w:r>
            <w:r>
              <w:rPr>
                <w:rFonts w:hint="eastAsia" w:ascii="Times New Roman" w:hAnsi="Times New Roman"/>
                <w:color w:val="000000" w:themeColor="text1"/>
                <w:szCs w:val="24"/>
                <w:highlight w:val="none"/>
                <w14:textFill>
                  <w14:solidFill>
                    <w14:schemeClr w14:val="tx1"/>
                  </w14:solidFill>
                </w14:textFill>
              </w:rPr>
              <w:t>）</w:t>
            </w:r>
            <w:r>
              <w:rPr>
                <w:rFonts w:ascii="Times New Roman" w:hAnsi="Times New Roman"/>
                <w:color w:val="000000" w:themeColor="text1"/>
                <w:szCs w:val="24"/>
                <w:highlight w:val="none"/>
                <w14:textFill>
                  <w14:solidFill>
                    <w14:schemeClr w14:val="tx1"/>
                  </w14:solidFill>
                </w14:textFill>
              </w:rPr>
              <w:t>》</w:t>
            </w:r>
            <w:r>
              <w:rPr>
                <w:rFonts w:hint="eastAsia" w:ascii="Times New Roman" w:hAnsi="Times New Roman"/>
                <w:color w:val="000000" w:themeColor="text1"/>
                <w:szCs w:val="24"/>
                <w:highlight w:val="none"/>
                <w:lang w:val="en-US" w:eastAsia="zh-CN"/>
                <w14:textFill>
                  <w14:solidFill>
                    <w14:schemeClr w14:val="tx1"/>
                  </w14:solidFill>
                </w14:textFill>
              </w:rPr>
              <w:t>相关</w:t>
            </w:r>
            <w:r>
              <w:rPr>
                <w:rFonts w:ascii="Times New Roman" w:hAnsi="Times New Roman"/>
                <w:color w:val="000000" w:themeColor="text1"/>
                <w:szCs w:val="24"/>
                <w:highlight w:val="none"/>
                <w14:textFill>
                  <w14:solidFill>
                    <w14:schemeClr w14:val="tx1"/>
                  </w14:solidFill>
                </w14:textFill>
              </w:rPr>
              <w:t>内容</w:t>
            </w:r>
            <w:r>
              <w:rPr>
                <w:rFonts w:hint="eastAsia" w:ascii="Times New Roman" w:hAnsi="Times New Roman"/>
                <w:color w:val="000000" w:themeColor="text1"/>
                <w:szCs w:val="24"/>
                <w:highlight w:val="none"/>
                <w14:textFill>
                  <w14:solidFill>
                    <w14:schemeClr w14:val="tx1"/>
                  </w14:solidFill>
                </w14:textFill>
              </w:rPr>
              <w:t>：</w:t>
            </w:r>
            <w:r>
              <w:rPr>
                <w:rFonts w:ascii="Times New Roman" w:hAnsi="Times New Roman"/>
                <w:color w:val="000000" w:themeColor="text1"/>
                <w:szCs w:val="24"/>
                <w:highlight w:val="none"/>
                <w14:textFill>
                  <w14:solidFill>
                    <w14:schemeClr w14:val="tx1"/>
                  </w14:solidFill>
                </w14:textFill>
              </w:rPr>
              <w:t>推进福州主城与滨海新城一体化发展，引导中心城区空间格局从单中心向多中心、组团式、网络化转变，打造</w:t>
            </w:r>
            <w:r>
              <w:rPr>
                <w:rFonts w:hint="eastAsia" w:ascii="Times New Roman" w:hAnsi="Times New Roman"/>
                <w:color w:val="000000" w:themeColor="text1"/>
                <w:szCs w:val="24"/>
                <w:highlight w:val="none"/>
                <w14:textFill>
                  <w14:solidFill>
                    <w14:schemeClr w14:val="tx1"/>
                  </w14:solidFill>
                </w14:textFill>
              </w:rPr>
              <w:t>“</w:t>
            </w:r>
            <w:r>
              <w:rPr>
                <w:rFonts w:ascii="Times New Roman" w:hAnsi="Times New Roman"/>
                <w:color w:val="000000" w:themeColor="text1"/>
                <w:szCs w:val="24"/>
                <w:highlight w:val="none"/>
                <w14:textFill>
                  <w14:solidFill>
                    <w14:schemeClr w14:val="tx1"/>
                  </w14:solidFill>
                </w14:textFill>
              </w:rPr>
              <w:t>一环两带两轴、双核两心七组团</w:t>
            </w:r>
            <w:r>
              <w:rPr>
                <w:rFonts w:hint="eastAsia" w:ascii="Times New Roman" w:hAnsi="Times New Roman"/>
                <w:color w:val="000000" w:themeColor="text1"/>
                <w:szCs w:val="24"/>
                <w:highlight w:val="none"/>
                <w14:textFill>
                  <w14:solidFill>
                    <w14:schemeClr w14:val="tx1"/>
                  </w14:solidFill>
                </w14:textFill>
              </w:rPr>
              <w:t>”</w:t>
            </w:r>
            <w:r>
              <w:rPr>
                <w:rFonts w:ascii="Times New Roman" w:hAnsi="Times New Roman"/>
                <w:color w:val="000000" w:themeColor="text1"/>
                <w:szCs w:val="24"/>
                <w:highlight w:val="none"/>
                <w14:textFill>
                  <w14:solidFill>
                    <w14:schemeClr w14:val="tx1"/>
                  </w14:solidFill>
                </w14:textFill>
              </w:rPr>
              <w:t>的空间结构。</w:t>
            </w:r>
            <w:r>
              <w:rPr>
                <w:rFonts w:hint="eastAsia" w:ascii="Times New Roman" w:hAnsi="Times New Roman"/>
                <w:color w:val="000000" w:themeColor="text1"/>
                <w:szCs w:val="24"/>
                <w:highlight w:val="none"/>
                <w14:textFill>
                  <w14:solidFill>
                    <w14:schemeClr w14:val="tx1"/>
                  </w14:solidFill>
                </w14:textFill>
              </w:rPr>
              <w:t>“</w:t>
            </w:r>
            <w:r>
              <w:rPr>
                <w:rFonts w:ascii="Times New Roman" w:hAnsi="Times New Roman"/>
                <w:color w:val="000000" w:themeColor="text1"/>
                <w:szCs w:val="24"/>
                <w:highlight w:val="none"/>
                <w14:textFill>
                  <w14:solidFill>
                    <w14:schemeClr w14:val="tx1"/>
                  </w14:solidFill>
                </w14:textFill>
              </w:rPr>
              <w:t>一环</w:t>
            </w:r>
            <w:r>
              <w:rPr>
                <w:rFonts w:hint="eastAsia" w:ascii="Times New Roman" w:hAnsi="Times New Roman"/>
                <w:color w:val="000000" w:themeColor="text1"/>
                <w:szCs w:val="24"/>
                <w:highlight w:val="none"/>
                <w14:textFill>
                  <w14:solidFill>
                    <w14:schemeClr w14:val="tx1"/>
                  </w14:solidFill>
                </w14:textFill>
              </w:rPr>
              <w:t>”</w:t>
            </w:r>
            <w:r>
              <w:rPr>
                <w:rFonts w:ascii="Times New Roman" w:hAnsi="Times New Roman"/>
                <w:color w:val="000000" w:themeColor="text1"/>
                <w:szCs w:val="24"/>
                <w:highlight w:val="none"/>
                <w14:textFill>
                  <w14:solidFill>
                    <w14:schemeClr w14:val="tx1"/>
                  </w14:solidFill>
                </w14:textFill>
              </w:rPr>
              <w:t>为环城山体公园带，</w:t>
            </w:r>
            <w:r>
              <w:rPr>
                <w:rFonts w:hint="eastAsia" w:ascii="Times New Roman" w:hAnsi="Times New Roman"/>
                <w:color w:val="000000" w:themeColor="text1"/>
                <w:szCs w:val="24"/>
                <w:highlight w:val="none"/>
                <w14:textFill>
                  <w14:solidFill>
                    <w14:schemeClr w14:val="tx1"/>
                  </w14:solidFill>
                </w14:textFill>
              </w:rPr>
              <w:t>“</w:t>
            </w:r>
            <w:r>
              <w:rPr>
                <w:rFonts w:ascii="Times New Roman" w:hAnsi="Times New Roman"/>
                <w:color w:val="000000" w:themeColor="text1"/>
                <w:szCs w:val="24"/>
                <w:highlight w:val="none"/>
                <w14:textFill>
                  <w14:solidFill>
                    <w14:schemeClr w14:val="tx1"/>
                  </w14:solidFill>
                </w14:textFill>
              </w:rPr>
              <w:t>两带</w:t>
            </w:r>
            <w:r>
              <w:rPr>
                <w:rFonts w:hint="eastAsia" w:ascii="Times New Roman" w:hAnsi="Times New Roman"/>
                <w:color w:val="000000" w:themeColor="text1"/>
                <w:szCs w:val="24"/>
                <w:highlight w:val="none"/>
                <w14:textFill>
                  <w14:solidFill>
                    <w14:schemeClr w14:val="tx1"/>
                  </w14:solidFill>
                </w14:textFill>
              </w:rPr>
              <w:t>”</w:t>
            </w:r>
            <w:r>
              <w:rPr>
                <w:rFonts w:ascii="Times New Roman" w:hAnsi="Times New Roman"/>
                <w:color w:val="000000" w:themeColor="text1"/>
                <w:szCs w:val="24"/>
                <w:highlight w:val="none"/>
                <w14:textFill>
                  <w14:solidFill>
                    <w14:schemeClr w14:val="tx1"/>
                  </w14:solidFill>
                </w14:textFill>
              </w:rPr>
              <w:t>为闽江城市活力景观带、乌龙江生态景观带，</w:t>
            </w:r>
            <w:r>
              <w:rPr>
                <w:rFonts w:hint="eastAsia" w:ascii="Times New Roman" w:hAnsi="Times New Roman"/>
                <w:color w:val="000000" w:themeColor="text1"/>
                <w:szCs w:val="24"/>
                <w:highlight w:val="none"/>
                <w14:textFill>
                  <w14:solidFill>
                    <w14:schemeClr w14:val="tx1"/>
                  </w14:solidFill>
                </w14:textFill>
              </w:rPr>
              <w:t>“</w:t>
            </w:r>
            <w:r>
              <w:rPr>
                <w:rFonts w:ascii="Times New Roman" w:hAnsi="Times New Roman"/>
                <w:color w:val="000000" w:themeColor="text1"/>
                <w:szCs w:val="24"/>
                <w:highlight w:val="none"/>
                <w14:textFill>
                  <w14:solidFill>
                    <w14:schemeClr w14:val="tx1"/>
                  </w14:solidFill>
                </w14:textFill>
              </w:rPr>
              <w:t>两轴</w:t>
            </w:r>
            <w:r>
              <w:rPr>
                <w:rFonts w:hint="eastAsia" w:ascii="Times New Roman" w:hAnsi="Times New Roman"/>
                <w:color w:val="000000" w:themeColor="text1"/>
                <w:szCs w:val="24"/>
                <w:highlight w:val="none"/>
                <w14:textFill>
                  <w14:solidFill>
                    <w14:schemeClr w14:val="tx1"/>
                  </w14:solidFill>
                </w14:textFill>
              </w:rPr>
              <w:t>”</w:t>
            </w:r>
            <w:r>
              <w:rPr>
                <w:rFonts w:ascii="Times New Roman" w:hAnsi="Times New Roman"/>
                <w:color w:val="000000" w:themeColor="text1"/>
                <w:szCs w:val="24"/>
                <w:highlight w:val="none"/>
                <w14:textFill>
                  <w14:solidFill>
                    <w14:schemeClr w14:val="tx1"/>
                  </w14:solidFill>
                </w14:textFill>
              </w:rPr>
              <w:t>为传统城市发展轴、新兴东进发展轴</w:t>
            </w:r>
            <w:r>
              <w:rPr>
                <w:rFonts w:hint="eastAsia" w:ascii="Times New Roman" w:hAnsi="Times New Roman"/>
                <w:color w:val="000000" w:themeColor="text1"/>
                <w:szCs w:val="24"/>
                <w:highlight w:val="none"/>
                <w14:textFill>
                  <w14:solidFill>
                    <w14:schemeClr w14:val="tx1"/>
                  </w14:solidFill>
                </w14:textFill>
              </w:rPr>
              <w:t>；“</w:t>
            </w:r>
            <w:r>
              <w:rPr>
                <w:rFonts w:ascii="Times New Roman" w:hAnsi="Times New Roman"/>
                <w:color w:val="000000" w:themeColor="text1"/>
                <w:szCs w:val="24"/>
                <w:highlight w:val="none"/>
                <w14:textFill>
                  <w14:solidFill>
                    <w14:schemeClr w14:val="tx1"/>
                  </w14:solidFill>
                </w14:textFill>
              </w:rPr>
              <w:t>双核</w:t>
            </w:r>
            <w:r>
              <w:rPr>
                <w:rFonts w:hint="eastAsia" w:ascii="Times New Roman" w:hAnsi="Times New Roman"/>
                <w:color w:val="000000" w:themeColor="text1"/>
                <w:szCs w:val="24"/>
                <w:highlight w:val="none"/>
                <w14:textFill>
                  <w14:solidFill>
                    <w14:schemeClr w14:val="tx1"/>
                  </w14:solidFill>
                </w14:textFill>
              </w:rPr>
              <w:t>”</w:t>
            </w:r>
            <w:r>
              <w:rPr>
                <w:rFonts w:ascii="Times New Roman" w:hAnsi="Times New Roman"/>
                <w:color w:val="000000" w:themeColor="text1"/>
                <w:szCs w:val="24"/>
                <w:highlight w:val="none"/>
                <w14:textFill>
                  <w14:solidFill>
                    <w14:schemeClr w14:val="tx1"/>
                  </w14:solidFill>
                </w14:textFill>
              </w:rPr>
              <w:t>为福州主城核心区、滨海新城核心区，</w:t>
            </w:r>
            <w:r>
              <w:rPr>
                <w:rFonts w:hint="eastAsia" w:ascii="Times New Roman" w:hAnsi="Times New Roman"/>
                <w:color w:val="000000" w:themeColor="text1"/>
                <w:szCs w:val="24"/>
                <w:highlight w:val="none"/>
                <w14:textFill>
                  <w14:solidFill>
                    <w14:schemeClr w14:val="tx1"/>
                  </w14:solidFill>
                </w14:textFill>
              </w:rPr>
              <w:t>“</w:t>
            </w:r>
            <w:r>
              <w:rPr>
                <w:rFonts w:ascii="Times New Roman" w:hAnsi="Times New Roman"/>
                <w:color w:val="000000" w:themeColor="text1"/>
                <w:szCs w:val="24"/>
                <w:highlight w:val="none"/>
                <w14:textFill>
                  <w14:solidFill>
                    <w14:schemeClr w14:val="tx1"/>
                  </w14:solidFill>
                </w14:textFill>
              </w:rPr>
              <w:t>两心</w:t>
            </w:r>
            <w:r>
              <w:rPr>
                <w:rFonts w:hint="eastAsia" w:ascii="Times New Roman" w:hAnsi="Times New Roman"/>
                <w:color w:val="000000" w:themeColor="text1"/>
                <w:szCs w:val="24"/>
                <w:highlight w:val="none"/>
                <w14:textFill>
                  <w14:solidFill>
                    <w14:schemeClr w14:val="tx1"/>
                  </w14:solidFill>
                </w14:textFill>
              </w:rPr>
              <w:t>”</w:t>
            </w:r>
            <w:r>
              <w:rPr>
                <w:rFonts w:ascii="Times New Roman" w:hAnsi="Times New Roman"/>
                <w:color w:val="000000" w:themeColor="text1"/>
                <w:szCs w:val="24"/>
                <w:highlight w:val="none"/>
                <w14:textFill>
                  <w14:solidFill>
                    <w14:schemeClr w14:val="tx1"/>
                  </w14:solidFill>
                </w14:textFill>
              </w:rPr>
              <w:t>为三江口副中心、</w:t>
            </w:r>
            <w:r>
              <w:rPr>
                <w:rFonts w:ascii="Times New Roman" w:hAnsi="Times New Roman"/>
                <w:color w:val="000000" w:themeColor="text1"/>
                <w:szCs w:val="24"/>
                <w:highlight w:val="none"/>
                <w:u w:val="single"/>
                <w14:textFill>
                  <w14:solidFill>
                    <w14:schemeClr w14:val="tx1"/>
                  </w14:solidFill>
                </w14:textFill>
              </w:rPr>
              <w:t>科学城副中心</w:t>
            </w:r>
            <w:r>
              <w:rPr>
                <w:rFonts w:ascii="Times New Roman" w:hAnsi="Times New Roman"/>
                <w:color w:val="000000" w:themeColor="text1"/>
                <w:szCs w:val="24"/>
                <w:highlight w:val="none"/>
                <w14:textFill>
                  <w14:solidFill>
                    <w14:schemeClr w14:val="tx1"/>
                  </w14:solidFill>
                </w14:textFill>
              </w:rPr>
              <w:t>，</w:t>
            </w:r>
            <w:r>
              <w:rPr>
                <w:rFonts w:hint="eastAsia" w:ascii="Times New Roman" w:hAnsi="Times New Roman"/>
                <w:color w:val="000000" w:themeColor="text1"/>
                <w:szCs w:val="24"/>
                <w:highlight w:val="none"/>
                <w14:textFill>
                  <w14:solidFill>
                    <w14:schemeClr w14:val="tx1"/>
                  </w14:solidFill>
                </w14:textFill>
              </w:rPr>
              <w:t>“</w:t>
            </w:r>
            <w:r>
              <w:rPr>
                <w:rFonts w:ascii="Times New Roman" w:hAnsi="Times New Roman"/>
                <w:color w:val="000000" w:themeColor="text1"/>
                <w:szCs w:val="24"/>
                <w:highlight w:val="none"/>
                <w14:textFill>
                  <w14:solidFill>
                    <w14:schemeClr w14:val="tx1"/>
                  </w14:solidFill>
                </w14:textFill>
              </w:rPr>
              <w:t>七组团</w:t>
            </w:r>
            <w:r>
              <w:rPr>
                <w:rFonts w:hint="eastAsia" w:ascii="Times New Roman" w:hAnsi="Times New Roman"/>
                <w:color w:val="000000" w:themeColor="text1"/>
                <w:szCs w:val="24"/>
                <w:highlight w:val="none"/>
                <w14:textFill>
                  <w14:solidFill>
                    <w14:schemeClr w14:val="tx1"/>
                  </w14:solidFill>
                </w14:textFill>
              </w:rPr>
              <w:t>”</w:t>
            </w:r>
            <w:r>
              <w:rPr>
                <w:rFonts w:ascii="Times New Roman" w:hAnsi="Times New Roman"/>
                <w:color w:val="000000" w:themeColor="text1"/>
                <w:szCs w:val="24"/>
                <w:highlight w:val="none"/>
                <w14:textFill>
                  <w14:solidFill>
                    <w14:schemeClr w14:val="tx1"/>
                  </w14:solidFill>
                </w14:textFill>
              </w:rPr>
              <w:t>为福州主城外围的荆溪组团、旗山山前组团、</w:t>
            </w:r>
            <w:r>
              <w:rPr>
                <w:rFonts w:ascii="Times New Roman" w:hAnsi="Times New Roman"/>
                <w:color w:val="000000" w:themeColor="text1"/>
                <w:szCs w:val="24"/>
                <w:highlight w:val="none"/>
                <w:u w:val="none"/>
                <w14:textFill>
                  <w14:solidFill>
                    <w14:schemeClr w14:val="tx1"/>
                  </w14:solidFill>
                </w14:textFill>
              </w:rPr>
              <w:t>青口组团</w:t>
            </w:r>
            <w:r>
              <w:rPr>
                <w:rFonts w:ascii="Times New Roman" w:hAnsi="Times New Roman"/>
                <w:color w:val="000000" w:themeColor="text1"/>
                <w:szCs w:val="24"/>
                <w:highlight w:val="none"/>
                <w14:textFill>
                  <w14:solidFill>
                    <w14:schemeClr w14:val="tx1"/>
                  </w14:solidFill>
                </w14:textFill>
              </w:rPr>
              <w:t>、吴航组团、闽江口组团、航空城组团和松下港城组团</w:t>
            </w:r>
            <w:r>
              <w:rPr>
                <w:rFonts w:hint="eastAsia" w:ascii="Times New Roman" w:hAnsi="Times New Roman"/>
                <w:color w:val="000000" w:themeColor="text1"/>
                <w:szCs w:val="24"/>
                <w:highlight w:val="none"/>
                <w14:textFill>
                  <w14:solidFill>
                    <w14:schemeClr w14:val="tx1"/>
                  </w14:solidFill>
                </w14:textFill>
              </w:rPr>
              <w:t>。科学城副中心，依托福州大学城、高新区海西园、旗山湖三创园和各类创新平台，激发高校和科研院所创新活力，推动建设中国东南(福建)科学城，打造创新发展的强劲引擎。</w:t>
            </w:r>
          </w:p>
          <w:p w14:paraId="61BFE662">
            <w:pPr>
              <w:pStyle w:val="97"/>
              <w:ind w:firstLine="480"/>
              <w:rPr>
                <w:rFonts w:hint="default" w:ascii="Times New Roman" w:hAnsi="Times New Roman"/>
                <w:color w:val="000000" w:themeColor="text1"/>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《闽侯县国土空间总体规划（2021-2035年）》</w:t>
            </w:r>
            <w:r>
              <w:rPr>
                <w:rFonts w:hint="eastAsia" w:ascii="Times New Roman" w:hAnsi="Times New Roman"/>
                <w:color w:val="000000" w:themeColor="text1"/>
                <w:szCs w:val="24"/>
                <w:highlight w:val="none"/>
                <w:lang w:val="en-US" w:eastAsia="zh-CN"/>
                <w14:textFill>
                  <w14:solidFill>
                    <w14:schemeClr w14:val="tx1"/>
                  </w14:solidFill>
                </w14:textFill>
              </w:rPr>
              <w:t>相关</w:t>
            </w:r>
            <w:r>
              <w:rPr>
                <w:rFonts w:ascii="Times New Roman" w:hAnsi="Times New Roman"/>
                <w:color w:val="000000" w:themeColor="text1"/>
                <w:szCs w:val="24"/>
                <w:highlight w:val="none"/>
                <w14:textFill>
                  <w14:solidFill>
                    <w14:schemeClr w14:val="tx1"/>
                  </w14:solidFill>
                </w14:textFill>
              </w:rPr>
              <w:t>内容</w:t>
            </w:r>
            <w:r>
              <w:rPr>
                <w:rFonts w:hint="eastAsia" w:ascii="Times New Roman" w:hAnsi="Times New Roman"/>
                <w:color w:val="000000" w:themeColor="text1"/>
                <w:szCs w:val="24"/>
                <w:highlight w:val="none"/>
                <w14:textFill>
                  <w14:solidFill>
                    <w14:schemeClr w14:val="tx1"/>
                  </w14:solidFill>
                </w14:textFill>
              </w:rPr>
              <w:t>：顺应福州“东进南下、沿江向海”城市发展方向，拉开城市发展框架，引导城市“多中心、组团式、网络化”发展，构建“一轴、两心、四区、多点”的中心城区空间结构</w:t>
            </w:r>
            <w:r>
              <w:rPr>
                <w:rFonts w:hint="eastAsia" w:ascii="Times New Roman" w:hAnsi="Times New Roman"/>
                <w:color w:val="000000" w:themeColor="text1"/>
                <w:szCs w:val="24"/>
                <w:highlight w:val="none"/>
                <w:lang w:eastAsia="zh-CN"/>
                <w14:textFill>
                  <w14:solidFill>
                    <w14:schemeClr w14:val="tx1"/>
                  </w14:solidFill>
                </w14:textFill>
              </w:rPr>
              <w:t>。</w:t>
            </w:r>
            <w:r>
              <w:rPr>
                <w:rFonts w:hint="eastAsia" w:ascii="Times New Roman" w:hAnsi="Times New Roman"/>
                <w:color w:val="000000" w:themeColor="text1"/>
                <w:szCs w:val="24"/>
                <w:highlight w:val="none"/>
                <w:lang w:val="en-US" w:eastAsia="zh-CN"/>
                <w14:textFill>
                  <w14:solidFill>
                    <w14:schemeClr w14:val="tx1"/>
                  </w14:solidFill>
                </w14:textFill>
              </w:rPr>
              <w:t>四区包括雪峰山城、荆甘竹新城、</w:t>
            </w:r>
            <w:r>
              <w:rPr>
                <w:rFonts w:hint="eastAsia" w:ascii="Times New Roman" w:hAnsi="Times New Roman"/>
                <w:color w:val="000000" w:themeColor="text1"/>
                <w:szCs w:val="24"/>
                <w:highlight w:val="none"/>
                <w:u w:val="single"/>
                <w:lang w:val="en-US" w:eastAsia="zh-CN"/>
                <w14:textFill>
                  <w14:solidFill>
                    <w14:schemeClr w14:val="tx1"/>
                  </w14:solidFill>
                </w14:textFill>
              </w:rPr>
              <w:t>东南科学城</w:t>
            </w:r>
            <w:r>
              <w:rPr>
                <w:rFonts w:hint="eastAsia" w:ascii="Times New Roman" w:hAnsi="Times New Roman"/>
                <w:color w:val="000000" w:themeColor="text1"/>
                <w:szCs w:val="24"/>
                <w:highlight w:val="none"/>
                <w:lang w:val="en-US" w:eastAsia="zh-CN"/>
                <w14:textFill>
                  <w14:solidFill>
                    <w14:schemeClr w14:val="tx1"/>
                  </w14:solidFill>
                </w14:textFill>
              </w:rPr>
              <w:t>、南通新城、东南汽车城。东南科学城重点发展生物医药、光电制造等战略性新兴产业，打造全省科技创新策源地。</w:t>
            </w:r>
          </w:p>
          <w:p w14:paraId="6DD0F78F">
            <w:pPr>
              <w:pStyle w:val="97"/>
              <w:ind w:firstLine="480"/>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本项目位于</w:t>
            </w:r>
            <w:r>
              <w:rPr>
                <w:rFonts w:hint="eastAsia" w:ascii="Times New Roman" w:hAnsi="Times New Roman" w:cs="Times New Roman"/>
                <w:color w:val="000000" w:themeColor="text1"/>
                <w:szCs w:val="24"/>
                <w:highlight w:val="none"/>
                <w:lang w:val="en-US" w:eastAsia="zh-CN"/>
                <w14:textFill>
                  <w14:solidFill>
                    <w14:schemeClr w14:val="tx1"/>
                  </w14:solidFill>
                </w14:textFill>
              </w:rPr>
              <w:t>国土</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空间规划中的东南科学城</w:t>
            </w:r>
            <w:r>
              <w:rPr>
                <w:rFonts w:hint="eastAsia" w:ascii="Times New Roman" w:hAnsi="Times New Roman" w:cs="Times New Roman"/>
                <w:color w:val="000000" w:themeColor="text1"/>
                <w:szCs w:val="24"/>
                <w:highlight w:val="none"/>
                <w:lang w:val="en-US" w:eastAsia="zh-CN"/>
                <w14:textFill>
                  <w14:solidFill>
                    <w14:schemeClr w14:val="tx1"/>
                  </w14:solidFill>
                </w14:textFill>
              </w:rPr>
              <w:t>-生物机电园-机电产业园</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w:t>
            </w:r>
            <w:r>
              <w:rPr>
                <w:rFonts w:hint="eastAsia" w:ascii="Times New Roman" w:hAnsi="Times New Roman" w:cs="Times New Roman"/>
                <w:color w:val="000000" w:themeColor="text1"/>
                <w:szCs w:val="24"/>
                <w:highlight w:val="none"/>
                <w:lang w:val="en-US" w:eastAsia="zh-CN"/>
                <w14:textFill>
                  <w14:solidFill>
                    <w14:schemeClr w14:val="tx1"/>
                  </w14:solidFill>
                </w14:textFill>
              </w:rPr>
              <w:t>本</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项目主要从事光学元器件生产</w:t>
            </w:r>
            <w:r>
              <w:rPr>
                <w:rFonts w:hint="eastAsia" w:ascii="Times New Roman" w:hAnsi="Times New Roman" w:cs="Times New Roman"/>
                <w:color w:val="000000" w:themeColor="text1"/>
                <w:szCs w:val="24"/>
                <w:highlight w:val="none"/>
                <w:lang w:val="en-US" w:eastAsia="zh-CN"/>
                <w14:textFill>
                  <w14:solidFill>
                    <w14:schemeClr w14:val="tx1"/>
                  </w14:solidFill>
                </w14:textFill>
              </w:rPr>
              <w:t>，与园区规划的产业类别相符</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1"/>
                <w:highlight w:val="none"/>
                <w:lang w:val="en-US" w:eastAsia="zh-CN"/>
                <w14:textFill>
                  <w14:solidFill>
                    <w14:schemeClr w14:val="tx1"/>
                  </w14:solidFill>
                </w14:textFill>
              </w:rPr>
              <w:t>经</w:t>
            </w:r>
            <w:r>
              <w:rPr>
                <w:rFonts w:hint="default" w:ascii="Times New Roman" w:hAnsi="Times New Roman" w:cs="Times New Roman"/>
                <w:color w:val="000000" w:themeColor="text1"/>
                <w:sz w:val="24"/>
                <w:szCs w:val="21"/>
                <w:highlight w:val="none"/>
                <w14:textFill>
                  <w14:solidFill>
                    <w14:schemeClr w14:val="tx1"/>
                  </w14:solidFill>
                </w14:textFill>
              </w:rPr>
              <w:t>对照国土空间规划中的“三区三线”</w:t>
            </w:r>
            <w:r>
              <w:rPr>
                <w:rFonts w:hint="eastAsia" w:ascii="Times New Roman" w:hAnsi="Times New Roman" w:cs="Times New Roman"/>
                <w:color w:val="000000" w:themeColor="text1"/>
                <w:sz w:val="24"/>
                <w:szCs w:val="21"/>
                <w:highlight w:val="none"/>
                <w:lang w:eastAsia="zh-CN"/>
                <w14:textFill>
                  <w14:solidFill>
                    <w14:schemeClr w14:val="tx1"/>
                  </w14:solidFill>
                </w14:textFill>
              </w:rPr>
              <w:t>（</w:t>
            </w:r>
            <w:r>
              <w:rPr>
                <w:rFonts w:hint="eastAsia" w:ascii="Times New Roman" w:hAnsi="Times New Roman" w:cs="Times New Roman"/>
                <w:color w:val="000000" w:themeColor="text1"/>
                <w:sz w:val="24"/>
                <w:szCs w:val="21"/>
                <w:highlight w:val="none"/>
                <w:lang w:val="en-US" w:eastAsia="zh-CN"/>
                <w14:textFill>
                  <w14:solidFill>
                    <w14:schemeClr w14:val="tx1"/>
                  </w14:solidFill>
                </w14:textFill>
              </w:rPr>
              <w:t>位置关系详见附图3</w:t>
            </w:r>
            <w:r>
              <w:rPr>
                <w:rFonts w:hint="eastAsia" w:ascii="Times New Roman" w:hAnsi="Times New Roman" w:cs="Times New Roman"/>
                <w:color w:val="000000" w:themeColor="text1"/>
                <w:sz w:val="24"/>
                <w:szCs w:val="21"/>
                <w:highlight w:val="none"/>
                <w:lang w:eastAsia="zh-CN"/>
                <w14:textFill>
                  <w14:solidFill>
                    <w14:schemeClr w14:val="tx1"/>
                  </w14:solidFill>
                </w14:textFill>
              </w:rPr>
              <w:t>）</w:t>
            </w:r>
            <w:r>
              <w:rPr>
                <w:rFonts w:hint="default" w:ascii="Times New Roman" w:hAnsi="Times New Roman" w:cs="Times New Roman"/>
                <w:color w:val="000000" w:themeColor="text1"/>
                <w:sz w:val="24"/>
                <w:szCs w:val="21"/>
                <w:highlight w:val="none"/>
                <w14:textFill>
                  <w14:solidFill>
                    <w14:schemeClr w14:val="tx1"/>
                  </w14:solidFill>
                </w14:textFill>
              </w:rPr>
              <w:t>，本项目用地不占用永久基本农田、生态保护红线</w:t>
            </w:r>
            <w:r>
              <w:rPr>
                <w:rFonts w:hint="default" w:ascii="Times New Roman" w:hAnsi="Times New Roman" w:cs="Times New Roman"/>
                <w:color w:val="000000" w:themeColor="text1"/>
                <w:sz w:val="24"/>
                <w:szCs w:val="21"/>
                <w:highlight w:val="none"/>
                <w:lang w:eastAsia="zh-CN"/>
                <w14:textFill>
                  <w14:solidFill>
                    <w14:schemeClr w14:val="tx1"/>
                  </w14:solidFill>
                </w14:textFill>
              </w:rPr>
              <w:t>，</w:t>
            </w:r>
            <w:r>
              <w:rPr>
                <w:rFonts w:hint="default" w:ascii="Times New Roman" w:hAnsi="Times New Roman" w:cs="Times New Roman"/>
                <w:color w:val="000000" w:themeColor="text1"/>
                <w:sz w:val="24"/>
                <w:szCs w:val="21"/>
                <w:highlight w:val="none"/>
                <w:lang w:val="en-US" w:eastAsia="zh-CN"/>
                <w14:textFill>
                  <w14:solidFill>
                    <w14:schemeClr w14:val="tx1"/>
                  </w14:solidFill>
                </w14:textFill>
              </w:rPr>
              <w:t>位于</w:t>
            </w:r>
            <w:r>
              <w:rPr>
                <w:rFonts w:hint="default" w:ascii="Times New Roman" w:hAnsi="Times New Roman" w:cs="Times New Roman"/>
                <w:color w:val="000000" w:themeColor="text1"/>
                <w:sz w:val="24"/>
                <w:szCs w:val="21"/>
                <w:highlight w:val="none"/>
                <w14:textFill>
                  <w14:solidFill>
                    <w14:schemeClr w14:val="tx1"/>
                  </w14:solidFill>
                </w14:textFill>
              </w:rPr>
              <w:t>城镇开发边界</w:t>
            </w:r>
            <w:r>
              <w:rPr>
                <w:rFonts w:hint="default" w:ascii="Times New Roman" w:hAnsi="Times New Roman" w:cs="Times New Roman"/>
                <w:color w:val="000000" w:themeColor="text1"/>
                <w:sz w:val="24"/>
                <w:szCs w:val="21"/>
                <w:highlight w:val="none"/>
                <w:lang w:val="en-US" w:eastAsia="zh-CN"/>
                <w14:textFill>
                  <w14:solidFill>
                    <w14:schemeClr w14:val="tx1"/>
                  </w14:solidFill>
                </w14:textFill>
              </w:rPr>
              <w:t>范围内</w:t>
            </w:r>
            <w:r>
              <w:rPr>
                <w:rFonts w:hint="default" w:ascii="Times New Roman" w:hAnsi="Times New Roman" w:cs="Times New Roman"/>
                <w:color w:val="000000" w:themeColor="text1"/>
                <w:sz w:val="24"/>
                <w:szCs w:val="21"/>
                <w:highlight w:val="none"/>
                <w:lang w:eastAsia="zh-CN"/>
                <w14:textFill>
                  <w14:solidFill>
                    <w14:schemeClr w14:val="tx1"/>
                  </w14:solidFill>
                </w14:textFill>
              </w:rPr>
              <w:t>。</w:t>
            </w:r>
            <w:r>
              <w:rPr>
                <w:rFonts w:hint="default" w:ascii="Times New Roman" w:hAnsi="Times New Roman" w:cs="Times New Roman"/>
                <w:color w:val="000000" w:themeColor="text1"/>
                <w:sz w:val="24"/>
                <w:szCs w:val="21"/>
                <w:highlight w:val="none"/>
                <w14:textFill>
                  <w14:solidFill>
                    <w14:schemeClr w14:val="tx1"/>
                  </w14:solidFill>
                </w14:textFill>
              </w:rPr>
              <w:t>综上，本项目建设</w:t>
            </w:r>
            <w:r>
              <w:rPr>
                <w:rFonts w:hint="eastAsia" w:ascii="Times New Roman" w:hAnsi="Times New Roman" w:cs="Times New Roman"/>
                <w:color w:val="000000" w:themeColor="text1"/>
                <w:sz w:val="24"/>
                <w:szCs w:val="21"/>
                <w:highlight w:val="none"/>
                <w:lang w:val="en-US" w:eastAsia="zh-CN"/>
                <w14:textFill>
                  <w14:solidFill>
                    <w14:schemeClr w14:val="tx1"/>
                  </w14:solidFill>
                </w14:textFill>
              </w:rPr>
              <w:t>符合</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《福州市国土空间总体规划（2021-2035年）</w:t>
            </w:r>
            <w:r>
              <w:rPr>
                <w:rFonts w:hint="eastAsia" w:ascii="Times New Roman" w:hAnsi="Times New Roman" w:cs="Times New Roman"/>
                <w:color w:val="000000" w:themeColor="text1"/>
                <w:szCs w:val="24"/>
                <w:highlight w:val="none"/>
                <w:lang w:val="en-US" w:eastAsia="zh-CN"/>
                <w14:textFill>
                  <w14:solidFill>
                    <w14:schemeClr w14:val="tx1"/>
                  </w14:solidFill>
                </w14:textFill>
              </w:rPr>
              <w:t>》和</w:t>
            </w:r>
            <w:r>
              <w:rPr>
                <w:rFonts w:hint="default" w:ascii="Times New Roman" w:hAnsi="Times New Roman" w:cs="Times New Roman"/>
                <w:color w:val="000000" w:themeColor="text1"/>
                <w:sz w:val="24"/>
                <w:szCs w:val="21"/>
                <w:highlight w:val="none"/>
                <w14:textFill>
                  <w14:solidFill>
                    <w14:schemeClr w14:val="tx1"/>
                  </w14:solidFill>
                </w14:textFill>
              </w:rPr>
              <w:t>《</w:t>
            </w:r>
            <w:r>
              <w:rPr>
                <w:rFonts w:hint="default" w:ascii="Times New Roman" w:hAnsi="Times New Roman" w:cs="Times New Roman"/>
                <w:color w:val="000000" w:themeColor="text1"/>
                <w:sz w:val="24"/>
                <w:szCs w:val="21"/>
                <w:highlight w:val="none"/>
                <w:lang w:eastAsia="zh-CN"/>
                <w14:textFill>
                  <w14:solidFill>
                    <w14:schemeClr w14:val="tx1"/>
                  </w14:solidFill>
                </w14:textFill>
              </w:rPr>
              <w:t>闽侯县</w:t>
            </w:r>
            <w:r>
              <w:rPr>
                <w:rFonts w:hint="default" w:ascii="Times New Roman" w:hAnsi="Times New Roman" w:cs="Times New Roman"/>
                <w:color w:val="000000" w:themeColor="text1"/>
                <w:sz w:val="24"/>
                <w:szCs w:val="21"/>
                <w:highlight w:val="none"/>
                <w14:textFill>
                  <w14:solidFill>
                    <w14:schemeClr w14:val="tx1"/>
                  </w14:solidFill>
                </w14:textFill>
              </w:rPr>
              <w:t>国土空间总体规划（2021-2035年）》</w:t>
            </w:r>
            <w:r>
              <w:rPr>
                <w:rFonts w:hint="eastAsia" w:ascii="Times New Roman" w:hAnsi="Times New Roman" w:cs="Times New Roman"/>
                <w:color w:val="000000" w:themeColor="text1"/>
                <w:sz w:val="24"/>
                <w:szCs w:val="21"/>
                <w:highlight w:val="none"/>
                <w:lang w:val="en-US" w:eastAsia="zh-CN"/>
                <w14:textFill>
                  <w14:solidFill>
                    <w14:schemeClr w14:val="tx1"/>
                  </w14:solidFill>
                </w14:textFill>
              </w:rPr>
              <w:t>的要求</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w:t>
            </w:r>
          </w:p>
          <w:p w14:paraId="2C6EA862">
            <w:pPr>
              <w:autoSpaceDE w:val="0"/>
              <w:autoSpaceDN w:val="0"/>
              <w:adjustRightInd w:val="0"/>
              <w:spacing w:line="360" w:lineRule="auto"/>
              <w:jc w:val="left"/>
              <w:rPr>
                <w:rFonts w:hint="default" w:ascii="Times New Roman" w:hAnsi="Times New Roman" w:eastAsia="宋体" w:cs="Times New Roman"/>
                <w:b/>
                <w:bCs/>
                <w:color w:val="000000" w:themeColor="text1"/>
                <w:kern w:val="0"/>
                <w:sz w:val="24"/>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kern w:val="0"/>
                <w:sz w:val="24"/>
                <w:szCs w:val="21"/>
                <w:highlight w:val="none"/>
                <w14:textFill>
                  <w14:solidFill>
                    <w14:schemeClr w14:val="tx1"/>
                  </w14:solidFill>
                </w14:textFill>
              </w:rPr>
              <w:t>1.1.</w:t>
            </w:r>
            <w:r>
              <w:rPr>
                <w:rFonts w:hint="eastAsia" w:cs="Times New Roman"/>
                <w:b/>
                <w:bCs/>
                <w:color w:val="000000" w:themeColor="text1"/>
                <w:kern w:val="0"/>
                <w:sz w:val="24"/>
                <w:szCs w:val="21"/>
                <w:highlight w:val="none"/>
                <w:lang w:val="en-US" w:eastAsia="zh-CN"/>
                <w14:textFill>
                  <w14:solidFill>
                    <w14:schemeClr w14:val="tx1"/>
                  </w14:solidFill>
                </w14:textFill>
              </w:rPr>
              <w:t>2</w:t>
            </w:r>
            <w:r>
              <w:rPr>
                <w:rFonts w:hint="default" w:ascii="Times New Roman" w:hAnsi="Times New Roman" w:cs="Times New Roman"/>
                <w:b/>
                <w:bCs/>
                <w:color w:val="000000" w:themeColor="text1"/>
                <w:kern w:val="0"/>
                <w:sz w:val="24"/>
                <w:szCs w:val="21"/>
                <w:highlight w:val="none"/>
                <w14:textFill>
                  <w14:solidFill>
                    <w14:schemeClr w14:val="tx1"/>
                  </w14:solidFill>
                </w14:textFill>
              </w:rPr>
              <w:t xml:space="preserve"> 与福州市生物医药和机电产业园规划</w:t>
            </w:r>
            <w:r>
              <w:rPr>
                <w:rFonts w:hint="eastAsia" w:cs="Times New Roman"/>
                <w:b/>
                <w:bCs/>
                <w:color w:val="000000" w:themeColor="text1"/>
                <w:kern w:val="0"/>
                <w:sz w:val="24"/>
                <w:szCs w:val="21"/>
                <w:highlight w:val="none"/>
                <w:lang w:val="en-US" w:eastAsia="zh-CN"/>
                <w14:textFill>
                  <w14:solidFill>
                    <w14:schemeClr w14:val="tx1"/>
                  </w14:solidFill>
                </w14:textFill>
              </w:rPr>
              <w:t>的符合性分析</w:t>
            </w:r>
          </w:p>
          <w:p w14:paraId="7B56D9D6">
            <w:pPr>
              <w:autoSpaceDE w:val="0"/>
              <w:autoSpaceDN w:val="0"/>
              <w:adjustRightInd w:val="0"/>
              <w:spacing w:line="360" w:lineRule="auto"/>
              <w:ind w:firstLine="480" w:firstLineChars="200"/>
              <w:jc w:val="both"/>
              <w:rPr>
                <w:rFonts w:hint="default" w:ascii="Times New Roman" w:hAnsi="Times New Roman" w:eastAsia="宋体" w:cs="Times New Roman"/>
                <w:color w:val="000000" w:themeColor="text1"/>
                <w:kern w:val="0"/>
                <w:sz w:val="24"/>
                <w:szCs w:val="21"/>
                <w:highlight w:val="none"/>
                <w:lang w:val="en-US" w:eastAsia="zh-CN"/>
                <w14:textFill>
                  <w14:solidFill>
                    <w14:schemeClr w14:val="tx1"/>
                  </w14:solidFill>
                </w14:textFill>
              </w:rPr>
            </w:pPr>
            <w:r>
              <w:rPr>
                <w:rFonts w:hint="eastAsia" w:cs="Times New Roman"/>
                <w:color w:val="000000" w:themeColor="text1"/>
                <w:kern w:val="0"/>
                <w:sz w:val="24"/>
                <w:szCs w:val="21"/>
                <w:highlight w:val="none"/>
                <w:lang w:eastAsia="zh-CN"/>
                <w14:textFill>
                  <w14:solidFill>
                    <w14:schemeClr w14:val="tx1"/>
                  </w14:solidFill>
                </w14:textFill>
              </w:rPr>
              <w:t>（</w:t>
            </w:r>
            <w:r>
              <w:rPr>
                <w:rFonts w:hint="eastAsia" w:cs="Times New Roman"/>
                <w:color w:val="000000" w:themeColor="text1"/>
                <w:kern w:val="0"/>
                <w:sz w:val="24"/>
                <w:szCs w:val="21"/>
                <w:highlight w:val="none"/>
                <w:lang w:val="en-US" w:eastAsia="zh-CN"/>
                <w14:textFill>
                  <w14:solidFill>
                    <w14:schemeClr w14:val="tx1"/>
                  </w14:solidFill>
                </w14:textFill>
              </w:rPr>
              <w:t>一</w:t>
            </w:r>
            <w:r>
              <w:rPr>
                <w:rFonts w:hint="eastAsia" w:cs="Times New Roman"/>
                <w:color w:val="000000" w:themeColor="text1"/>
                <w:kern w:val="0"/>
                <w:sz w:val="24"/>
                <w:szCs w:val="21"/>
                <w:highlight w:val="none"/>
                <w:lang w:eastAsia="zh-CN"/>
                <w14:textFill>
                  <w14:solidFill>
                    <w14:schemeClr w14:val="tx1"/>
                  </w14:solidFill>
                </w14:textFill>
              </w:rPr>
              <w:t>）</w:t>
            </w:r>
            <w:r>
              <w:rPr>
                <w:rFonts w:hint="eastAsia" w:cs="Times New Roman"/>
                <w:color w:val="000000" w:themeColor="text1"/>
                <w:kern w:val="0"/>
                <w:sz w:val="24"/>
                <w:szCs w:val="21"/>
                <w:highlight w:val="none"/>
                <w:lang w:val="en-US" w:eastAsia="zh-CN"/>
                <w14:textFill>
                  <w14:solidFill>
                    <w14:schemeClr w14:val="tx1"/>
                  </w14:solidFill>
                </w14:textFill>
              </w:rPr>
              <w:t>规划概况</w:t>
            </w:r>
          </w:p>
          <w:p w14:paraId="6776C585">
            <w:pPr>
              <w:autoSpaceDE w:val="0"/>
              <w:autoSpaceDN w:val="0"/>
              <w:adjustRightInd w:val="0"/>
              <w:spacing w:line="360" w:lineRule="auto"/>
              <w:ind w:firstLine="480" w:firstLineChars="200"/>
              <w:jc w:val="both"/>
              <w:rPr>
                <w:rFonts w:hint="default" w:ascii="Times New Roman" w:hAnsi="Times New Roman" w:eastAsia="宋体" w:cs="Times New Roman"/>
                <w:color w:val="000000" w:themeColor="text1"/>
                <w:kern w:val="0"/>
                <w:sz w:val="24"/>
                <w:szCs w:val="21"/>
                <w:highlight w:val="none"/>
                <w14:textFill>
                  <w14:solidFill>
                    <w14:schemeClr w14:val="tx1"/>
                  </w14:solidFill>
                </w14:textFill>
              </w:rPr>
            </w:pPr>
            <w:r>
              <w:rPr>
                <w:rFonts w:hint="eastAsia" w:cs="Times New Roman"/>
                <w:color w:val="000000" w:themeColor="text1"/>
                <w:kern w:val="0"/>
                <w:sz w:val="24"/>
                <w:szCs w:val="21"/>
                <w:highlight w:val="none"/>
                <w:lang w:eastAsia="zh-CN"/>
                <w14:textFill>
                  <w14:solidFill>
                    <w14:schemeClr w14:val="tx1"/>
                  </w14:solidFill>
                </w14:textFill>
              </w:rPr>
              <w:t>（</w:t>
            </w:r>
            <w:r>
              <w:rPr>
                <w:rFonts w:hint="eastAsia" w:cs="Times New Roman"/>
                <w:color w:val="000000" w:themeColor="text1"/>
                <w:kern w:val="0"/>
                <w:sz w:val="24"/>
                <w:szCs w:val="21"/>
                <w:highlight w:val="none"/>
                <w:lang w:val="en-US" w:eastAsia="zh-CN"/>
                <w14:textFill>
                  <w14:solidFill>
                    <w14:schemeClr w14:val="tx1"/>
                  </w14:solidFill>
                </w14:textFill>
              </w:rPr>
              <w:t>1</w:t>
            </w:r>
            <w:r>
              <w:rPr>
                <w:rFonts w:hint="eastAsia" w:cs="Times New Roman"/>
                <w:color w:val="000000" w:themeColor="text1"/>
                <w:kern w:val="0"/>
                <w:sz w:val="24"/>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1"/>
                <w:highlight w:val="none"/>
                <w14:textFill>
                  <w14:solidFill>
                    <w14:schemeClr w14:val="tx1"/>
                  </w14:solidFill>
                </w14:textFill>
              </w:rPr>
              <w:t>产业发展定位：打造以生物医药、光电、机械为特色的创新创业示范区和福建省高新技术制造基地；打造生态环境优美、软环境突出、对台湾和欧美高端企业有极强吸引力的闽台高新技术产业合作高地。</w:t>
            </w:r>
          </w:p>
          <w:p w14:paraId="39B6F79F">
            <w:pPr>
              <w:autoSpaceDE w:val="0"/>
              <w:autoSpaceDN w:val="0"/>
              <w:adjustRightInd w:val="0"/>
              <w:spacing w:line="360" w:lineRule="auto"/>
              <w:ind w:firstLine="480" w:firstLineChars="200"/>
              <w:jc w:val="both"/>
              <w:rPr>
                <w:rFonts w:hint="default" w:ascii="Times New Roman" w:hAnsi="Times New Roman" w:eastAsia="宋体" w:cs="Times New Roman"/>
                <w:color w:val="000000" w:themeColor="text1"/>
                <w:kern w:val="0"/>
                <w:sz w:val="24"/>
                <w:szCs w:val="21"/>
                <w:highlight w:val="none"/>
                <w14:textFill>
                  <w14:solidFill>
                    <w14:schemeClr w14:val="tx1"/>
                  </w14:solidFill>
                </w14:textFill>
              </w:rPr>
            </w:pPr>
            <w:r>
              <w:rPr>
                <w:rFonts w:hint="eastAsia" w:cs="Times New Roman"/>
                <w:color w:val="000000" w:themeColor="text1"/>
                <w:kern w:val="0"/>
                <w:sz w:val="24"/>
                <w:szCs w:val="21"/>
                <w:highlight w:val="none"/>
                <w:lang w:eastAsia="zh-CN"/>
                <w14:textFill>
                  <w14:solidFill>
                    <w14:schemeClr w14:val="tx1"/>
                  </w14:solidFill>
                </w14:textFill>
              </w:rPr>
              <w:t>（</w:t>
            </w:r>
            <w:r>
              <w:rPr>
                <w:rFonts w:hint="eastAsia" w:cs="Times New Roman"/>
                <w:color w:val="000000" w:themeColor="text1"/>
                <w:kern w:val="0"/>
                <w:sz w:val="24"/>
                <w:szCs w:val="21"/>
                <w:highlight w:val="none"/>
                <w:lang w:val="en-US" w:eastAsia="zh-CN"/>
                <w14:textFill>
                  <w14:solidFill>
                    <w14:schemeClr w14:val="tx1"/>
                  </w14:solidFill>
                </w14:textFill>
              </w:rPr>
              <w:t>2</w:t>
            </w:r>
            <w:r>
              <w:rPr>
                <w:rFonts w:hint="eastAsia" w:cs="Times New Roman"/>
                <w:color w:val="000000" w:themeColor="text1"/>
                <w:kern w:val="0"/>
                <w:sz w:val="24"/>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1"/>
                <w:highlight w:val="none"/>
                <w14:textFill>
                  <w14:solidFill>
                    <w14:schemeClr w14:val="tx1"/>
                  </w14:solidFill>
                </w14:textFill>
              </w:rPr>
              <w:t>园区主导产业：医药产业、机电制造业、生产性服务业。医药产业：海西药谷；药物创新研发基地、先进药品制剂制造基地、医药及生物科技服务中心、生物医药对外合作基地；机电产业：智能电网成套设备制造基地、光电通讯设备制造基地、智能化仪器仪表制造基地；现代服务业：产业技术服务平台、产品研发平台、医药物流服务平台、服务外包平台。</w:t>
            </w:r>
          </w:p>
          <w:p w14:paraId="720B5EC3">
            <w:pPr>
              <w:autoSpaceDE w:val="0"/>
              <w:autoSpaceDN w:val="0"/>
              <w:adjustRightInd w:val="0"/>
              <w:spacing w:line="360" w:lineRule="auto"/>
              <w:ind w:firstLine="480" w:firstLineChars="200"/>
              <w:jc w:val="both"/>
              <w:rPr>
                <w:rFonts w:hint="default" w:ascii="Times New Roman" w:hAnsi="Times New Roman" w:eastAsia="宋体" w:cs="Times New Roman"/>
                <w:color w:val="000000" w:themeColor="text1"/>
                <w:kern w:val="0"/>
                <w:sz w:val="24"/>
                <w:szCs w:val="21"/>
                <w:highlight w:val="none"/>
                <w14:textFill>
                  <w14:solidFill>
                    <w14:schemeClr w14:val="tx1"/>
                  </w14:solidFill>
                </w14:textFill>
              </w:rPr>
            </w:pPr>
            <w:r>
              <w:rPr>
                <w:rFonts w:hint="eastAsia" w:cs="Times New Roman"/>
                <w:color w:val="000000" w:themeColor="text1"/>
                <w:kern w:val="0"/>
                <w:sz w:val="24"/>
                <w:szCs w:val="21"/>
                <w:highlight w:val="none"/>
                <w:lang w:eastAsia="zh-CN"/>
                <w14:textFill>
                  <w14:solidFill>
                    <w14:schemeClr w14:val="tx1"/>
                  </w14:solidFill>
                </w14:textFill>
              </w:rPr>
              <w:t>（</w:t>
            </w:r>
            <w:r>
              <w:rPr>
                <w:rFonts w:hint="eastAsia" w:cs="Times New Roman"/>
                <w:color w:val="000000" w:themeColor="text1"/>
                <w:kern w:val="0"/>
                <w:sz w:val="24"/>
                <w:szCs w:val="21"/>
                <w:highlight w:val="none"/>
                <w:lang w:val="en-US" w:eastAsia="zh-CN"/>
                <w14:textFill>
                  <w14:solidFill>
                    <w14:schemeClr w14:val="tx1"/>
                  </w14:solidFill>
                </w14:textFill>
              </w:rPr>
              <w:t>3</w:t>
            </w:r>
            <w:r>
              <w:rPr>
                <w:rFonts w:hint="eastAsia" w:cs="Times New Roman"/>
                <w:color w:val="000000" w:themeColor="text1"/>
                <w:kern w:val="0"/>
                <w:sz w:val="24"/>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1"/>
                <w:highlight w:val="none"/>
                <w14:textFill>
                  <w14:solidFill>
                    <w14:schemeClr w14:val="tx1"/>
                  </w14:solidFill>
                </w14:textFill>
              </w:rPr>
              <w:t>功能定位：以生物医药、光电、机械为特色的创新创业示范区、闽台高新技术产业合作高地、福建省高新技术制造业基地。</w:t>
            </w:r>
          </w:p>
          <w:p w14:paraId="15E56D2C">
            <w:pPr>
              <w:autoSpaceDE w:val="0"/>
              <w:autoSpaceDN w:val="0"/>
              <w:adjustRightInd w:val="0"/>
              <w:spacing w:line="360" w:lineRule="auto"/>
              <w:ind w:firstLine="480" w:firstLineChars="200"/>
              <w:jc w:val="both"/>
              <w:rPr>
                <w:rFonts w:hint="default" w:ascii="Times New Roman" w:hAnsi="Times New Roman" w:eastAsia="宋体" w:cs="Times New Roman"/>
                <w:color w:val="000000" w:themeColor="text1"/>
                <w:kern w:val="0"/>
                <w:sz w:val="24"/>
                <w:szCs w:val="21"/>
                <w:highlight w:val="none"/>
                <w14:textFill>
                  <w14:solidFill>
                    <w14:schemeClr w14:val="tx1"/>
                  </w14:solidFill>
                </w14:textFill>
              </w:rPr>
            </w:pPr>
            <w:r>
              <w:rPr>
                <w:rFonts w:hint="eastAsia" w:cs="Times New Roman"/>
                <w:color w:val="000000" w:themeColor="text1"/>
                <w:kern w:val="0"/>
                <w:sz w:val="24"/>
                <w:szCs w:val="21"/>
                <w:highlight w:val="none"/>
                <w:lang w:eastAsia="zh-CN"/>
                <w14:textFill>
                  <w14:solidFill>
                    <w14:schemeClr w14:val="tx1"/>
                  </w14:solidFill>
                </w14:textFill>
              </w:rPr>
              <w:t>（</w:t>
            </w:r>
            <w:r>
              <w:rPr>
                <w:rFonts w:hint="eastAsia" w:cs="Times New Roman"/>
                <w:color w:val="000000" w:themeColor="text1"/>
                <w:kern w:val="0"/>
                <w:sz w:val="24"/>
                <w:szCs w:val="21"/>
                <w:highlight w:val="none"/>
                <w:lang w:val="en-US" w:eastAsia="zh-CN"/>
                <w14:textFill>
                  <w14:solidFill>
                    <w14:schemeClr w14:val="tx1"/>
                  </w14:solidFill>
                </w14:textFill>
              </w:rPr>
              <w:t>4</w:t>
            </w:r>
            <w:r>
              <w:rPr>
                <w:rFonts w:hint="eastAsia" w:cs="Times New Roman"/>
                <w:color w:val="000000" w:themeColor="text1"/>
                <w:kern w:val="0"/>
                <w:sz w:val="24"/>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1"/>
                <w:highlight w:val="none"/>
                <w14:textFill>
                  <w14:solidFill>
                    <w14:schemeClr w14:val="tx1"/>
                  </w14:solidFill>
                </w14:textFill>
              </w:rPr>
              <w:t>空间结构：“一轴、三心、两园、两区”。“一轴”即一条城市景观轴；“三心”即产业研发中心、城市服务核心、休闲旅游中心；“两园”即生物医药园、机电园；“两区”即两个生活集中区。</w:t>
            </w:r>
          </w:p>
          <w:p w14:paraId="761FAB2F">
            <w:pPr>
              <w:autoSpaceDE w:val="0"/>
              <w:autoSpaceDN w:val="0"/>
              <w:adjustRightInd w:val="0"/>
              <w:spacing w:line="360" w:lineRule="auto"/>
              <w:ind w:firstLine="480" w:firstLineChars="200"/>
              <w:jc w:val="both"/>
              <w:rPr>
                <w:rFonts w:hint="default" w:ascii="Times New Roman" w:hAnsi="Times New Roman" w:eastAsia="宋体" w:cs="Times New Roman"/>
                <w:color w:val="000000" w:themeColor="text1"/>
                <w:kern w:val="0"/>
                <w:sz w:val="24"/>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1"/>
                <w:highlight w:val="none"/>
                <w14:textFill>
                  <w14:solidFill>
                    <w14:schemeClr w14:val="tx1"/>
                  </w14:solidFill>
                </w14:textFill>
              </w:rPr>
              <w:t>（</w:t>
            </w:r>
            <w:r>
              <w:rPr>
                <w:rFonts w:hint="eastAsia" w:cs="Times New Roman"/>
                <w:color w:val="000000" w:themeColor="text1"/>
                <w:kern w:val="0"/>
                <w:sz w:val="24"/>
                <w:szCs w:val="21"/>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4"/>
                <w:szCs w:val="21"/>
                <w:highlight w:val="none"/>
                <w14:textFill>
                  <w14:solidFill>
                    <w14:schemeClr w14:val="tx1"/>
                  </w14:solidFill>
                </w14:textFill>
              </w:rPr>
              <w:t>）给水工程规划</w:t>
            </w:r>
          </w:p>
          <w:p w14:paraId="37A6A452">
            <w:pPr>
              <w:autoSpaceDE w:val="0"/>
              <w:autoSpaceDN w:val="0"/>
              <w:adjustRightInd w:val="0"/>
              <w:spacing w:line="360" w:lineRule="auto"/>
              <w:ind w:firstLine="480" w:firstLineChars="200"/>
              <w:jc w:val="both"/>
              <w:rPr>
                <w:rFonts w:hint="default" w:ascii="Times New Roman" w:hAnsi="Times New Roman" w:eastAsia="宋体" w:cs="Times New Roman"/>
                <w:color w:val="000000" w:themeColor="text1"/>
                <w:kern w:val="0"/>
                <w:sz w:val="24"/>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1"/>
                <w:highlight w:val="none"/>
                <w14:textFill>
                  <w14:solidFill>
                    <w14:schemeClr w14:val="tx1"/>
                  </w14:solidFill>
                </w14:textFill>
              </w:rPr>
              <w:t>园区用水</w:t>
            </w:r>
            <w:r>
              <w:rPr>
                <w:rFonts w:hint="eastAsia" w:cs="Times New Roman"/>
                <w:color w:val="000000" w:themeColor="text1"/>
                <w:kern w:val="0"/>
                <w:sz w:val="24"/>
                <w:szCs w:val="21"/>
                <w:highlight w:val="none"/>
                <w:lang w:eastAsia="zh-CN"/>
                <w14:textFill>
                  <w14:solidFill>
                    <w14:schemeClr w14:val="tx1"/>
                  </w14:solidFill>
                </w14:textFill>
              </w:rPr>
              <w:t>取自</w:t>
            </w:r>
            <w:r>
              <w:rPr>
                <w:rFonts w:hint="default" w:ascii="Times New Roman" w:hAnsi="Times New Roman" w:eastAsia="宋体" w:cs="Times New Roman"/>
                <w:color w:val="000000" w:themeColor="text1"/>
                <w:kern w:val="0"/>
                <w:sz w:val="24"/>
                <w:szCs w:val="21"/>
                <w:highlight w:val="none"/>
                <w14:textFill>
                  <w14:solidFill>
                    <w14:schemeClr w14:val="tx1"/>
                  </w14:solidFill>
                </w14:textFill>
              </w:rPr>
              <w:t>上街侯官取水口（清源水厂）。青源水厂现状供水能力为5.0万</w:t>
            </w:r>
            <w:r>
              <w:rPr>
                <w:rFonts w:hint="eastAsia" w:cs="Times New Roman"/>
                <w:color w:val="000000" w:themeColor="text1"/>
                <w:kern w:val="0"/>
                <w:sz w:val="24"/>
                <w:szCs w:val="21"/>
                <w:highlight w:val="none"/>
                <w:lang w:val="en-US" w:eastAsia="zh-CN"/>
                <w14:textFill>
                  <w14:solidFill>
                    <w14:schemeClr w14:val="tx1"/>
                  </w14:solidFill>
                </w14:textFill>
              </w:rPr>
              <w:t>m</w:t>
            </w:r>
            <w:r>
              <w:rPr>
                <w:rFonts w:hint="eastAsia" w:cs="Times New Roman"/>
                <w:color w:val="000000" w:themeColor="text1"/>
                <w:kern w:val="0"/>
                <w:sz w:val="24"/>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kern w:val="0"/>
                <w:sz w:val="24"/>
                <w:szCs w:val="21"/>
                <w:highlight w:val="none"/>
                <w14:textFill>
                  <w14:solidFill>
                    <w14:schemeClr w14:val="tx1"/>
                  </w14:solidFill>
                </w14:textFill>
              </w:rPr>
              <w:t>/d，水源取自闽江，供水管网长度约25km；规划扩建青源水厂至14.0万m</w:t>
            </w:r>
            <w:r>
              <w:rPr>
                <w:rFonts w:hint="default" w:ascii="Times New Roman" w:hAnsi="Times New Roman" w:eastAsia="宋体" w:cs="Times New Roman"/>
                <w:color w:val="000000" w:themeColor="text1"/>
                <w:kern w:val="0"/>
                <w:sz w:val="24"/>
                <w:szCs w:val="21"/>
                <w:highlight w:val="none"/>
                <w:vertAlign w:val="superscript"/>
                <w14:textFill>
                  <w14:solidFill>
                    <w14:schemeClr w14:val="tx1"/>
                  </w14:solidFill>
                </w14:textFill>
              </w:rPr>
              <w:t>3</w:t>
            </w:r>
            <w:r>
              <w:rPr>
                <w:rFonts w:hint="default" w:ascii="Times New Roman" w:hAnsi="Times New Roman" w:eastAsia="宋体" w:cs="Times New Roman"/>
                <w:color w:val="000000" w:themeColor="text1"/>
                <w:kern w:val="0"/>
                <w:sz w:val="24"/>
                <w:szCs w:val="21"/>
                <w:highlight w:val="none"/>
                <w14:textFill>
                  <w14:solidFill>
                    <w14:schemeClr w14:val="tx1"/>
                  </w14:solidFill>
                </w14:textFill>
              </w:rPr>
              <w:t>/d，预留用地12.7hm</w:t>
            </w:r>
            <w:r>
              <w:rPr>
                <w:rFonts w:hint="default" w:ascii="Times New Roman" w:hAnsi="Times New Roman" w:eastAsia="宋体" w:cs="Times New Roman"/>
                <w:color w:val="000000" w:themeColor="text1"/>
                <w:kern w:val="0"/>
                <w:sz w:val="24"/>
                <w:szCs w:val="21"/>
                <w:highlight w:val="none"/>
                <w:vertAlign w:val="superscript"/>
                <w14:textFill>
                  <w14:solidFill>
                    <w14:schemeClr w14:val="tx1"/>
                  </w14:solidFill>
                </w14:textFill>
              </w:rPr>
              <w:t>2</w:t>
            </w:r>
            <w:r>
              <w:rPr>
                <w:rFonts w:hint="default" w:ascii="Times New Roman" w:hAnsi="Times New Roman" w:eastAsia="宋体" w:cs="Times New Roman"/>
                <w:color w:val="000000" w:themeColor="text1"/>
                <w:kern w:val="0"/>
                <w:sz w:val="24"/>
                <w:szCs w:val="21"/>
                <w:highlight w:val="none"/>
                <w14:textFill>
                  <w14:solidFill>
                    <w14:schemeClr w14:val="tx1"/>
                  </w14:solidFill>
                </w14:textFill>
              </w:rPr>
              <w:t>，水源取自闽江。</w:t>
            </w:r>
          </w:p>
          <w:p w14:paraId="72B01DC1">
            <w:pPr>
              <w:autoSpaceDE w:val="0"/>
              <w:autoSpaceDN w:val="0"/>
              <w:adjustRightInd w:val="0"/>
              <w:spacing w:line="360" w:lineRule="auto"/>
              <w:ind w:firstLine="480" w:firstLineChars="200"/>
              <w:jc w:val="both"/>
              <w:rPr>
                <w:rFonts w:hint="default" w:ascii="Times New Roman" w:hAnsi="Times New Roman" w:eastAsia="宋体" w:cs="Times New Roman"/>
                <w:color w:val="000000" w:themeColor="text1"/>
                <w:kern w:val="0"/>
                <w:sz w:val="24"/>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1"/>
                <w:highlight w:val="none"/>
                <w14:textFill>
                  <w14:solidFill>
                    <w14:schemeClr w14:val="tx1"/>
                  </w14:solidFill>
                </w14:textFill>
              </w:rPr>
              <w:t>（</w:t>
            </w:r>
            <w:r>
              <w:rPr>
                <w:rFonts w:hint="eastAsia" w:cs="Times New Roman"/>
                <w:color w:val="000000" w:themeColor="text1"/>
                <w:kern w:val="0"/>
                <w:sz w:val="24"/>
                <w:szCs w:val="21"/>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kern w:val="0"/>
                <w:sz w:val="24"/>
                <w:szCs w:val="21"/>
                <w:highlight w:val="none"/>
                <w14:textFill>
                  <w14:solidFill>
                    <w14:schemeClr w14:val="tx1"/>
                  </w14:solidFill>
                </w14:textFill>
              </w:rPr>
              <w:t>）排水工程规划</w:t>
            </w:r>
          </w:p>
          <w:p w14:paraId="4AF6BA6D">
            <w:pPr>
              <w:autoSpaceDE w:val="0"/>
              <w:autoSpaceDN w:val="0"/>
              <w:adjustRightInd w:val="0"/>
              <w:spacing w:line="360" w:lineRule="auto"/>
              <w:ind w:firstLine="480" w:firstLineChars="200"/>
              <w:jc w:val="both"/>
              <w:rPr>
                <w:rFonts w:hint="default" w:ascii="Times New Roman" w:hAnsi="Times New Roman" w:eastAsia="宋体" w:cs="Times New Roman"/>
                <w:color w:val="000000" w:themeColor="text1"/>
                <w:kern w:val="0"/>
                <w:sz w:val="24"/>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1"/>
                <w:highlight w:val="none"/>
                <w14:textFill>
                  <w14:solidFill>
                    <w14:schemeClr w14:val="tx1"/>
                  </w14:solidFill>
                </w14:textFill>
              </w:rPr>
              <w:t>①污水性质及污水量：规划区内的用地性质主要是生物医药和机电产业用地，污水性质兼具生活污水与工业污水的特征。规划预测规划区最高日总污水量为5.4万m</w:t>
            </w:r>
            <w:r>
              <w:rPr>
                <w:rFonts w:hint="default" w:ascii="Times New Roman" w:hAnsi="Times New Roman" w:eastAsia="宋体" w:cs="Times New Roman"/>
                <w:color w:val="000000" w:themeColor="text1"/>
                <w:kern w:val="0"/>
                <w:sz w:val="24"/>
                <w:szCs w:val="21"/>
                <w:highlight w:val="none"/>
                <w:vertAlign w:val="superscript"/>
                <w14:textFill>
                  <w14:solidFill>
                    <w14:schemeClr w14:val="tx1"/>
                  </w14:solidFill>
                </w14:textFill>
              </w:rPr>
              <w:t>3</w:t>
            </w:r>
            <w:r>
              <w:rPr>
                <w:rFonts w:hint="default" w:ascii="Times New Roman" w:hAnsi="Times New Roman" w:eastAsia="宋体" w:cs="Times New Roman"/>
                <w:color w:val="000000" w:themeColor="text1"/>
                <w:kern w:val="0"/>
                <w:sz w:val="24"/>
                <w:szCs w:val="21"/>
                <w:highlight w:val="none"/>
                <w14:textFill>
                  <w14:solidFill>
                    <w14:schemeClr w14:val="tx1"/>
                  </w14:solidFill>
                </w14:textFill>
              </w:rPr>
              <w:t>/d，日变化系数取1.4，则平均日污水量为3.9万m</w:t>
            </w:r>
            <w:r>
              <w:rPr>
                <w:rFonts w:hint="default" w:ascii="Times New Roman" w:hAnsi="Times New Roman" w:eastAsia="宋体" w:cs="Times New Roman"/>
                <w:color w:val="000000" w:themeColor="text1"/>
                <w:kern w:val="0"/>
                <w:sz w:val="24"/>
                <w:szCs w:val="21"/>
                <w:highlight w:val="none"/>
                <w:vertAlign w:val="superscript"/>
                <w14:textFill>
                  <w14:solidFill>
                    <w14:schemeClr w14:val="tx1"/>
                  </w14:solidFill>
                </w14:textFill>
              </w:rPr>
              <w:t>3</w:t>
            </w:r>
            <w:r>
              <w:rPr>
                <w:rFonts w:hint="default" w:ascii="Times New Roman" w:hAnsi="Times New Roman" w:eastAsia="宋体" w:cs="Times New Roman"/>
                <w:color w:val="000000" w:themeColor="text1"/>
                <w:kern w:val="0"/>
                <w:sz w:val="24"/>
                <w:szCs w:val="21"/>
                <w:highlight w:val="none"/>
                <w14:textFill>
                  <w14:solidFill>
                    <w14:schemeClr w14:val="tx1"/>
                  </w14:solidFill>
                </w14:textFill>
              </w:rPr>
              <w:t>/d。</w:t>
            </w:r>
          </w:p>
          <w:p w14:paraId="03FCE27F">
            <w:pPr>
              <w:autoSpaceDE w:val="0"/>
              <w:autoSpaceDN w:val="0"/>
              <w:adjustRightInd w:val="0"/>
              <w:spacing w:line="360" w:lineRule="auto"/>
              <w:ind w:firstLine="480" w:firstLineChars="200"/>
              <w:jc w:val="both"/>
              <w:rPr>
                <w:rFonts w:hint="default" w:ascii="Times New Roman" w:hAnsi="Times New Roman" w:eastAsia="宋体" w:cs="Times New Roman"/>
                <w:color w:val="000000" w:themeColor="text1"/>
                <w:kern w:val="0"/>
                <w:sz w:val="24"/>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1"/>
                <w:highlight w:val="none"/>
                <w14:textFill>
                  <w14:solidFill>
                    <w14:schemeClr w14:val="tx1"/>
                  </w14:solidFill>
                </w14:textFill>
              </w:rPr>
              <w:t>②污水处理厂：规划区污水主要由规划区北面的大学城污水处理厂处理。大学城污水处理厂现状规模5.0万m</w:t>
            </w:r>
            <w:r>
              <w:rPr>
                <w:rFonts w:hint="default" w:ascii="Times New Roman" w:hAnsi="Times New Roman" w:eastAsia="宋体" w:cs="Times New Roman"/>
                <w:color w:val="000000" w:themeColor="text1"/>
                <w:kern w:val="0"/>
                <w:sz w:val="24"/>
                <w:szCs w:val="21"/>
                <w:highlight w:val="none"/>
                <w:vertAlign w:val="superscript"/>
                <w14:textFill>
                  <w14:solidFill>
                    <w14:schemeClr w14:val="tx1"/>
                  </w14:solidFill>
                </w14:textFill>
              </w:rPr>
              <w:t>3</w:t>
            </w:r>
            <w:r>
              <w:rPr>
                <w:rFonts w:hint="default" w:ascii="Times New Roman" w:hAnsi="Times New Roman" w:eastAsia="宋体" w:cs="Times New Roman"/>
                <w:color w:val="000000" w:themeColor="text1"/>
                <w:kern w:val="0"/>
                <w:sz w:val="24"/>
                <w:szCs w:val="21"/>
                <w:highlight w:val="none"/>
                <w14:textFill>
                  <w14:solidFill>
                    <w14:schemeClr w14:val="tx1"/>
                  </w14:solidFill>
                </w14:textFill>
              </w:rPr>
              <w:t>/d，现状污水处理量达3.0</w:t>
            </w:r>
            <w:r>
              <w:rPr>
                <w:rFonts w:hint="eastAsia" w:cs="Times New Roman"/>
                <w:color w:val="000000" w:themeColor="text1"/>
                <w:kern w:val="0"/>
                <w:sz w:val="24"/>
                <w:szCs w:val="21"/>
                <w:highlight w:val="none"/>
                <w:lang w:val="en-US" w:eastAsia="zh-CN"/>
                <w14:textFill>
                  <w14:solidFill>
                    <w14:schemeClr w14:val="tx1"/>
                  </w14:solidFill>
                </w14:textFill>
              </w:rPr>
              <w:t>万</w:t>
            </w:r>
            <w:r>
              <w:rPr>
                <w:rFonts w:hint="default" w:ascii="Times New Roman" w:hAnsi="Times New Roman" w:eastAsia="宋体" w:cs="Times New Roman"/>
                <w:color w:val="000000" w:themeColor="text1"/>
                <w:kern w:val="0"/>
                <w:sz w:val="24"/>
                <w:szCs w:val="21"/>
                <w:highlight w:val="none"/>
                <w14:textFill>
                  <w14:solidFill>
                    <w14:schemeClr w14:val="tx1"/>
                  </w14:solidFill>
                </w14:textFill>
              </w:rPr>
              <w:t>m</w:t>
            </w:r>
            <w:r>
              <w:rPr>
                <w:rFonts w:hint="default" w:ascii="Times New Roman" w:hAnsi="Times New Roman" w:eastAsia="宋体" w:cs="Times New Roman"/>
                <w:color w:val="000000" w:themeColor="text1"/>
                <w:kern w:val="0"/>
                <w:sz w:val="24"/>
                <w:szCs w:val="21"/>
                <w:highlight w:val="none"/>
                <w:vertAlign w:val="superscript"/>
                <w14:textFill>
                  <w14:solidFill>
                    <w14:schemeClr w14:val="tx1"/>
                  </w14:solidFill>
                </w14:textFill>
              </w:rPr>
              <w:t>3</w:t>
            </w:r>
            <w:r>
              <w:rPr>
                <w:rFonts w:hint="default" w:ascii="Times New Roman" w:hAnsi="Times New Roman" w:eastAsia="宋体" w:cs="Times New Roman"/>
                <w:color w:val="000000" w:themeColor="text1"/>
                <w:kern w:val="0"/>
                <w:sz w:val="24"/>
                <w:szCs w:val="21"/>
                <w:highlight w:val="none"/>
                <w14:textFill>
                  <w14:solidFill>
                    <w14:schemeClr w14:val="tx1"/>
                  </w14:solidFill>
                </w14:textFill>
              </w:rPr>
              <w:t>/d，规划扩建大学城污水处理厂至17万m</w:t>
            </w:r>
            <w:r>
              <w:rPr>
                <w:rFonts w:hint="default" w:ascii="Times New Roman" w:hAnsi="Times New Roman" w:eastAsia="宋体" w:cs="Times New Roman"/>
                <w:color w:val="000000" w:themeColor="text1"/>
                <w:kern w:val="0"/>
                <w:sz w:val="24"/>
                <w:szCs w:val="21"/>
                <w:highlight w:val="none"/>
                <w:vertAlign w:val="superscript"/>
                <w14:textFill>
                  <w14:solidFill>
                    <w14:schemeClr w14:val="tx1"/>
                  </w14:solidFill>
                </w14:textFill>
              </w:rPr>
              <w:t>3</w:t>
            </w:r>
            <w:r>
              <w:rPr>
                <w:rFonts w:hint="default" w:ascii="Times New Roman" w:hAnsi="Times New Roman" w:eastAsia="宋体" w:cs="Times New Roman"/>
                <w:color w:val="000000" w:themeColor="text1"/>
                <w:kern w:val="0"/>
                <w:sz w:val="24"/>
                <w:szCs w:val="21"/>
                <w:highlight w:val="none"/>
                <w14:textFill>
                  <w14:solidFill>
                    <w14:schemeClr w14:val="tx1"/>
                  </w14:solidFill>
                </w14:textFill>
              </w:rPr>
              <w:t>/d，主要服务范围为上街片区、大学城新区、南屿片区，还包括科技园区和生物医药机电产业园区等，尾水达到《城镇污水处理厂污染物排放标准》（GB18918-2002）中的一级A标准后排入高岐河后汇入闽江南港。</w:t>
            </w:r>
          </w:p>
          <w:p w14:paraId="3337E97A">
            <w:pPr>
              <w:autoSpaceDE w:val="0"/>
              <w:autoSpaceDN w:val="0"/>
              <w:adjustRightInd w:val="0"/>
              <w:spacing w:line="360" w:lineRule="auto"/>
              <w:ind w:firstLine="480" w:firstLineChars="200"/>
              <w:jc w:val="both"/>
              <w:rPr>
                <w:rFonts w:hint="default" w:ascii="Times New Roman" w:hAnsi="Times New Roman" w:eastAsia="宋体" w:cs="Times New Roman"/>
                <w:color w:val="000000" w:themeColor="text1"/>
                <w:kern w:val="0"/>
                <w:sz w:val="24"/>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1"/>
                <w:highlight w:val="none"/>
                <w14:textFill>
                  <w14:solidFill>
                    <w14:schemeClr w14:val="tx1"/>
                  </w14:solidFill>
                </w14:textFill>
              </w:rPr>
              <w:t>③污水管网布置：规划污水管网采用“主干管-支管”的布局模式。规划沿规划区中部南北向主干道（2号路）布置主干管，</w:t>
            </w:r>
            <w:r>
              <w:rPr>
                <w:rFonts w:hint="eastAsia" w:cs="Times New Roman"/>
                <w:color w:val="000000" w:themeColor="text1"/>
                <w:kern w:val="0"/>
                <w:sz w:val="24"/>
                <w:szCs w:val="21"/>
                <w:highlight w:val="none"/>
                <w:lang w:eastAsia="zh-CN"/>
                <w14:textFill>
                  <w14:solidFill>
                    <w14:schemeClr w14:val="tx1"/>
                  </w14:solidFill>
                </w14:textFill>
              </w:rPr>
              <w:t>其他管网</w:t>
            </w:r>
            <w:r>
              <w:rPr>
                <w:rFonts w:hint="default" w:ascii="Times New Roman" w:hAnsi="Times New Roman" w:eastAsia="宋体" w:cs="Times New Roman"/>
                <w:color w:val="000000" w:themeColor="text1"/>
                <w:kern w:val="0"/>
                <w:sz w:val="24"/>
                <w:szCs w:val="21"/>
                <w:highlight w:val="none"/>
                <w14:textFill>
                  <w14:solidFill>
                    <w14:schemeClr w14:val="tx1"/>
                  </w14:solidFill>
                </w14:textFill>
              </w:rPr>
              <w:t>结合规划用地空间布局，分片区呈放射状汇入主干管。</w:t>
            </w:r>
          </w:p>
          <w:p w14:paraId="52E12BF2">
            <w:pPr>
              <w:autoSpaceDE w:val="0"/>
              <w:autoSpaceDN w:val="0"/>
              <w:adjustRightInd w:val="0"/>
              <w:spacing w:line="360" w:lineRule="auto"/>
              <w:ind w:firstLine="480" w:firstLineChars="200"/>
              <w:jc w:val="both"/>
              <w:rPr>
                <w:rFonts w:hint="eastAsia" w:ascii="Times New Roman" w:hAnsi="Times New Roman" w:eastAsia="宋体" w:cs="Times New Roman"/>
                <w:color w:val="000000" w:themeColor="text1"/>
                <w:kern w:val="0"/>
                <w:sz w:val="24"/>
                <w:szCs w:val="21"/>
                <w:highlight w:val="none"/>
                <w:lang w:eastAsia="zh-CN"/>
                <w14:textFill>
                  <w14:solidFill>
                    <w14:schemeClr w14:val="tx1"/>
                  </w14:solidFill>
                </w14:textFill>
              </w:rPr>
            </w:pPr>
            <w:r>
              <w:rPr>
                <w:rFonts w:hint="eastAsia" w:cs="Times New Roman"/>
                <w:color w:val="000000" w:themeColor="text1"/>
                <w:kern w:val="0"/>
                <w:sz w:val="24"/>
                <w:szCs w:val="21"/>
                <w:highlight w:val="none"/>
                <w:lang w:eastAsia="zh-CN"/>
                <w14:textFill>
                  <w14:solidFill>
                    <w14:schemeClr w14:val="tx1"/>
                  </w14:solidFill>
                </w14:textFill>
              </w:rPr>
              <w:t>（</w:t>
            </w:r>
            <w:r>
              <w:rPr>
                <w:rFonts w:hint="eastAsia" w:cs="Times New Roman"/>
                <w:color w:val="000000" w:themeColor="text1"/>
                <w:kern w:val="0"/>
                <w:sz w:val="24"/>
                <w:szCs w:val="21"/>
                <w:highlight w:val="none"/>
                <w:lang w:val="en-US" w:eastAsia="zh-CN"/>
                <w14:textFill>
                  <w14:solidFill>
                    <w14:schemeClr w14:val="tx1"/>
                  </w14:solidFill>
                </w14:textFill>
              </w:rPr>
              <w:t>7</w:t>
            </w:r>
            <w:r>
              <w:rPr>
                <w:rFonts w:hint="eastAsia" w:cs="Times New Roman"/>
                <w:color w:val="000000" w:themeColor="text1"/>
                <w:kern w:val="0"/>
                <w:sz w:val="24"/>
                <w:szCs w:val="21"/>
                <w:highlight w:val="none"/>
                <w:lang w:eastAsia="zh-CN"/>
                <w14:textFill>
                  <w14:solidFill>
                    <w14:schemeClr w14:val="tx1"/>
                  </w14:solidFill>
                </w14:textFill>
              </w:rPr>
              <w:t>）环卫设施规划</w:t>
            </w:r>
          </w:p>
          <w:p w14:paraId="184D9A60">
            <w:pPr>
              <w:autoSpaceDE w:val="0"/>
              <w:autoSpaceDN w:val="0"/>
              <w:adjustRightInd w:val="0"/>
              <w:spacing w:line="360" w:lineRule="auto"/>
              <w:ind w:firstLine="480" w:firstLineChars="200"/>
              <w:jc w:val="both"/>
              <w:rPr>
                <w:rFonts w:hint="default" w:ascii="Times New Roman" w:hAnsi="Times New Roman" w:eastAsia="宋体" w:cs="Times New Roman"/>
                <w:color w:val="000000" w:themeColor="text1"/>
                <w:kern w:val="0"/>
                <w:sz w:val="24"/>
                <w:szCs w:val="21"/>
                <w:highlight w:val="none"/>
                <w14:textFill>
                  <w14:solidFill>
                    <w14:schemeClr w14:val="tx1"/>
                  </w14:solidFill>
                </w14:textFill>
              </w:rPr>
            </w:pPr>
            <w:r>
              <w:rPr>
                <w:rFonts w:hint="eastAsia" w:cs="Times New Roman"/>
                <w:color w:val="000000" w:themeColor="text1"/>
                <w:kern w:val="0"/>
                <w:sz w:val="24"/>
                <w:szCs w:val="21"/>
                <w:highlight w:val="none"/>
                <w:lang w:val="en-US" w:eastAsia="zh-CN"/>
                <w14:textFill>
                  <w14:solidFill>
                    <w14:schemeClr w14:val="tx1"/>
                  </w14:solidFill>
                </w14:textFill>
              </w:rPr>
              <w:t>园区</w:t>
            </w:r>
            <w:r>
              <w:rPr>
                <w:rFonts w:hint="default" w:ascii="Times New Roman" w:hAnsi="Times New Roman" w:eastAsia="宋体" w:cs="Times New Roman"/>
                <w:color w:val="000000" w:themeColor="text1"/>
                <w:kern w:val="0"/>
                <w:sz w:val="24"/>
                <w:szCs w:val="21"/>
                <w:highlight w:val="none"/>
                <w14:textFill>
                  <w14:solidFill>
                    <w14:schemeClr w14:val="tx1"/>
                  </w14:solidFill>
                </w14:textFill>
              </w:rPr>
              <w:t>产生的垃圾经园区垃圾中转站运往红庙岭垃圾填埋场进行处理。</w:t>
            </w:r>
          </w:p>
          <w:p w14:paraId="5B47AFBF">
            <w:pPr>
              <w:autoSpaceDE w:val="0"/>
              <w:autoSpaceDN w:val="0"/>
              <w:adjustRightInd w:val="0"/>
              <w:spacing w:line="360" w:lineRule="auto"/>
              <w:ind w:firstLine="480" w:firstLineChars="200"/>
              <w:jc w:val="both"/>
              <w:rPr>
                <w:rFonts w:hint="default" w:ascii="Times New Roman" w:hAnsi="Times New Roman" w:eastAsia="宋体" w:cs="Times New Roman"/>
                <w:color w:val="000000" w:themeColor="text1"/>
                <w:kern w:val="0"/>
                <w:sz w:val="24"/>
                <w:szCs w:val="21"/>
                <w:highlight w:val="none"/>
                <w:lang w:val="en-US" w:eastAsia="zh-CN"/>
                <w14:textFill>
                  <w14:solidFill>
                    <w14:schemeClr w14:val="tx1"/>
                  </w14:solidFill>
                </w14:textFill>
              </w:rPr>
            </w:pPr>
            <w:r>
              <w:rPr>
                <w:rFonts w:hint="eastAsia" w:cs="Times New Roman"/>
                <w:color w:val="000000" w:themeColor="text1"/>
                <w:kern w:val="0"/>
                <w:sz w:val="24"/>
                <w:szCs w:val="21"/>
                <w:highlight w:val="none"/>
                <w:lang w:eastAsia="zh-CN"/>
                <w14:textFill>
                  <w14:solidFill>
                    <w14:schemeClr w14:val="tx1"/>
                  </w14:solidFill>
                </w14:textFill>
              </w:rPr>
              <w:t>（</w:t>
            </w:r>
            <w:r>
              <w:rPr>
                <w:rFonts w:hint="eastAsia" w:cs="Times New Roman"/>
                <w:color w:val="000000" w:themeColor="text1"/>
                <w:kern w:val="0"/>
                <w:sz w:val="24"/>
                <w:szCs w:val="21"/>
                <w:highlight w:val="none"/>
                <w:lang w:val="en-US" w:eastAsia="zh-CN"/>
                <w14:textFill>
                  <w14:solidFill>
                    <w14:schemeClr w14:val="tx1"/>
                  </w14:solidFill>
                </w14:textFill>
              </w:rPr>
              <w:t>二</w:t>
            </w:r>
            <w:r>
              <w:rPr>
                <w:rFonts w:hint="eastAsia" w:cs="Times New Roman"/>
                <w:color w:val="000000" w:themeColor="text1"/>
                <w:kern w:val="0"/>
                <w:sz w:val="24"/>
                <w:szCs w:val="21"/>
                <w:highlight w:val="none"/>
                <w:lang w:eastAsia="zh-CN"/>
                <w14:textFill>
                  <w14:solidFill>
                    <w14:schemeClr w14:val="tx1"/>
                  </w14:solidFill>
                </w14:textFill>
              </w:rPr>
              <w:t>）</w:t>
            </w:r>
            <w:r>
              <w:rPr>
                <w:rFonts w:hint="eastAsia" w:cs="Times New Roman"/>
                <w:color w:val="000000" w:themeColor="text1"/>
                <w:kern w:val="0"/>
                <w:sz w:val="24"/>
                <w:szCs w:val="21"/>
                <w:highlight w:val="none"/>
                <w:lang w:val="en-US" w:eastAsia="zh-CN"/>
                <w14:textFill>
                  <w14:solidFill>
                    <w14:schemeClr w14:val="tx1"/>
                  </w14:solidFill>
                </w14:textFill>
              </w:rPr>
              <w:t>规划符合性分析</w:t>
            </w:r>
          </w:p>
          <w:p w14:paraId="405D92E1">
            <w:pPr>
              <w:autoSpaceDE w:val="0"/>
              <w:autoSpaceDN w:val="0"/>
              <w:adjustRightInd w:val="0"/>
              <w:spacing w:line="360" w:lineRule="auto"/>
              <w:ind w:firstLine="480" w:firstLineChars="200"/>
              <w:jc w:val="both"/>
              <w:rPr>
                <w:rFonts w:hint="default" w:ascii="Times New Roman" w:hAnsi="Times New Roman" w:eastAsia="宋体" w:cs="Times New Roman"/>
                <w:color w:val="000000" w:themeColor="text1"/>
                <w:kern w:val="0"/>
                <w:sz w:val="24"/>
                <w:szCs w:val="21"/>
                <w:highlight w:val="none"/>
                <w14:textFill>
                  <w14:solidFill>
                    <w14:schemeClr w14:val="tx1"/>
                  </w14:solidFill>
                </w14:textFill>
              </w:rPr>
            </w:pPr>
            <w:r>
              <w:rPr>
                <w:rFonts w:hint="eastAsia" w:cs="Times New Roman"/>
                <w:color w:val="000000" w:themeColor="text1"/>
                <w:kern w:val="0"/>
                <w:sz w:val="24"/>
                <w:szCs w:val="21"/>
                <w:highlight w:val="none"/>
                <w:lang w:val="en-US" w:eastAsia="zh-CN"/>
                <w14:textFill>
                  <w14:solidFill>
                    <w14:schemeClr w14:val="tx1"/>
                  </w14:solidFill>
                </w14:textFill>
              </w:rPr>
              <w:t>本项目位于</w:t>
            </w:r>
            <w:r>
              <w:rPr>
                <w:rFonts w:hint="eastAsia"/>
                <w:b w:val="0"/>
                <w:bCs/>
                <w:color w:val="000000" w:themeColor="text1"/>
                <w:kern w:val="0"/>
                <w:sz w:val="24"/>
                <w:szCs w:val="24"/>
                <w:highlight w:val="none"/>
                <w14:textFill>
                  <w14:solidFill>
                    <w14:schemeClr w14:val="tx1"/>
                  </w14:solidFill>
                </w14:textFill>
              </w:rPr>
              <w:t>生物医药和机电产业园</w:t>
            </w:r>
            <w:r>
              <w:rPr>
                <w:rFonts w:hint="eastAsia"/>
                <w:b w:val="0"/>
                <w:bCs/>
                <w:color w:val="000000" w:themeColor="text1"/>
                <w:kern w:val="0"/>
                <w:sz w:val="24"/>
                <w:szCs w:val="24"/>
                <w:highlight w:val="none"/>
                <w:lang w:val="en-US" w:eastAsia="zh-CN"/>
                <w14:textFill>
                  <w14:solidFill>
                    <w14:schemeClr w14:val="tx1"/>
                  </w14:solidFill>
                </w14:textFill>
              </w:rPr>
              <w:t>中的</w:t>
            </w:r>
            <w:r>
              <w:rPr>
                <w:rFonts w:hint="eastAsia"/>
                <w:b w:val="0"/>
                <w:bCs/>
                <w:color w:val="000000" w:themeColor="text1"/>
                <w:kern w:val="0"/>
                <w:sz w:val="24"/>
                <w:szCs w:val="24"/>
                <w:highlight w:val="none"/>
                <w14:textFill>
                  <w14:solidFill>
                    <w14:schemeClr w14:val="tx1"/>
                  </w14:solidFill>
                </w14:textFill>
              </w:rPr>
              <w:t>机电产业园</w:t>
            </w:r>
            <w:r>
              <w:rPr>
                <w:rFonts w:hint="eastAsia" w:ascii="Times New Roman" w:hAnsi="Times New Roman" w:cs="Times New Roman"/>
                <w:color w:val="000000" w:themeColor="text1"/>
                <w:sz w:val="24"/>
                <w:szCs w:val="21"/>
                <w:highlight w:val="none"/>
                <w:lang w:eastAsia="zh-CN"/>
                <w14:textFill>
                  <w14:solidFill>
                    <w14:schemeClr w14:val="tx1"/>
                  </w14:solidFill>
                </w14:textFill>
              </w:rPr>
              <w:t>（</w:t>
            </w:r>
            <w:r>
              <w:rPr>
                <w:rFonts w:hint="eastAsia" w:ascii="Times New Roman" w:hAnsi="Times New Roman" w:cs="Times New Roman"/>
                <w:color w:val="000000" w:themeColor="text1"/>
                <w:sz w:val="24"/>
                <w:szCs w:val="21"/>
                <w:highlight w:val="none"/>
                <w:lang w:val="en-US" w:eastAsia="zh-CN"/>
                <w14:textFill>
                  <w14:solidFill>
                    <w14:schemeClr w14:val="tx1"/>
                  </w14:solidFill>
                </w14:textFill>
              </w:rPr>
              <w:t>位置关系详见附图</w:t>
            </w:r>
            <w:r>
              <w:rPr>
                <w:rFonts w:hint="eastAsia" w:cs="Times New Roman"/>
                <w:color w:val="000000" w:themeColor="text1"/>
                <w:sz w:val="24"/>
                <w:szCs w:val="21"/>
                <w:highlight w:val="none"/>
                <w:lang w:val="en-US" w:eastAsia="zh-CN"/>
                <w14:textFill>
                  <w14:solidFill>
                    <w14:schemeClr w14:val="tx1"/>
                  </w14:solidFill>
                </w14:textFill>
              </w:rPr>
              <w:t>2</w:t>
            </w:r>
            <w:r>
              <w:rPr>
                <w:rFonts w:hint="eastAsia" w:ascii="Times New Roman" w:hAnsi="Times New Roman" w:cs="Times New Roman"/>
                <w:color w:val="000000" w:themeColor="text1"/>
                <w:sz w:val="24"/>
                <w:szCs w:val="21"/>
                <w:highlight w:val="none"/>
                <w:lang w:eastAsia="zh-CN"/>
                <w14:textFill>
                  <w14:solidFill>
                    <w14:schemeClr w14:val="tx1"/>
                  </w14:solidFill>
                </w14:textFill>
              </w:rPr>
              <w:t>）</w:t>
            </w:r>
            <w:r>
              <w:rPr>
                <w:rFonts w:hint="eastAsia" w:cs="Times New Roman"/>
                <w:color w:val="000000" w:themeColor="text1"/>
                <w:sz w:val="24"/>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1"/>
                <w:highlight w:val="none"/>
                <w14:textFill>
                  <w14:solidFill>
                    <w14:schemeClr w14:val="tx1"/>
                  </w14:solidFill>
                </w14:textFill>
              </w:rPr>
              <w:t>主要从事</w:t>
            </w:r>
            <w:r>
              <w:rPr>
                <w:rFonts w:hint="eastAsia" w:cs="Times New Roman"/>
                <w:color w:val="000000" w:themeColor="text1"/>
                <w:kern w:val="0"/>
                <w:sz w:val="24"/>
                <w:szCs w:val="21"/>
                <w:highlight w:val="none"/>
                <w:lang w:val="en-US" w:eastAsia="zh-CN"/>
                <w14:textFill>
                  <w14:solidFill>
                    <w14:schemeClr w14:val="tx1"/>
                  </w14:solidFill>
                </w14:textFill>
              </w:rPr>
              <w:t>光学元器件</w:t>
            </w:r>
            <w:r>
              <w:rPr>
                <w:rFonts w:hint="default" w:ascii="Times New Roman" w:hAnsi="Times New Roman" w:eastAsia="宋体" w:cs="Times New Roman"/>
                <w:color w:val="000000" w:themeColor="text1"/>
                <w:kern w:val="0"/>
                <w:sz w:val="24"/>
                <w:szCs w:val="21"/>
                <w:highlight w:val="none"/>
                <w14:textFill>
                  <w14:solidFill>
                    <w14:schemeClr w14:val="tx1"/>
                  </w14:solidFill>
                </w14:textFill>
              </w:rPr>
              <w:t>生产，与福州市生物医药和机电产业园规划内容不冲突，因此项目符合园区规划要求。同时，根据项目土地使用证，用地性质为工业用地，符合福州市生物医药和机电产业园规划。</w:t>
            </w:r>
          </w:p>
          <w:p w14:paraId="77EFA4E4">
            <w:pPr>
              <w:pStyle w:val="37"/>
              <w:rPr>
                <w:color w:val="000000" w:themeColor="text1"/>
                <w:sz w:val="24"/>
                <w:szCs w:val="21"/>
                <w:highlight w:val="none"/>
                <w14:textFill>
                  <w14:solidFill>
                    <w14:schemeClr w14:val="tx1"/>
                  </w14:solidFill>
                </w14:textFill>
              </w:rPr>
            </w:pPr>
            <w:r>
              <w:rPr>
                <w:color w:val="000000" w:themeColor="text1"/>
                <w:sz w:val="24"/>
                <w:szCs w:val="21"/>
                <w:highlight w:val="none"/>
                <w14:textFill>
                  <w14:solidFill>
                    <w14:schemeClr w14:val="tx1"/>
                  </w14:solidFill>
                </w14:textFill>
              </w:rPr>
              <w:t>1.2</w:t>
            </w:r>
            <w:r>
              <w:rPr>
                <w:rFonts w:hint="eastAsia"/>
                <w:color w:val="000000" w:themeColor="text1"/>
                <w:sz w:val="24"/>
                <w:szCs w:val="21"/>
                <w:highlight w:val="none"/>
                <w14:textFill>
                  <w14:solidFill>
                    <w14:schemeClr w14:val="tx1"/>
                  </w14:solidFill>
                </w14:textFill>
              </w:rPr>
              <w:t>与规划环评符合性分析</w:t>
            </w:r>
          </w:p>
          <w:p w14:paraId="0DAD3E80">
            <w:pPr>
              <w:autoSpaceDE w:val="0"/>
              <w:autoSpaceDN w:val="0"/>
              <w:adjustRightInd w:val="0"/>
              <w:spacing w:line="360" w:lineRule="auto"/>
              <w:ind w:firstLine="480" w:firstLineChars="200"/>
              <w:jc w:val="both"/>
              <w:rPr>
                <w:rFonts w:hint="default" w:ascii="Times New Roman" w:hAnsi="Times New Roman" w:cs="Times New Roman"/>
                <w:color w:val="000000" w:themeColor="text1"/>
                <w:kern w:val="0"/>
                <w:sz w:val="24"/>
                <w:szCs w:val="21"/>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4"/>
                <w:szCs w:val="21"/>
                <w:highlight w:val="none"/>
                <w:lang w:eastAsia="zh-CN"/>
                <w14:textFill>
                  <w14:solidFill>
                    <w14:schemeClr w14:val="tx1"/>
                  </w14:solidFill>
                </w14:textFill>
              </w:rPr>
              <w:t>（</w:t>
            </w:r>
            <w:r>
              <w:rPr>
                <w:rFonts w:hint="eastAsia" w:ascii="Times New Roman" w:hAnsi="Times New Roman" w:cs="Times New Roman"/>
                <w:color w:val="000000" w:themeColor="text1"/>
                <w:kern w:val="0"/>
                <w:sz w:val="24"/>
                <w:szCs w:val="21"/>
                <w:highlight w:val="none"/>
                <w:lang w:val="en-US" w:eastAsia="zh-CN"/>
                <w14:textFill>
                  <w14:solidFill>
                    <w14:schemeClr w14:val="tx1"/>
                  </w14:solidFill>
                </w14:textFill>
              </w:rPr>
              <w:t>一</w:t>
            </w:r>
            <w:r>
              <w:rPr>
                <w:rFonts w:hint="default" w:ascii="Times New Roman" w:hAnsi="Times New Roman" w:cs="Times New Roman"/>
                <w:color w:val="000000" w:themeColor="text1"/>
                <w:kern w:val="0"/>
                <w:sz w:val="24"/>
                <w:szCs w:val="21"/>
                <w:highlight w:val="none"/>
                <w:lang w:eastAsia="zh-CN"/>
                <w14:textFill>
                  <w14:solidFill>
                    <w14:schemeClr w14:val="tx1"/>
                  </w14:solidFill>
                </w14:textFill>
              </w:rPr>
              <w:t>）</w:t>
            </w:r>
            <w:r>
              <w:rPr>
                <w:rFonts w:hint="default" w:ascii="Times New Roman" w:hAnsi="Times New Roman" w:cs="Times New Roman"/>
                <w:color w:val="000000" w:themeColor="text1"/>
                <w:kern w:val="0"/>
                <w:sz w:val="24"/>
                <w:szCs w:val="21"/>
                <w:highlight w:val="none"/>
                <w:lang w:val="en-US" w:eastAsia="zh-CN"/>
                <w14:textFill>
                  <w14:solidFill>
                    <w14:schemeClr w14:val="tx1"/>
                  </w14:solidFill>
                </w14:textFill>
              </w:rPr>
              <w:t>规划环评概况</w:t>
            </w:r>
          </w:p>
          <w:p w14:paraId="3D2E4F7D">
            <w:pPr>
              <w:autoSpaceDE w:val="0"/>
              <w:autoSpaceDN w:val="0"/>
              <w:adjustRightInd w:val="0"/>
              <w:spacing w:line="360" w:lineRule="auto"/>
              <w:ind w:firstLine="480" w:firstLineChars="200"/>
              <w:jc w:val="left"/>
              <w:rPr>
                <w:rFonts w:hint="default" w:ascii="Times New Roman" w:hAnsi="Times New Roman" w:cs="Times New Roman"/>
                <w:color w:val="000000" w:themeColor="text1"/>
                <w:kern w:val="0"/>
                <w:sz w:val="24"/>
                <w:szCs w:val="21"/>
                <w:highlight w:val="none"/>
                <w14:textFill>
                  <w14:solidFill>
                    <w14:schemeClr w14:val="tx1"/>
                  </w14:solidFill>
                </w14:textFill>
              </w:rPr>
            </w:pPr>
            <w:r>
              <w:rPr>
                <w:rFonts w:hint="default" w:ascii="Times New Roman" w:hAnsi="Times New Roman" w:cs="Times New Roman"/>
                <w:color w:val="000000" w:themeColor="text1"/>
                <w:kern w:val="0"/>
                <w:sz w:val="24"/>
                <w:szCs w:val="21"/>
                <w:highlight w:val="none"/>
                <w14:textFill>
                  <w14:solidFill>
                    <w14:schemeClr w14:val="tx1"/>
                  </w14:solidFill>
                </w14:textFill>
              </w:rPr>
              <w:t>2010年7月福州新南建设开发有限公司委托福州市环境科学研究院承担《福州市生物医药和机电产业园规划环境影响报告书》编制任务，福州市环境科学研究院于2011年3月编制完成《福州市生物医药和机电产业园规划环境影响报告书》，2011年4月17日该规划环评获得</w:t>
            </w:r>
            <w:r>
              <w:rPr>
                <w:rFonts w:hint="eastAsia" w:ascii="Times New Roman" w:hAnsi="Times New Roman" w:cs="Times New Roman"/>
                <w:color w:val="000000" w:themeColor="text1"/>
                <w:kern w:val="0"/>
                <w:sz w:val="24"/>
                <w:szCs w:val="21"/>
                <w:highlight w:val="none"/>
                <w:lang w:val="en-US" w:eastAsia="zh-CN"/>
                <w14:textFill>
                  <w14:solidFill>
                    <w14:schemeClr w14:val="tx1"/>
                  </w14:solidFill>
                </w14:textFill>
              </w:rPr>
              <w:t>原</w:t>
            </w:r>
            <w:r>
              <w:rPr>
                <w:rFonts w:hint="default" w:ascii="Times New Roman" w:hAnsi="Times New Roman" w:cs="Times New Roman"/>
                <w:color w:val="000000" w:themeColor="text1"/>
                <w:kern w:val="0"/>
                <w:sz w:val="24"/>
                <w:szCs w:val="21"/>
                <w:highlight w:val="none"/>
                <w14:textFill>
                  <w14:solidFill>
                    <w14:schemeClr w14:val="tx1"/>
                  </w14:solidFill>
                </w14:textFill>
              </w:rPr>
              <w:t>福州市环保局审查（榕环保〔2011〕204号）。</w:t>
            </w:r>
          </w:p>
          <w:p w14:paraId="16881600">
            <w:pPr>
              <w:autoSpaceDE w:val="0"/>
              <w:autoSpaceDN w:val="0"/>
              <w:adjustRightInd w:val="0"/>
              <w:spacing w:line="360" w:lineRule="auto"/>
              <w:ind w:firstLine="480" w:firstLineChars="200"/>
              <w:jc w:val="left"/>
              <w:rPr>
                <w:rFonts w:hint="default" w:ascii="Times New Roman" w:hAnsi="Times New Roman" w:cs="Times New Roman"/>
                <w:color w:val="000000" w:themeColor="text1"/>
                <w:kern w:val="0"/>
                <w:sz w:val="24"/>
                <w:szCs w:val="21"/>
                <w:highlight w:val="none"/>
                <w14:textFill>
                  <w14:solidFill>
                    <w14:schemeClr w14:val="tx1"/>
                  </w14:solidFill>
                </w14:textFill>
              </w:rPr>
            </w:pPr>
            <w:r>
              <w:rPr>
                <w:rFonts w:hint="default" w:ascii="Times New Roman" w:hAnsi="Times New Roman" w:cs="Times New Roman"/>
                <w:color w:val="000000" w:themeColor="text1"/>
                <w:kern w:val="0"/>
                <w:sz w:val="24"/>
                <w:szCs w:val="21"/>
                <w:highlight w:val="none"/>
                <w14:textFill>
                  <w14:solidFill>
                    <w14:schemeClr w14:val="tx1"/>
                  </w14:solidFill>
                </w14:textFill>
              </w:rPr>
              <w:t>2013年1月，根据入驻企业产业发展配套需要，拟引进电力热力、化学气体的生产和供应企业，并对福州生物医药和机电产业园区提出规划调整意见，福州新南建设开发有限公司委托福州市环境科学研究院承担该规划调整后的《福州市生物医药和机电产业园区地块用地性质和产业规划调整环境影响补充报告》编制任务，并于2014年11月18日该规划环评获得</w:t>
            </w:r>
            <w:r>
              <w:rPr>
                <w:rFonts w:hint="eastAsia" w:ascii="Times New Roman" w:hAnsi="Times New Roman" w:cs="Times New Roman"/>
                <w:color w:val="000000" w:themeColor="text1"/>
                <w:kern w:val="0"/>
                <w:sz w:val="24"/>
                <w:szCs w:val="21"/>
                <w:highlight w:val="none"/>
                <w:lang w:val="en-US" w:eastAsia="zh-CN"/>
                <w14:textFill>
                  <w14:solidFill>
                    <w14:schemeClr w14:val="tx1"/>
                  </w14:solidFill>
                </w14:textFill>
              </w:rPr>
              <w:t>原</w:t>
            </w:r>
            <w:r>
              <w:rPr>
                <w:rFonts w:hint="default" w:ascii="Times New Roman" w:hAnsi="Times New Roman" w:cs="Times New Roman"/>
                <w:color w:val="000000" w:themeColor="text1"/>
                <w:kern w:val="0"/>
                <w:sz w:val="24"/>
                <w:szCs w:val="21"/>
                <w:highlight w:val="none"/>
                <w14:textFill>
                  <w14:solidFill>
                    <w14:schemeClr w14:val="tx1"/>
                  </w14:solidFill>
                </w14:textFill>
              </w:rPr>
              <w:t>福州市环保局审查（榕环保综〔2014〕435号）。</w:t>
            </w:r>
          </w:p>
          <w:p w14:paraId="7DB0F330">
            <w:pPr>
              <w:autoSpaceDE w:val="0"/>
              <w:autoSpaceDN w:val="0"/>
              <w:adjustRightInd w:val="0"/>
              <w:spacing w:line="360" w:lineRule="auto"/>
              <w:ind w:firstLine="480" w:firstLineChars="200"/>
              <w:jc w:val="left"/>
              <w:rPr>
                <w:rFonts w:hint="default" w:ascii="Times New Roman" w:hAnsi="Times New Roman" w:cs="Times New Roman"/>
                <w:color w:val="000000" w:themeColor="text1"/>
                <w:kern w:val="0"/>
                <w:sz w:val="24"/>
                <w:szCs w:val="21"/>
                <w:highlight w:val="none"/>
                <w14:textFill>
                  <w14:solidFill>
                    <w14:schemeClr w14:val="tx1"/>
                  </w14:solidFill>
                </w14:textFill>
              </w:rPr>
            </w:pPr>
            <w:r>
              <w:rPr>
                <w:rFonts w:hint="default" w:ascii="Times New Roman" w:hAnsi="Times New Roman" w:cs="Times New Roman"/>
                <w:color w:val="000000" w:themeColor="text1"/>
                <w:kern w:val="0"/>
                <w:sz w:val="24"/>
                <w:szCs w:val="21"/>
                <w:highlight w:val="none"/>
                <w14:textFill>
                  <w14:solidFill>
                    <w14:schemeClr w14:val="tx1"/>
                  </w14:solidFill>
                </w14:textFill>
              </w:rPr>
              <w:t>2023年12月，福州新南建设开发有限公司委托福建省环境保护设计院有限公司编制完成《福州市生物医药和机电产业园规划环境影响跟踪评价报告书》。</w:t>
            </w:r>
          </w:p>
          <w:p w14:paraId="7A9E70D1">
            <w:pPr>
              <w:autoSpaceDE w:val="0"/>
              <w:autoSpaceDN w:val="0"/>
              <w:adjustRightInd w:val="0"/>
              <w:spacing w:line="360" w:lineRule="auto"/>
              <w:ind w:firstLine="480" w:firstLineChars="200"/>
              <w:jc w:val="left"/>
              <w:rPr>
                <w:rFonts w:hint="eastAsia" w:ascii="宋体" w:eastAsia="宋体" w:cs="宋体"/>
                <w:color w:val="000000" w:themeColor="text1"/>
                <w:kern w:val="0"/>
                <w:sz w:val="24"/>
                <w:szCs w:val="21"/>
                <w:highlight w:val="none"/>
                <w:lang w:eastAsia="zh-CN"/>
                <w14:textFill>
                  <w14:solidFill>
                    <w14:schemeClr w14:val="tx1"/>
                  </w14:solidFill>
                </w14:textFill>
              </w:rPr>
            </w:pPr>
            <w:r>
              <w:rPr>
                <w:rFonts w:hint="eastAsia" w:ascii="宋体" w:cs="宋体"/>
                <w:color w:val="000000" w:themeColor="text1"/>
                <w:kern w:val="0"/>
                <w:sz w:val="24"/>
                <w:szCs w:val="21"/>
                <w:highlight w:val="none"/>
                <w:lang w:eastAsia="zh-CN"/>
                <w14:textFill>
                  <w14:solidFill>
                    <w14:schemeClr w14:val="tx1"/>
                  </w14:solidFill>
                </w14:textFill>
              </w:rPr>
              <w:t>（</w:t>
            </w:r>
            <w:r>
              <w:rPr>
                <w:rFonts w:hint="eastAsia" w:ascii="宋体" w:cs="宋体"/>
                <w:color w:val="000000" w:themeColor="text1"/>
                <w:kern w:val="0"/>
                <w:sz w:val="24"/>
                <w:szCs w:val="21"/>
                <w:highlight w:val="none"/>
                <w:lang w:val="en-US" w:eastAsia="zh-CN"/>
                <w14:textFill>
                  <w14:solidFill>
                    <w14:schemeClr w14:val="tx1"/>
                  </w14:solidFill>
                </w14:textFill>
              </w:rPr>
              <w:t>二</w:t>
            </w:r>
            <w:r>
              <w:rPr>
                <w:rFonts w:hint="eastAsia" w:ascii="宋体" w:cs="宋体"/>
                <w:color w:val="000000" w:themeColor="text1"/>
                <w:kern w:val="0"/>
                <w:sz w:val="24"/>
                <w:szCs w:val="21"/>
                <w:highlight w:val="none"/>
                <w:lang w:eastAsia="zh-CN"/>
                <w14:textFill>
                  <w14:solidFill>
                    <w14:schemeClr w14:val="tx1"/>
                  </w14:solidFill>
                </w14:textFill>
              </w:rPr>
              <w:t>）</w:t>
            </w:r>
            <w:r>
              <w:rPr>
                <w:rFonts w:hint="eastAsia" w:ascii="宋体" w:cs="宋体"/>
                <w:color w:val="000000" w:themeColor="text1"/>
                <w:kern w:val="0"/>
                <w:sz w:val="24"/>
                <w:szCs w:val="21"/>
                <w:highlight w:val="none"/>
                <w:lang w:val="en-US" w:eastAsia="zh-CN"/>
                <w14:textFill>
                  <w14:solidFill>
                    <w14:schemeClr w14:val="tx1"/>
                  </w14:solidFill>
                </w14:textFill>
              </w:rPr>
              <w:t>规划环评符合性分析</w:t>
            </w:r>
          </w:p>
          <w:p w14:paraId="1E4FEA56">
            <w:pPr>
              <w:autoSpaceDE w:val="0"/>
              <w:autoSpaceDN w:val="0"/>
              <w:adjustRightInd w:val="0"/>
              <w:spacing w:line="360" w:lineRule="auto"/>
              <w:ind w:firstLine="480" w:firstLineChars="200"/>
              <w:jc w:val="left"/>
              <w:rPr>
                <w:rFonts w:hint="default" w:ascii="Times New Roman" w:hAnsi="Times New Roman" w:cs="Times New Roman"/>
                <w:color w:val="000000" w:themeColor="text1"/>
                <w:kern w:val="0"/>
                <w:sz w:val="24"/>
                <w:szCs w:val="21"/>
                <w:highlight w:val="none"/>
                <w14:textFill>
                  <w14:solidFill>
                    <w14:schemeClr w14:val="tx1"/>
                  </w14:solidFill>
                </w14:textFill>
              </w:rPr>
            </w:pPr>
            <w:r>
              <w:rPr>
                <w:rFonts w:hint="default" w:ascii="Times New Roman" w:hAnsi="Times New Roman" w:cs="Times New Roman"/>
                <w:color w:val="000000" w:themeColor="text1"/>
                <w:kern w:val="0"/>
                <w:sz w:val="24"/>
                <w:szCs w:val="21"/>
                <w:highlight w:val="none"/>
                <w14:textFill>
                  <w14:solidFill>
                    <w14:schemeClr w14:val="tx1"/>
                  </w14:solidFill>
                </w14:textFill>
              </w:rPr>
              <w:t>规划环评中产业政策要求：</w:t>
            </w:r>
          </w:p>
          <w:p w14:paraId="5ECD9A42">
            <w:pPr>
              <w:autoSpaceDE w:val="0"/>
              <w:autoSpaceDN w:val="0"/>
              <w:adjustRightInd w:val="0"/>
              <w:spacing w:line="360" w:lineRule="auto"/>
              <w:ind w:firstLine="480" w:firstLineChars="200"/>
              <w:jc w:val="left"/>
              <w:rPr>
                <w:rFonts w:hint="default" w:ascii="Times New Roman" w:hAnsi="Times New Roman" w:cs="Times New Roman"/>
                <w:color w:val="000000" w:themeColor="text1"/>
                <w:kern w:val="0"/>
                <w:sz w:val="24"/>
                <w:szCs w:val="21"/>
                <w:highlight w:val="none"/>
                <w14:textFill>
                  <w14:solidFill>
                    <w14:schemeClr w14:val="tx1"/>
                  </w14:solidFill>
                </w14:textFill>
              </w:rPr>
            </w:pPr>
            <w:r>
              <w:rPr>
                <w:rFonts w:hint="default" w:ascii="Times New Roman" w:hAnsi="Times New Roman" w:cs="Times New Roman"/>
                <w:color w:val="000000" w:themeColor="text1"/>
                <w:kern w:val="0"/>
                <w:sz w:val="24"/>
                <w:szCs w:val="21"/>
                <w:highlight w:val="none"/>
                <w14:textFill>
                  <w14:solidFill>
                    <w14:schemeClr w14:val="tx1"/>
                  </w14:solidFill>
                </w14:textFill>
              </w:rPr>
              <w:t>生物医药产业：①在本规划区以新产品研发、一类、二类工业企业为主。②不推荐本规划园区设实验动物房，严禁耗水量大的企业入驻。④限制产生恶臭的行业入驻。③引进企业清洁生产水平必须达到国内先进及以上水平。④对于化学制药、发酵药、原料药等重污染型的制药行业以及高耗能、高耗水、污染严重的企业建议福州市实行产业整合，有计划</w:t>
            </w:r>
            <w:r>
              <w:rPr>
                <w:rFonts w:hint="eastAsia" w:cs="Times New Roman"/>
                <w:color w:val="000000" w:themeColor="text1"/>
                <w:kern w:val="0"/>
                <w:sz w:val="24"/>
                <w:szCs w:val="21"/>
                <w:highlight w:val="none"/>
                <w:lang w:eastAsia="zh-CN"/>
                <w14:textFill>
                  <w14:solidFill>
                    <w14:schemeClr w14:val="tx1"/>
                  </w14:solidFill>
                </w14:textFill>
              </w:rPr>
              <w:t>地</w:t>
            </w:r>
            <w:r>
              <w:rPr>
                <w:rFonts w:hint="default" w:ascii="Times New Roman" w:hAnsi="Times New Roman" w:cs="Times New Roman"/>
                <w:color w:val="000000" w:themeColor="text1"/>
                <w:kern w:val="0"/>
                <w:sz w:val="24"/>
                <w:szCs w:val="21"/>
                <w:highlight w:val="none"/>
                <w14:textFill>
                  <w14:solidFill>
                    <w14:schemeClr w14:val="tx1"/>
                  </w14:solidFill>
                </w14:textFill>
              </w:rPr>
              <w:t>引导进入福清江阴工业区入驻。</w:t>
            </w:r>
          </w:p>
          <w:p w14:paraId="46A58D95">
            <w:pPr>
              <w:autoSpaceDE w:val="0"/>
              <w:autoSpaceDN w:val="0"/>
              <w:adjustRightInd w:val="0"/>
              <w:spacing w:line="360" w:lineRule="auto"/>
              <w:ind w:firstLine="480" w:firstLineChars="200"/>
              <w:jc w:val="left"/>
              <w:rPr>
                <w:rFonts w:hint="eastAsia" w:ascii="宋体" w:cs="宋体"/>
                <w:color w:val="000000" w:themeColor="text1"/>
                <w:kern w:val="0"/>
                <w:sz w:val="24"/>
                <w:szCs w:val="21"/>
                <w:highlight w:val="none"/>
                <w14:textFill>
                  <w14:solidFill>
                    <w14:schemeClr w14:val="tx1"/>
                  </w14:solidFill>
                </w14:textFill>
              </w:rPr>
            </w:pPr>
            <w:r>
              <w:rPr>
                <w:rFonts w:hint="default" w:ascii="Times New Roman" w:hAnsi="Times New Roman" w:cs="Times New Roman"/>
                <w:color w:val="000000" w:themeColor="text1"/>
                <w:kern w:val="0"/>
                <w:sz w:val="24"/>
                <w:szCs w:val="21"/>
                <w:highlight w:val="none"/>
                <w14:textFill>
                  <w14:solidFill>
                    <w14:schemeClr w14:val="tx1"/>
                  </w14:solidFill>
                </w14:textFill>
              </w:rPr>
              <w:t>机械电子产业：①</w:t>
            </w:r>
            <w:r>
              <w:rPr>
                <w:rFonts w:hint="eastAsia" w:ascii="Times New Roman" w:hAnsi="Times New Roman" w:cs="Times New Roman"/>
                <w:color w:val="000000" w:themeColor="text1"/>
                <w:kern w:val="0"/>
                <w:sz w:val="24"/>
                <w:szCs w:val="21"/>
                <w:highlight w:val="none"/>
                <w:lang w:val="en-US" w:eastAsia="zh-CN"/>
                <w14:textFill>
                  <w14:solidFill>
                    <w14:schemeClr w14:val="tx1"/>
                  </w14:solidFill>
                </w14:textFill>
              </w:rPr>
              <w:t>严格限制</w:t>
            </w:r>
            <w:r>
              <w:rPr>
                <w:rFonts w:hint="default" w:ascii="Times New Roman" w:hAnsi="Times New Roman" w:cs="Times New Roman"/>
                <w:color w:val="000000" w:themeColor="text1"/>
                <w:kern w:val="0"/>
                <w:sz w:val="24"/>
                <w:szCs w:val="21"/>
                <w:highlight w:val="none"/>
                <w14:textFill>
                  <w14:solidFill>
                    <w14:schemeClr w14:val="tx1"/>
                  </w14:solidFill>
                </w14:textFill>
              </w:rPr>
              <w:t>引进排放酸性气体，二氧化硫废气等企业入驻。②引进企业清洁生产水平必须达到国内先进及以上水平。③入园企业若配套电镀工艺，需按照福州市政府榕政综〔2007〕44号文件要求执行。</w:t>
            </w:r>
          </w:p>
          <w:p w14:paraId="78A0C47E">
            <w:pPr>
              <w:autoSpaceDE w:val="0"/>
              <w:autoSpaceDN w:val="0"/>
              <w:adjustRightInd w:val="0"/>
              <w:snapToGrid w:val="0"/>
              <w:spacing w:before="120" w:beforeLines="50" w:line="360" w:lineRule="auto"/>
              <w:jc w:val="center"/>
              <w:rPr>
                <w:rFonts w:hint="eastAsia" w:ascii="宋体" w:cs="宋体"/>
                <w:color w:val="000000" w:themeColor="text1"/>
                <w:kern w:val="0"/>
                <w:sz w:val="24"/>
                <w:szCs w:val="21"/>
                <w:highlight w:val="none"/>
                <w14:textFill>
                  <w14:solidFill>
                    <w14:schemeClr w14:val="tx1"/>
                  </w14:solidFill>
                </w14:textFill>
              </w:rPr>
            </w:pPr>
            <w:r>
              <w:rPr>
                <w:b/>
                <w:color w:val="000000" w:themeColor="text1"/>
                <w:kern w:val="0"/>
                <w:sz w:val="24"/>
                <w:szCs w:val="24"/>
                <w:highlight w:val="none"/>
                <w14:textFill>
                  <w14:solidFill>
                    <w14:schemeClr w14:val="tx1"/>
                  </w14:solidFill>
                </w14:textFill>
              </w:rPr>
              <w:t>表</w:t>
            </w:r>
            <w:r>
              <w:rPr>
                <w:rFonts w:hint="eastAsia"/>
                <w:b/>
                <w:color w:val="000000" w:themeColor="text1"/>
                <w:kern w:val="0"/>
                <w:sz w:val="24"/>
                <w:szCs w:val="24"/>
                <w:highlight w:val="none"/>
                <w14:textFill>
                  <w14:solidFill>
                    <w14:schemeClr w14:val="tx1"/>
                  </w14:solidFill>
                </w14:textFill>
              </w:rPr>
              <w:t xml:space="preserve"> </w:t>
            </w:r>
            <w:r>
              <w:rPr>
                <w:b/>
                <w:color w:val="000000" w:themeColor="text1"/>
                <w:kern w:val="0"/>
                <w:sz w:val="24"/>
                <w:szCs w:val="24"/>
                <w:highlight w:val="none"/>
                <w14:textFill>
                  <w14:solidFill>
                    <w14:schemeClr w14:val="tx1"/>
                  </w14:solidFill>
                </w14:textFill>
              </w:rPr>
              <w:t>1-</w:t>
            </w:r>
            <w:r>
              <w:rPr>
                <w:rFonts w:hint="eastAsia"/>
                <w:b/>
                <w:color w:val="000000" w:themeColor="text1"/>
                <w:kern w:val="0"/>
                <w:sz w:val="24"/>
                <w:szCs w:val="24"/>
                <w:highlight w:val="none"/>
                <w:lang w:val="en-US" w:eastAsia="zh-CN"/>
                <w14:textFill>
                  <w14:solidFill>
                    <w14:schemeClr w14:val="tx1"/>
                  </w14:solidFill>
                </w14:textFill>
              </w:rPr>
              <w:t>2</w:t>
            </w:r>
            <w:r>
              <w:rPr>
                <w:b/>
                <w:color w:val="000000" w:themeColor="text1"/>
                <w:kern w:val="0"/>
                <w:sz w:val="24"/>
                <w:szCs w:val="24"/>
                <w:highlight w:val="none"/>
                <w14:textFill>
                  <w14:solidFill>
                    <w14:schemeClr w14:val="tx1"/>
                  </w14:solidFill>
                </w14:textFill>
              </w:rPr>
              <w:t xml:space="preserve">  福州生物医药及机电产业园推荐、不推荐产业明细</w:t>
            </w:r>
          </w:p>
          <w:tbl>
            <w:tblPr>
              <w:tblStyle w:val="31"/>
              <w:tblW w:w="79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4"/>
              <w:gridCol w:w="3420"/>
              <w:gridCol w:w="2928"/>
            </w:tblGrid>
            <w:tr w14:paraId="0E4CC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Align w:val="center"/>
                </w:tcPr>
                <w:p w14:paraId="7082D9CC">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规划产业</w:t>
                  </w:r>
                </w:p>
              </w:tc>
              <w:tc>
                <w:tcPr>
                  <w:tcW w:w="3420" w:type="dxa"/>
                  <w:vAlign w:val="center"/>
                </w:tcPr>
                <w:p w14:paraId="71535BC1">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产业小类</w:t>
                  </w:r>
                </w:p>
              </w:tc>
              <w:tc>
                <w:tcPr>
                  <w:tcW w:w="2928" w:type="dxa"/>
                  <w:vAlign w:val="center"/>
                </w:tcPr>
                <w:p w14:paraId="2A745441">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推荐产业</w:t>
                  </w:r>
                </w:p>
              </w:tc>
            </w:tr>
            <w:tr w14:paraId="1149C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2" w:type="dxa"/>
                  <w:gridSpan w:val="3"/>
                  <w:vAlign w:val="center"/>
                </w:tcPr>
                <w:p w14:paraId="2B849B89">
                  <w:pPr>
                    <w:bidi w:val="0"/>
                    <w:jc w:val="lef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一、医药园产业</w:t>
                  </w:r>
                </w:p>
              </w:tc>
            </w:tr>
            <w:tr w14:paraId="7009A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Merge w:val="restart"/>
                  <w:vAlign w:val="center"/>
                </w:tcPr>
                <w:p w14:paraId="3AB4C2A3">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医药研发</w:t>
                  </w:r>
                </w:p>
              </w:tc>
              <w:tc>
                <w:tcPr>
                  <w:tcW w:w="3420" w:type="dxa"/>
                  <w:vAlign w:val="center"/>
                </w:tcPr>
                <w:p w14:paraId="7E688D84">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基因工程药物</w:t>
                  </w:r>
                </w:p>
              </w:tc>
              <w:tc>
                <w:tcPr>
                  <w:tcW w:w="2928" w:type="dxa"/>
                  <w:vAlign w:val="center"/>
                </w:tcPr>
                <w:p w14:paraId="3DF8BD5C">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推荐基因工程药物</w:t>
                  </w:r>
                </w:p>
              </w:tc>
            </w:tr>
            <w:tr w14:paraId="4BEC6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Merge w:val="continue"/>
                  <w:vAlign w:val="center"/>
                </w:tcPr>
                <w:p w14:paraId="148E611D">
                  <w:pPr>
                    <w:bidi w:val="0"/>
                    <w:jc w:val="center"/>
                    <w:rPr>
                      <w:rFonts w:hint="eastAsia"/>
                      <w:color w:val="000000" w:themeColor="text1"/>
                      <w:highlight w:val="none"/>
                      <w14:textFill>
                        <w14:solidFill>
                          <w14:schemeClr w14:val="tx1"/>
                        </w14:solidFill>
                      </w14:textFill>
                    </w:rPr>
                  </w:pPr>
                </w:p>
              </w:tc>
              <w:tc>
                <w:tcPr>
                  <w:tcW w:w="3420" w:type="dxa"/>
                  <w:vAlign w:val="center"/>
                </w:tcPr>
                <w:p w14:paraId="39579B07">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疫苗</w:t>
                  </w:r>
                </w:p>
              </w:tc>
              <w:tc>
                <w:tcPr>
                  <w:tcW w:w="2928" w:type="dxa"/>
                  <w:vAlign w:val="center"/>
                </w:tcPr>
                <w:p w14:paraId="4ED6CA31">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推荐疫苗规模化生产</w:t>
                  </w:r>
                </w:p>
              </w:tc>
            </w:tr>
            <w:tr w14:paraId="24226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Merge w:val="continue"/>
                  <w:vAlign w:val="center"/>
                </w:tcPr>
                <w:p w14:paraId="43BFACE7">
                  <w:pPr>
                    <w:bidi w:val="0"/>
                    <w:jc w:val="center"/>
                    <w:rPr>
                      <w:rFonts w:hint="eastAsia"/>
                      <w:color w:val="000000" w:themeColor="text1"/>
                      <w:highlight w:val="none"/>
                      <w14:textFill>
                        <w14:solidFill>
                          <w14:schemeClr w14:val="tx1"/>
                        </w14:solidFill>
                      </w14:textFill>
                    </w:rPr>
                  </w:pPr>
                </w:p>
              </w:tc>
              <w:tc>
                <w:tcPr>
                  <w:tcW w:w="3420" w:type="dxa"/>
                  <w:vAlign w:val="center"/>
                </w:tcPr>
                <w:p w14:paraId="090E13D7">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诊断试剂</w:t>
                  </w:r>
                </w:p>
              </w:tc>
              <w:tc>
                <w:tcPr>
                  <w:tcW w:w="2928" w:type="dxa"/>
                  <w:vAlign w:val="center"/>
                </w:tcPr>
                <w:p w14:paraId="043A8497">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推荐诊断试剂规模化生产</w:t>
                  </w:r>
                </w:p>
              </w:tc>
            </w:tr>
            <w:tr w14:paraId="35D7B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Merge w:val="continue"/>
                  <w:vAlign w:val="center"/>
                </w:tcPr>
                <w:p w14:paraId="2389C8EB">
                  <w:pPr>
                    <w:bidi w:val="0"/>
                    <w:jc w:val="center"/>
                    <w:rPr>
                      <w:rFonts w:hint="eastAsia"/>
                      <w:color w:val="000000" w:themeColor="text1"/>
                      <w:highlight w:val="none"/>
                      <w14:textFill>
                        <w14:solidFill>
                          <w14:schemeClr w14:val="tx1"/>
                        </w14:solidFill>
                      </w14:textFill>
                    </w:rPr>
                  </w:pPr>
                </w:p>
              </w:tc>
              <w:tc>
                <w:tcPr>
                  <w:tcW w:w="3420" w:type="dxa"/>
                  <w:vAlign w:val="center"/>
                </w:tcPr>
                <w:p w14:paraId="7B8C9A0C">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生物医药分析仪器</w:t>
                  </w:r>
                </w:p>
              </w:tc>
              <w:tc>
                <w:tcPr>
                  <w:tcW w:w="2928" w:type="dxa"/>
                  <w:vAlign w:val="center"/>
                </w:tcPr>
                <w:p w14:paraId="6E58670A">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推荐</w:t>
                  </w:r>
                </w:p>
              </w:tc>
            </w:tr>
            <w:tr w14:paraId="6B130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Merge w:val="continue"/>
                  <w:vAlign w:val="center"/>
                </w:tcPr>
                <w:p w14:paraId="16C9A262">
                  <w:pPr>
                    <w:bidi w:val="0"/>
                    <w:jc w:val="center"/>
                    <w:rPr>
                      <w:rFonts w:hint="eastAsia"/>
                      <w:color w:val="000000" w:themeColor="text1"/>
                      <w:highlight w:val="none"/>
                      <w14:textFill>
                        <w14:solidFill>
                          <w14:schemeClr w14:val="tx1"/>
                        </w14:solidFill>
                      </w14:textFill>
                    </w:rPr>
                  </w:pPr>
                </w:p>
              </w:tc>
              <w:tc>
                <w:tcPr>
                  <w:tcW w:w="3420" w:type="dxa"/>
                  <w:vAlign w:val="center"/>
                </w:tcPr>
                <w:p w14:paraId="4A493373">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高端医药器械研发</w:t>
                  </w:r>
                </w:p>
              </w:tc>
              <w:tc>
                <w:tcPr>
                  <w:tcW w:w="2928" w:type="dxa"/>
                  <w:vAlign w:val="center"/>
                </w:tcPr>
                <w:p w14:paraId="3D01C8BD">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推荐</w:t>
                  </w:r>
                </w:p>
              </w:tc>
            </w:tr>
            <w:tr w14:paraId="10D74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2" w:type="dxa"/>
                  <w:gridSpan w:val="3"/>
                  <w:vAlign w:val="center"/>
                </w:tcPr>
                <w:p w14:paraId="19F67617">
                  <w:pPr>
                    <w:bidi w:val="0"/>
                    <w:jc w:val="lef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二、机电园产业</w:t>
                  </w:r>
                </w:p>
              </w:tc>
            </w:tr>
            <w:tr w14:paraId="79CBC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Merge w:val="restart"/>
                  <w:vAlign w:val="center"/>
                </w:tcPr>
                <w:p w14:paraId="0781C3DE">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光电产业</w:t>
                  </w:r>
                </w:p>
              </w:tc>
              <w:tc>
                <w:tcPr>
                  <w:tcW w:w="3420" w:type="dxa"/>
                  <w:vAlign w:val="center"/>
                </w:tcPr>
                <w:p w14:paraId="39FFC942">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液晶、发光二极管显示屏</w:t>
                  </w:r>
                </w:p>
              </w:tc>
              <w:tc>
                <w:tcPr>
                  <w:tcW w:w="2928" w:type="dxa"/>
                  <w:vMerge w:val="restart"/>
                  <w:vAlign w:val="center"/>
                </w:tcPr>
                <w:p w14:paraId="7CFC09B4">
                  <w:pPr>
                    <w:bidi w:val="0"/>
                    <w:jc w:val="both"/>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推荐，建议园区形成产业配置适宜的光电（LED）产业链。</w:t>
                  </w:r>
                </w:p>
              </w:tc>
            </w:tr>
            <w:tr w14:paraId="0F808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Merge w:val="continue"/>
                  <w:vAlign w:val="center"/>
                </w:tcPr>
                <w:p w14:paraId="48CFD84B">
                  <w:pPr>
                    <w:bidi w:val="0"/>
                    <w:jc w:val="center"/>
                    <w:rPr>
                      <w:rFonts w:hint="eastAsia"/>
                      <w:color w:val="000000" w:themeColor="text1"/>
                      <w:highlight w:val="none"/>
                      <w14:textFill>
                        <w14:solidFill>
                          <w14:schemeClr w14:val="tx1"/>
                        </w14:solidFill>
                      </w14:textFill>
                    </w:rPr>
                  </w:pPr>
                </w:p>
              </w:tc>
              <w:tc>
                <w:tcPr>
                  <w:tcW w:w="3420" w:type="dxa"/>
                  <w:vAlign w:val="center"/>
                </w:tcPr>
                <w:p w14:paraId="00336A18">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光电器件</w:t>
                  </w:r>
                </w:p>
              </w:tc>
              <w:tc>
                <w:tcPr>
                  <w:tcW w:w="2928" w:type="dxa"/>
                  <w:vMerge w:val="continue"/>
                  <w:vAlign w:val="center"/>
                </w:tcPr>
                <w:p w14:paraId="1D9DCC16">
                  <w:pPr>
                    <w:bidi w:val="0"/>
                    <w:jc w:val="both"/>
                    <w:rPr>
                      <w:rFonts w:hint="eastAsia"/>
                      <w:color w:val="000000" w:themeColor="text1"/>
                      <w:highlight w:val="none"/>
                      <w14:textFill>
                        <w14:solidFill>
                          <w14:schemeClr w14:val="tx1"/>
                        </w14:solidFill>
                      </w14:textFill>
                    </w:rPr>
                  </w:pPr>
                </w:p>
              </w:tc>
            </w:tr>
            <w:tr w14:paraId="52A5D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Merge w:val="continue"/>
                  <w:vAlign w:val="center"/>
                </w:tcPr>
                <w:p w14:paraId="398FB3A7">
                  <w:pPr>
                    <w:bidi w:val="0"/>
                    <w:jc w:val="center"/>
                    <w:rPr>
                      <w:rFonts w:hint="eastAsia"/>
                      <w:color w:val="000000" w:themeColor="text1"/>
                      <w:highlight w:val="none"/>
                      <w14:textFill>
                        <w14:solidFill>
                          <w14:schemeClr w14:val="tx1"/>
                        </w14:solidFill>
                      </w14:textFill>
                    </w:rPr>
                  </w:pPr>
                </w:p>
              </w:tc>
              <w:tc>
                <w:tcPr>
                  <w:tcW w:w="3420" w:type="dxa"/>
                  <w:vAlign w:val="center"/>
                </w:tcPr>
                <w:p w14:paraId="630AEBF1">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激光产业</w:t>
                  </w:r>
                </w:p>
              </w:tc>
              <w:tc>
                <w:tcPr>
                  <w:tcW w:w="2928" w:type="dxa"/>
                  <w:vMerge w:val="continue"/>
                  <w:vAlign w:val="center"/>
                </w:tcPr>
                <w:p w14:paraId="4D5A0A4C">
                  <w:pPr>
                    <w:bidi w:val="0"/>
                    <w:jc w:val="both"/>
                    <w:rPr>
                      <w:rFonts w:hint="eastAsia"/>
                      <w:color w:val="000000" w:themeColor="text1"/>
                      <w:highlight w:val="none"/>
                      <w14:textFill>
                        <w14:solidFill>
                          <w14:schemeClr w14:val="tx1"/>
                        </w14:solidFill>
                      </w14:textFill>
                    </w:rPr>
                  </w:pPr>
                </w:p>
              </w:tc>
            </w:tr>
            <w:tr w14:paraId="7ACE1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Merge w:val="continue"/>
                  <w:vAlign w:val="center"/>
                </w:tcPr>
                <w:p w14:paraId="5A68FCE0">
                  <w:pPr>
                    <w:bidi w:val="0"/>
                    <w:jc w:val="center"/>
                    <w:rPr>
                      <w:rFonts w:hint="eastAsia"/>
                      <w:color w:val="000000" w:themeColor="text1"/>
                      <w:highlight w:val="none"/>
                      <w14:textFill>
                        <w14:solidFill>
                          <w14:schemeClr w14:val="tx1"/>
                        </w14:solidFill>
                      </w14:textFill>
                    </w:rPr>
                  </w:pPr>
                </w:p>
              </w:tc>
              <w:tc>
                <w:tcPr>
                  <w:tcW w:w="3420" w:type="dxa"/>
                  <w:vAlign w:val="center"/>
                </w:tcPr>
                <w:p w14:paraId="6D660F3B">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光学产业</w:t>
                  </w:r>
                </w:p>
              </w:tc>
              <w:tc>
                <w:tcPr>
                  <w:tcW w:w="2928" w:type="dxa"/>
                  <w:vMerge w:val="continue"/>
                  <w:vAlign w:val="center"/>
                </w:tcPr>
                <w:p w14:paraId="7B558D08">
                  <w:pPr>
                    <w:bidi w:val="0"/>
                    <w:jc w:val="both"/>
                    <w:rPr>
                      <w:rFonts w:hint="eastAsia"/>
                      <w:color w:val="000000" w:themeColor="text1"/>
                      <w:highlight w:val="none"/>
                      <w14:textFill>
                        <w14:solidFill>
                          <w14:schemeClr w14:val="tx1"/>
                        </w14:solidFill>
                      </w14:textFill>
                    </w:rPr>
                  </w:pPr>
                </w:p>
              </w:tc>
            </w:tr>
            <w:tr w14:paraId="14493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Merge w:val="restart"/>
                  <w:vAlign w:val="center"/>
                </w:tcPr>
                <w:p w14:paraId="710E08C4">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通信产业</w:t>
                  </w:r>
                </w:p>
              </w:tc>
              <w:tc>
                <w:tcPr>
                  <w:tcW w:w="3420" w:type="dxa"/>
                  <w:vAlign w:val="center"/>
                </w:tcPr>
                <w:p w14:paraId="73FB2FE3">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集成电路产业</w:t>
                  </w:r>
                </w:p>
              </w:tc>
              <w:tc>
                <w:tcPr>
                  <w:tcW w:w="2928" w:type="dxa"/>
                  <w:vMerge w:val="continue"/>
                  <w:vAlign w:val="center"/>
                </w:tcPr>
                <w:p w14:paraId="41354FAD">
                  <w:pPr>
                    <w:bidi w:val="0"/>
                    <w:jc w:val="both"/>
                    <w:rPr>
                      <w:rFonts w:hint="eastAsia"/>
                      <w:color w:val="000000" w:themeColor="text1"/>
                      <w:highlight w:val="none"/>
                      <w14:textFill>
                        <w14:solidFill>
                          <w14:schemeClr w14:val="tx1"/>
                        </w14:solidFill>
                      </w14:textFill>
                    </w:rPr>
                  </w:pPr>
                </w:p>
              </w:tc>
            </w:tr>
            <w:tr w14:paraId="105F1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Merge w:val="continue"/>
                  <w:vAlign w:val="center"/>
                </w:tcPr>
                <w:p w14:paraId="320F464C">
                  <w:pPr>
                    <w:bidi w:val="0"/>
                    <w:jc w:val="center"/>
                    <w:rPr>
                      <w:rFonts w:hint="eastAsia"/>
                      <w:color w:val="000000" w:themeColor="text1"/>
                      <w:highlight w:val="none"/>
                      <w14:textFill>
                        <w14:solidFill>
                          <w14:schemeClr w14:val="tx1"/>
                        </w14:solidFill>
                      </w14:textFill>
                    </w:rPr>
                  </w:pPr>
                </w:p>
              </w:tc>
              <w:tc>
                <w:tcPr>
                  <w:tcW w:w="3420" w:type="dxa"/>
                  <w:vAlign w:val="center"/>
                </w:tcPr>
                <w:p w14:paraId="1FBD564B">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计算机及外围设备</w:t>
                  </w:r>
                </w:p>
              </w:tc>
              <w:tc>
                <w:tcPr>
                  <w:tcW w:w="2928" w:type="dxa"/>
                  <w:vMerge w:val="continue"/>
                  <w:vAlign w:val="center"/>
                </w:tcPr>
                <w:p w14:paraId="4577137F">
                  <w:pPr>
                    <w:bidi w:val="0"/>
                    <w:jc w:val="both"/>
                    <w:rPr>
                      <w:rFonts w:hint="eastAsia"/>
                      <w:color w:val="000000" w:themeColor="text1"/>
                      <w:highlight w:val="none"/>
                      <w14:textFill>
                        <w14:solidFill>
                          <w14:schemeClr w14:val="tx1"/>
                        </w14:solidFill>
                      </w14:textFill>
                    </w:rPr>
                  </w:pPr>
                </w:p>
              </w:tc>
            </w:tr>
            <w:tr w14:paraId="78F88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Merge w:val="continue"/>
                  <w:vAlign w:val="center"/>
                </w:tcPr>
                <w:p w14:paraId="3E748571">
                  <w:pPr>
                    <w:bidi w:val="0"/>
                    <w:jc w:val="center"/>
                    <w:rPr>
                      <w:rFonts w:hint="eastAsia"/>
                      <w:color w:val="000000" w:themeColor="text1"/>
                      <w:highlight w:val="none"/>
                      <w14:textFill>
                        <w14:solidFill>
                          <w14:schemeClr w14:val="tx1"/>
                        </w14:solidFill>
                      </w14:textFill>
                    </w:rPr>
                  </w:pPr>
                </w:p>
              </w:tc>
              <w:tc>
                <w:tcPr>
                  <w:tcW w:w="3420" w:type="dxa"/>
                  <w:vAlign w:val="center"/>
                </w:tcPr>
                <w:p w14:paraId="32BA9F66">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数字电子设备</w:t>
                  </w:r>
                </w:p>
              </w:tc>
              <w:tc>
                <w:tcPr>
                  <w:tcW w:w="2928" w:type="dxa"/>
                  <w:vMerge w:val="continue"/>
                  <w:vAlign w:val="center"/>
                </w:tcPr>
                <w:p w14:paraId="521374F8">
                  <w:pPr>
                    <w:bidi w:val="0"/>
                    <w:jc w:val="both"/>
                    <w:rPr>
                      <w:rFonts w:hint="eastAsia"/>
                      <w:color w:val="000000" w:themeColor="text1"/>
                      <w:highlight w:val="none"/>
                      <w14:textFill>
                        <w14:solidFill>
                          <w14:schemeClr w14:val="tx1"/>
                        </w14:solidFill>
                      </w14:textFill>
                    </w:rPr>
                  </w:pPr>
                </w:p>
              </w:tc>
            </w:tr>
            <w:tr w14:paraId="13696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Merge w:val="restart"/>
                  <w:vAlign w:val="center"/>
                </w:tcPr>
                <w:p w14:paraId="117611AA">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智能型机械制造产业</w:t>
                  </w:r>
                </w:p>
              </w:tc>
              <w:tc>
                <w:tcPr>
                  <w:tcW w:w="3420" w:type="dxa"/>
                  <w:vAlign w:val="center"/>
                </w:tcPr>
                <w:p w14:paraId="2FC4B9EC">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智能电网成套设备及配套产业制造</w:t>
                  </w:r>
                </w:p>
              </w:tc>
              <w:tc>
                <w:tcPr>
                  <w:tcW w:w="2928" w:type="dxa"/>
                  <w:vMerge w:val="restart"/>
                  <w:vAlign w:val="center"/>
                </w:tcPr>
                <w:p w14:paraId="16B616EA">
                  <w:pPr>
                    <w:bidi w:val="0"/>
                    <w:jc w:val="both"/>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推荐，建议园区形成产业配置适宜的机械制造产业集群。</w:t>
                  </w:r>
                </w:p>
              </w:tc>
            </w:tr>
            <w:tr w14:paraId="46974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Merge w:val="continue"/>
                  <w:vAlign w:val="center"/>
                </w:tcPr>
                <w:p w14:paraId="5FD2C925">
                  <w:pPr>
                    <w:bidi w:val="0"/>
                    <w:jc w:val="center"/>
                    <w:rPr>
                      <w:rFonts w:hint="eastAsia"/>
                      <w:color w:val="000000" w:themeColor="text1"/>
                      <w:highlight w:val="none"/>
                      <w14:textFill>
                        <w14:solidFill>
                          <w14:schemeClr w14:val="tx1"/>
                        </w14:solidFill>
                      </w14:textFill>
                    </w:rPr>
                  </w:pPr>
                </w:p>
              </w:tc>
              <w:tc>
                <w:tcPr>
                  <w:tcW w:w="3420" w:type="dxa"/>
                  <w:vAlign w:val="center"/>
                </w:tcPr>
                <w:p w14:paraId="04705EAE">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智能化仪表仪器制造</w:t>
                  </w:r>
                </w:p>
              </w:tc>
              <w:tc>
                <w:tcPr>
                  <w:tcW w:w="2928" w:type="dxa"/>
                  <w:vMerge w:val="continue"/>
                  <w:vAlign w:val="center"/>
                </w:tcPr>
                <w:p w14:paraId="79895E65">
                  <w:pPr>
                    <w:bidi w:val="0"/>
                    <w:jc w:val="center"/>
                    <w:rPr>
                      <w:rFonts w:hint="eastAsia"/>
                      <w:color w:val="000000" w:themeColor="text1"/>
                      <w:highlight w:val="none"/>
                      <w14:textFill>
                        <w14:solidFill>
                          <w14:schemeClr w14:val="tx1"/>
                        </w14:solidFill>
                      </w14:textFill>
                    </w:rPr>
                  </w:pPr>
                </w:p>
              </w:tc>
            </w:tr>
            <w:tr w14:paraId="411DB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Merge w:val="continue"/>
                  <w:vAlign w:val="center"/>
                </w:tcPr>
                <w:p w14:paraId="14F7AFF3">
                  <w:pPr>
                    <w:bidi w:val="0"/>
                    <w:jc w:val="center"/>
                    <w:rPr>
                      <w:rFonts w:hint="eastAsia"/>
                      <w:color w:val="000000" w:themeColor="text1"/>
                      <w:highlight w:val="none"/>
                      <w14:textFill>
                        <w14:solidFill>
                          <w14:schemeClr w14:val="tx1"/>
                        </w14:solidFill>
                      </w14:textFill>
                    </w:rPr>
                  </w:pPr>
                </w:p>
              </w:tc>
              <w:tc>
                <w:tcPr>
                  <w:tcW w:w="3420" w:type="dxa"/>
                  <w:vAlign w:val="center"/>
                </w:tcPr>
                <w:p w14:paraId="366B1DF4">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数控机床产业</w:t>
                  </w:r>
                </w:p>
              </w:tc>
              <w:tc>
                <w:tcPr>
                  <w:tcW w:w="2928" w:type="dxa"/>
                  <w:vMerge w:val="continue"/>
                  <w:vAlign w:val="center"/>
                </w:tcPr>
                <w:p w14:paraId="7FE64E05">
                  <w:pPr>
                    <w:bidi w:val="0"/>
                    <w:jc w:val="center"/>
                    <w:rPr>
                      <w:rFonts w:hint="eastAsia"/>
                      <w:color w:val="000000" w:themeColor="text1"/>
                      <w:highlight w:val="none"/>
                      <w14:textFill>
                        <w14:solidFill>
                          <w14:schemeClr w14:val="tx1"/>
                        </w14:solidFill>
                      </w14:textFill>
                    </w:rPr>
                  </w:pPr>
                </w:p>
              </w:tc>
            </w:tr>
            <w:tr w14:paraId="5671A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Merge w:val="continue"/>
                  <w:vAlign w:val="center"/>
                </w:tcPr>
                <w:p w14:paraId="1E8CDA05">
                  <w:pPr>
                    <w:bidi w:val="0"/>
                    <w:jc w:val="center"/>
                    <w:rPr>
                      <w:rFonts w:hint="eastAsia"/>
                      <w:color w:val="000000" w:themeColor="text1"/>
                      <w:highlight w:val="none"/>
                      <w14:textFill>
                        <w14:solidFill>
                          <w14:schemeClr w14:val="tx1"/>
                        </w14:solidFill>
                      </w14:textFill>
                    </w:rPr>
                  </w:pPr>
                </w:p>
              </w:tc>
              <w:tc>
                <w:tcPr>
                  <w:tcW w:w="3420" w:type="dxa"/>
                  <w:vAlign w:val="center"/>
                </w:tcPr>
                <w:p w14:paraId="48EF156C">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工程机械、轨道交通运输装备</w:t>
                  </w:r>
                </w:p>
              </w:tc>
              <w:tc>
                <w:tcPr>
                  <w:tcW w:w="2928" w:type="dxa"/>
                  <w:vMerge w:val="continue"/>
                  <w:vAlign w:val="center"/>
                </w:tcPr>
                <w:p w14:paraId="6CF928E0">
                  <w:pPr>
                    <w:bidi w:val="0"/>
                    <w:jc w:val="center"/>
                    <w:rPr>
                      <w:rFonts w:hint="eastAsia"/>
                      <w:color w:val="000000" w:themeColor="text1"/>
                      <w:highlight w:val="none"/>
                      <w14:textFill>
                        <w14:solidFill>
                          <w14:schemeClr w14:val="tx1"/>
                        </w14:solidFill>
                      </w14:textFill>
                    </w:rPr>
                  </w:pPr>
                </w:p>
              </w:tc>
            </w:tr>
            <w:tr w14:paraId="34B47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Merge w:val="continue"/>
                  <w:vAlign w:val="center"/>
                </w:tcPr>
                <w:p w14:paraId="11F434F6">
                  <w:pPr>
                    <w:bidi w:val="0"/>
                    <w:jc w:val="center"/>
                    <w:rPr>
                      <w:rFonts w:hint="eastAsia"/>
                      <w:color w:val="000000" w:themeColor="text1"/>
                      <w:highlight w:val="none"/>
                      <w14:textFill>
                        <w14:solidFill>
                          <w14:schemeClr w14:val="tx1"/>
                        </w14:solidFill>
                      </w14:textFill>
                    </w:rPr>
                  </w:pPr>
                </w:p>
              </w:tc>
              <w:tc>
                <w:tcPr>
                  <w:tcW w:w="3420" w:type="dxa"/>
                  <w:vAlign w:val="center"/>
                </w:tcPr>
                <w:p w14:paraId="602F9D6D">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港口机械、环保及清洁能源装备</w:t>
                  </w:r>
                </w:p>
              </w:tc>
              <w:tc>
                <w:tcPr>
                  <w:tcW w:w="2928" w:type="dxa"/>
                  <w:vMerge w:val="continue"/>
                  <w:vAlign w:val="center"/>
                </w:tcPr>
                <w:p w14:paraId="59C1BB25">
                  <w:pPr>
                    <w:bidi w:val="0"/>
                    <w:jc w:val="center"/>
                    <w:rPr>
                      <w:rFonts w:hint="eastAsia"/>
                      <w:color w:val="000000" w:themeColor="text1"/>
                      <w:highlight w:val="none"/>
                      <w14:textFill>
                        <w14:solidFill>
                          <w14:schemeClr w14:val="tx1"/>
                        </w14:solidFill>
                      </w14:textFill>
                    </w:rPr>
                  </w:pPr>
                </w:p>
              </w:tc>
            </w:tr>
            <w:tr w14:paraId="4B04A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Merge w:val="continue"/>
                  <w:vAlign w:val="center"/>
                </w:tcPr>
                <w:p w14:paraId="7069DB85">
                  <w:pPr>
                    <w:bidi w:val="0"/>
                    <w:jc w:val="center"/>
                    <w:rPr>
                      <w:rFonts w:hint="eastAsia"/>
                      <w:color w:val="000000" w:themeColor="text1"/>
                      <w:highlight w:val="none"/>
                      <w14:textFill>
                        <w14:solidFill>
                          <w14:schemeClr w14:val="tx1"/>
                        </w14:solidFill>
                      </w14:textFill>
                    </w:rPr>
                  </w:pPr>
                </w:p>
              </w:tc>
              <w:tc>
                <w:tcPr>
                  <w:tcW w:w="3420" w:type="dxa"/>
                  <w:vAlign w:val="center"/>
                </w:tcPr>
                <w:p w14:paraId="77BEF5BF">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汽车和船舶零部件</w:t>
                  </w:r>
                </w:p>
              </w:tc>
              <w:tc>
                <w:tcPr>
                  <w:tcW w:w="2928" w:type="dxa"/>
                  <w:vMerge w:val="continue"/>
                  <w:vAlign w:val="center"/>
                </w:tcPr>
                <w:p w14:paraId="70ECA63B">
                  <w:pPr>
                    <w:bidi w:val="0"/>
                    <w:jc w:val="center"/>
                    <w:rPr>
                      <w:rFonts w:hint="eastAsia"/>
                      <w:color w:val="000000" w:themeColor="text1"/>
                      <w:highlight w:val="none"/>
                      <w14:textFill>
                        <w14:solidFill>
                          <w14:schemeClr w14:val="tx1"/>
                        </w14:solidFill>
                      </w14:textFill>
                    </w:rPr>
                  </w:pPr>
                </w:p>
              </w:tc>
            </w:tr>
            <w:tr w14:paraId="20B0A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Merge w:val="continue"/>
                  <w:vAlign w:val="center"/>
                </w:tcPr>
                <w:p w14:paraId="4B5FFCE8">
                  <w:pPr>
                    <w:bidi w:val="0"/>
                    <w:jc w:val="center"/>
                    <w:rPr>
                      <w:rFonts w:hint="eastAsia"/>
                      <w:color w:val="000000" w:themeColor="text1"/>
                      <w:highlight w:val="none"/>
                      <w14:textFill>
                        <w14:solidFill>
                          <w14:schemeClr w14:val="tx1"/>
                        </w14:solidFill>
                      </w14:textFill>
                    </w:rPr>
                  </w:pPr>
                </w:p>
              </w:tc>
              <w:tc>
                <w:tcPr>
                  <w:tcW w:w="3420" w:type="dxa"/>
                  <w:vAlign w:val="center"/>
                </w:tcPr>
                <w:p w14:paraId="6B9E6A20">
                  <w:pPr>
                    <w:bidi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智能化测量及自动控制装备制造业</w:t>
                  </w:r>
                </w:p>
              </w:tc>
              <w:tc>
                <w:tcPr>
                  <w:tcW w:w="2928" w:type="dxa"/>
                  <w:vMerge w:val="continue"/>
                  <w:vAlign w:val="center"/>
                </w:tcPr>
                <w:p w14:paraId="566D3A50">
                  <w:pPr>
                    <w:bidi w:val="0"/>
                    <w:jc w:val="center"/>
                    <w:rPr>
                      <w:rFonts w:hint="eastAsia"/>
                      <w:color w:val="000000" w:themeColor="text1"/>
                      <w:highlight w:val="none"/>
                      <w14:textFill>
                        <w14:solidFill>
                          <w14:schemeClr w14:val="tx1"/>
                        </w14:solidFill>
                      </w14:textFill>
                    </w:rPr>
                  </w:pPr>
                </w:p>
              </w:tc>
            </w:tr>
          </w:tbl>
          <w:p w14:paraId="0EC49D50">
            <w:pPr>
              <w:autoSpaceDE w:val="0"/>
              <w:autoSpaceDN w:val="0"/>
              <w:adjustRightInd w:val="0"/>
              <w:snapToGrid w:val="0"/>
              <w:spacing w:before="120" w:beforeLines="50" w:line="360" w:lineRule="auto"/>
              <w:jc w:val="center"/>
              <w:rPr>
                <w:rFonts w:hint="eastAsia" w:ascii="宋体" w:cs="宋体"/>
                <w:color w:val="000000" w:themeColor="text1"/>
                <w:kern w:val="0"/>
                <w:sz w:val="24"/>
                <w:szCs w:val="21"/>
                <w:highlight w:val="none"/>
                <w14:textFill>
                  <w14:solidFill>
                    <w14:schemeClr w14:val="tx1"/>
                  </w14:solidFill>
                </w14:textFill>
              </w:rPr>
            </w:pPr>
            <w:r>
              <w:rPr>
                <w:b/>
                <w:color w:val="000000" w:themeColor="text1"/>
                <w:kern w:val="0"/>
                <w:sz w:val="24"/>
                <w:szCs w:val="24"/>
                <w:highlight w:val="none"/>
                <w14:textFill>
                  <w14:solidFill>
                    <w14:schemeClr w14:val="tx1"/>
                  </w14:solidFill>
                </w14:textFill>
              </w:rPr>
              <w:t>表</w:t>
            </w:r>
            <w:r>
              <w:rPr>
                <w:rFonts w:hint="eastAsia"/>
                <w:b/>
                <w:color w:val="000000" w:themeColor="text1"/>
                <w:kern w:val="0"/>
                <w:sz w:val="24"/>
                <w:szCs w:val="24"/>
                <w:highlight w:val="none"/>
                <w14:textFill>
                  <w14:solidFill>
                    <w14:schemeClr w14:val="tx1"/>
                  </w14:solidFill>
                </w14:textFill>
              </w:rPr>
              <w:t xml:space="preserve"> </w:t>
            </w:r>
            <w:r>
              <w:rPr>
                <w:b/>
                <w:color w:val="000000" w:themeColor="text1"/>
                <w:kern w:val="0"/>
                <w:sz w:val="24"/>
                <w:szCs w:val="24"/>
                <w:highlight w:val="none"/>
                <w14:textFill>
                  <w14:solidFill>
                    <w14:schemeClr w14:val="tx1"/>
                  </w14:solidFill>
                </w14:textFill>
              </w:rPr>
              <w:t>1-</w:t>
            </w:r>
            <w:r>
              <w:rPr>
                <w:rFonts w:hint="eastAsia"/>
                <w:b/>
                <w:color w:val="000000" w:themeColor="text1"/>
                <w:kern w:val="0"/>
                <w:sz w:val="24"/>
                <w:szCs w:val="24"/>
                <w:highlight w:val="none"/>
                <w:lang w:val="en-US" w:eastAsia="zh-CN"/>
                <w14:textFill>
                  <w14:solidFill>
                    <w14:schemeClr w14:val="tx1"/>
                  </w14:solidFill>
                </w14:textFill>
              </w:rPr>
              <w:t>3</w:t>
            </w:r>
            <w:r>
              <w:rPr>
                <w:b/>
                <w:color w:val="000000" w:themeColor="text1"/>
                <w:kern w:val="0"/>
                <w:sz w:val="24"/>
                <w:szCs w:val="24"/>
                <w:highlight w:val="none"/>
                <w14:textFill>
                  <w14:solidFill>
                    <w14:schemeClr w14:val="tx1"/>
                  </w14:solidFill>
                </w14:textFill>
              </w:rPr>
              <w:t xml:space="preserve">  福州生物医药及机电产业园产业环保准入条件符合性分析</w:t>
            </w:r>
          </w:p>
          <w:tbl>
            <w:tblPr>
              <w:tblStyle w:val="30"/>
              <w:tblW w:w="79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57" w:type="dxa"/>
                <w:bottom w:w="0" w:type="dxa"/>
                <w:right w:w="57" w:type="dxa"/>
              </w:tblCellMar>
            </w:tblPr>
            <w:tblGrid>
              <w:gridCol w:w="579"/>
              <w:gridCol w:w="1245"/>
              <w:gridCol w:w="795"/>
              <w:gridCol w:w="570"/>
              <w:gridCol w:w="570"/>
              <w:gridCol w:w="570"/>
              <w:gridCol w:w="705"/>
              <w:gridCol w:w="2220"/>
              <w:gridCol w:w="678"/>
            </w:tblGrid>
            <w:tr w14:paraId="4222F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trHeight w:val="23" w:hRule="atLeast"/>
                <w:jc w:val="center"/>
              </w:trPr>
              <w:tc>
                <w:tcPr>
                  <w:tcW w:w="1824" w:type="dxa"/>
                  <w:gridSpan w:val="2"/>
                  <w:tcBorders>
                    <w:tl2br w:val="nil"/>
                    <w:tr2bl w:val="nil"/>
                  </w:tcBorders>
                  <w:shd w:val="clear" w:color="auto" w:fill="auto"/>
                  <w:vAlign w:val="center"/>
                </w:tcPr>
                <w:p w14:paraId="2D1DEE3E">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片区</w:t>
                  </w:r>
                </w:p>
              </w:tc>
              <w:tc>
                <w:tcPr>
                  <w:tcW w:w="5430" w:type="dxa"/>
                  <w:gridSpan w:val="6"/>
                  <w:tcBorders>
                    <w:tl2br w:val="nil"/>
                    <w:tr2bl w:val="nil"/>
                  </w:tcBorders>
                  <w:shd w:val="clear" w:color="auto" w:fill="auto"/>
                  <w:vAlign w:val="center"/>
                </w:tcPr>
                <w:p w14:paraId="38132B49">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机电</w:t>
                  </w:r>
                </w:p>
              </w:tc>
              <w:tc>
                <w:tcPr>
                  <w:tcW w:w="678" w:type="dxa"/>
                  <w:vMerge w:val="restart"/>
                  <w:tcBorders>
                    <w:tl2br w:val="nil"/>
                    <w:tr2bl w:val="nil"/>
                  </w:tcBorders>
                  <w:shd w:val="clear" w:color="auto" w:fill="auto"/>
                  <w:vAlign w:val="center"/>
                </w:tcPr>
                <w:p w14:paraId="4F3531A8">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符合性分析</w:t>
                  </w:r>
                </w:p>
              </w:tc>
            </w:tr>
            <w:tr w14:paraId="0959B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1824" w:type="dxa"/>
                  <w:gridSpan w:val="2"/>
                  <w:tcBorders>
                    <w:tl2br w:val="nil"/>
                    <w:tr2bl w:val="nil"/>
                  </w:tcBorders>
                  <w:shd w:val="clear" w:color="auto" w:fill="auto"/>
                  <w:vAlign w:val="center"/>
                </w:tcPr>
                <w:p w14:paraId="5EE83099">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规划产业</w:t>
                  </w:r>
                </w:p>
              </w:tc>
              <w:tc>
                <w:tcPr>
                  <w:tcW w:w="3210" w:type="dxa"/>
                  <w:gridSpan w:val="5"/>
                  <w:tcBorders>
                    <w:tl2br w:val="nil"/>
                    <w:tr2bl w:val="nil"/>
                  </w:tcBorders>
                  <w:shd w:val="clear" w:color="auto" w:fill="auto"/>
                  <w:vAlign w:val="center"/>
                </w:tcPr>
                <w:p w14:paraId="2EF32BC5">
                  <w:pPr>
                    <w:jc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科研型光电、通信产业</w:t>
                  </w:r>
                </w:p>
              </w:tc>
              <w:tc>
                <w:tcPr>
                  <w:tcW w:w="2220" w:type="dxa"/>
                  <w:tcBorders>
                    <w:tl2br w:val="nil"/>
                    <w:tr2bl w:val="nil"/>
                  </w:tcBorders>
                  <w:shd w:val="clear" w:color="auto" w:fill="auto"/>
                  <w:vAlign w:val="center"/>
                </w:tcPr>
                <w:p w14:paraId="73964579">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本项</w:t>
                  </w:r>
                  <w:r>
                    <w:rPr>
                      <w:rStyle w:val="101"/>
                      <w:color w:val="000000" w:themeColor="text1"/>
                      <w:highlight w:val="none"/>
                      <w:lang w:val="en-US" w:eastAsia="zh-CN" w:bidi="ar"/>
                      <w14:textFill>
                        <w14:solidFill>
                          <w14:schemeClr w14:val="tx1"/>
                        </w14:solidFill>
                      </w14:textFill>
                    </w:rPr>
                    <w:t>目</w:t>
                  </w:r>
                </w:p>
              </w:tc>
              <w:tc>
                <w:tcPr>
                  <w:tcW w:w="678" w:type="dxa"/>
                  <w:vMerge w:val="continue"/>
                  <w:tcBorders>
                    <w:tl2br w:val="nil"/>
                    <w:tr2bl w:val="nil"/>
                  </w:tcBorders>
                  <w:shd w:val="clear" w:color="auto" w:fill="auto"/>
                  <w:vAlign w:val="center"/>
                </w:tcPr>
                <w:p w14:paraId="6498121B">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23904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579" w:type="dxa"/>
                  <w:vMerge w:val="restart"/>
                  <w:tcBorders>
                    <w:tl2br w:val="nil"/>
                    <w:tr2bl w:val="nil"/>
                  </w:tcBorders>
                  <w:shd w:val="clear" w:color="auto" w:fill="auto"/>
                  <w:vAlign w:val="center"/>
                </w:tcPr>
                <w:p w14:paraId="5346140D">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准入条件</w:t>
                  </w:r>
                </w:p>
              </w:tc>
              <w:tc>
                <w:tcPr>
                  <w:tcW w:w="1245" w:type="dxa"/>
                  <w:tcBorders>
                    <w:tl2br w:val="nil"/>
                    <w:tr2bl w:val="nil"/>
                  </w:tcBorders>
                  <w:shd w:val="clear" w:color="auto" w:fill="auto"/>
                  <w:vAlign w:val="center"/>
                </w:tcPr>
                <w:p w14:paraId="0BCBAD03">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产业小类</w:t>
                  </w:r>
                </w:p>
              </w:tc>
              <w:tc>
                <w:tcPr>
                  <w:tcW w:w="795" w:type="dxa"/>
                  <w:tcBorders>
                    <w:tl2br w:val="nil"/>
                    <w:tr2bl w:val="nil"/>
                  </w:tcBorders>
                  <w:shd w:val="clear" w:color="auto" w:fill="auto"/>
                  <w:vAlign w:val="center"/>
                </w:tcPr>
                <w:p w14:paraId="6E8CB876">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液晶、发光二极管显示屏</w:t>
                  </w:r>
                </w:p>
              </w:tc>
              <w:tc>
                <w:tcPr>
                  <w:tcW w:w="570" w:type="dxa"/>
                  <w:tcBorders>
                    <w:tl2br w:val="nil"/>
                    <w:tr2bl w:val="nil"/>
                  </w:tcBorders>
                  <w:shd w:val="clear" w:color="auto" w:fill="auto"/>
                  <w:vAlign w:val="center"/>
                </w:tcPr>
                <w:p w14:paraId="45C8D2A3">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光电器件</w:t>
                  </w:r>
                </w:p>
              </w:tc>
              <w:tc>
                <w:tcPr>
                  <w:tcW w:w="570" w:type="dxa"/>
                  <w:tcBorders>
                    <w:tl2br w:val="nil"/>
                    <w:tr2bl w:val="nil"/>
                  </w:tcBorders>
                  <w:shd w:val="clear" w:color="auto" w:fill="auto"/>
                  <w:vAlign w:val="center"/>
                </w:tcPr>
                <w:p w14:paraId="2260EC06">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激光产业</w:t>
                  </w:r>
                </w:p>
              </w:tc>
              <w:tc>
                <w:tcPr>
                  <w:tcW w:w="570" w:type="dxa"/>
                  <w:tcBorders>
                    <w:tl2br w:val="nil"/>
                    <w:tr2bl w:val="nil"/>
                  </w:tcBorders>
                  <w:shd w:val="clear" w:color="auto" w:fill="auto"/>
                  <w:vAlign w:val="center"/>
                </w:tcPr>
                <w:p w14:paraId="495A94F9">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光学产业</w:t>
                  </w:r>
                </w:p>
              </w:tc>
              <w:tc>
                <w:tcPr>
                  <w:tcW w:w="705" w:type="dxa"/>
                  <w:tcBorders>
                    <w:tl2br w:val="nil"/>
                    <w:tr2bl w:val="nil"/>
                  </w:tcBorders>
                  <w:shd w:val="clear" w:color="auto" w:fill="auto"/>
                  <w:vAlign w:val="center"/>
                </w:tcPr>
                <w:p w14:paraId="7C875155">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数字电子设备</w:t>
                  </w:r>
                </w:p>
              </w:tc>
              <w:tc>
                <w:tcPr>
                  <w:tcW w:w="2220" w:type="dxa"/>
                  <w:tcBorders>
                    <w:tl2br w:val="nil"/>
                    <w:tr2bl w:val="nil"/>
                  </w:tcBorders>
                  <w:shd w:val="clear" w:color="auto" w:fill="auto"/>
                  <w:vAlign w:val="center"/>
                </w:tcPr>
                <w:p w14:paraId="10494ADF">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光电器件</w:t>
                  </w:r>
                </w:p>
              </w:tc>
              <w:tc>
                <w:tcPr>
                  <w:tcW w:w="678" w:type="dxa"/>
                  <w:vMerge w:val="continue"/>
                  <w:tcBorders>
                    <w:tl2br w:val="nil"/>
                    <w:tr2bl w:val="nil"/>
                  </w:tcBorders>
                  <w:shd w:val="clear" w:color="auto" w:fill="auto"/>
                  <w:vAlign w:val="center"/>
                </w:tcPr>
                <w:p w14:paraId="43C634AE">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0B909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579" w:type="dxa"/>
                  <w:vMerge w:val="continue"/>
                  <w:tcBorders>
                    <w:tl2br w:val="nil"/>
                    <w:tr2bl w:val="nil"/>
                  </w:tcBorders>
                  <w:shd w:val="clear" w:color="auto" w:fill="auto"/>
                  <w:vAlign w:val="center"/>
                </w:tcPr>
                <w:p w14:paraId="3699FF57">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245" w:type="dxa"/>
                  <w:tcBorders>
                    <w:tl2br w:val="nil"/>
                    <w:tr2bl w:val="nil"/>
                  </w:tcBorders>
                  <w:shd w:val="clear" w:color="auto" w:fill="auto"/>
                  <w:vAlign w:val="center"/>
                </w:tcPr>
                <w:p w14:paraId="7C8B2528">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生产规模、工艺、产品</w:t>
                  </w:r>
                </w:p>
              </w:tc>
              <w:tc>
                <w:tcPr>
                  <w:tcW w:w="3210" w:type="dxa"/>
                  <w:gridSpan w:val="5"/>
                  <w:tcBorders>
                    <w:tl2br w:val="nil"/>
                    <w:tr2bl w:val="nil"/>
                  </w:tcBorders>
                  <w:shd w:val="clear" w:color="auto" w:fill="auto"/>
                  <w:vAlign w:val="center"/>
                </w:tcPr>
                <w:p w14:paraId="140AFB94">
                  <w:pPr>
                    <w:keepNext w:val="0"/>
                    <w:keepLines w:val="0"/>
                    <w:widowControl/>
                    <w:suppressLineNumbers w:val="0"/>
                    <w:jc w:val="both"/>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r>
                    <w:rPr>
                      <w:rStyle w:val="101"/>
                      <w:color w:val="000000" w:themeColor="text1"/>
                      <w:highlight w:val="none"/>
                      <w:lang w:val="en-US" w:eastAsia="zh-CN" w:bidi="ar"/>
                      <w14:textFill>
                        <w14:solidFill>
                          <w14:schemeClr w14:val="tx1"/>
                        </w14:solidFill>
                      </w14:textFill>
                    </w:rPr>
                    <w:t>、配套电镀工序须执行福州市有关文件要求；</w:t>
                  </w:r>
                  <w:r>
                    <w:rPr>
                      <w:rStyle w:val="102"/>
                      <w:rFonts w:eastAsia="宋体"/>
                      <w:color w:val="000000" w:themeColor="text1"/>
                      <w:highlight w:val="none"/>
                      <w:lang w:val="en-US" w:eastAsia="zh-CN" w:bidi="ar"/>
                      <w14:textFill>
                        <w14:solidFill>
                          <w14:schemeClr w14:val="tx1"/>
                        </w14:solidFill>
                      </w14:textFill>
                    </w:rPr>
                    <w:t>2</w:t>
                  </w:r>
                  <w:r>
                    <w:rPr>
                      <w:rStyle w:val="101"/>
                      <w:color w:val="000000" w:themeColor="text1"/>
                      <w:highlight w:val="none"/>
                      <w:lang w:val="en-US" w:eastAsia="zh-CN" w:bidi="ar"/>
                      <w14:textFill>
                        <w14:solidFill>
                          <w14:schemeClr w14:val="tx1"/>
                        </w14:solidFill>
                      </w14:textFill>
                    </w:rPr>
                    <w:t>、规模限制按照产 品不同参考《产业结构调整目录》；</w:t>
                  </w:r>
                  <w:r>
                    <w:rPr>
                      <w:rStyle w:val="102"/>
                      <w:rFonts w:eastAsia="宋体"/>
                      <w:color w:val="000000" w:themeColor="text1"/>
                      <w:highlight w:val="none"/>
                      <w:lang w:val="en-US" w:eastAsia="zh-CN" w:bidi="ar"/>
                      <w14:textFill>
                        <w14:solidFill>
                          <w14:schemeClr w14:val="tx1"/>
                        </w14:solidFill>
                      </w14:textFill>
                    </w:rPr>
                    <w:t>3</w:t>
                  </w:r>
                  <w:r>
                    <w:rPr>
                      <w:rStyle w:val="101"/>
                      <w:color w:val="000000" w:themeColor="text1"/>
                      <w:highlight w:val="none"/>
                      <w:lang w:val="en-US" w:eastAsia="zh-CN" w:bidi="ar"/>
                      <w14:textFill>
                        <w14:solidFill>
                          <w14:schemeClr w14:val="tx1"/>
                        </w14:solidFill>
                      </w14:textFill>
                    </w:rPr>
                    <w:t>、限制产生酸性气体的行业；</w:t>
                  </w:r>
                  <w:r>
                    <w:rPr>
                      <w:rStyle w:val="102"/>
                      <w:rFonts w:eastAsia="宋体"/>
                      <w:color w:val="000000" w:themeColor="text1"/>
                      <w:highlight w:val="none"/>
                      <w:lang w:val="en-US" w:eastAsia="zh-CN" w:bidi="ar"/>
                      <w14:textFill>
                        <w14:solidFill>
                          <w14:schemeClr w14:val="tx1"/>
                        </w14:solidFill>
                      </w14:textFill>
                    </w:rPr>
                    <w:t>4</w:t>
                  </w:r>
                  <w:r>
                    <w:rPr>
                      <w:rStyle w:val="101"/>
                      <w:color w:val="000000" w:themeColor="text1"/>
                      <w:highlight w:val="none"/>
                      <w:lang w:val="en-US" w:eastAsia="zh-CN" w:bidi="ar"/>
                      <w14:textFill>
                        <w14:solidFill>
                          <w14:schemeClr w14:val="tx1"/>
                        </w14:solidFill>
                      </w14:textFill>
                    </w:rPr>
                    <w:t>、排放特殊污染物的行业需自行处 理废水达到污水处理厂收纳废水的标准；</w:t>
                  </w:r>
                  <w:r>
                    <w:rPr>
                      <w:rStyle w:val="102"/>
                      <w:rFonts w:eastAsia="宋体"/>
                      <w:color w:val="000000" w:themeColor="text1"/>
                      <w:highlight w:val="none"/>
                      <w:lang w:val="en-US" w:eastAsia="zh-CN" w:bidi="ar"/>
                      <w14:textFill>
                        <w14:solidFill>
                          <w14:schemeClr w14:val="tx1"/>
                        </w14:solidFill>
                      </w14:textFill>
                    </w:rPr>
                    <w:t>5</w:t>
                  </w:r>
                  <w:r>
                    <w:rPr>
                      <w:rStyle w:val="101"/>
                      <w:color w:val="000000" w:themeColor="text1"/>
                      <w:highlight w:val="none"/>
                      <w:lang w:val="en-US" w:eastAsia="zh-CN" w:bidi="ar"/>
                      <w14:textFill>
                        <w14:solidFill>
                          <w14:schemeClr w14:val="tx1"/>
                        </w14:solidFill>
                      </w14:textFill>
                    </w:rPr>
                    <w:t>、引进企业清洁生产水平必须达到国内先进及以上水平。</w:t>
                  </w:r>
                </w:p>
              </w:tc>
              <w:tc>
                <w:tcPr>
                  <w:tcW w:w="2220" w:type="dxa"/>
                  <w:tcBorders>
                    <w:tl2br w:val="nil"/>
                    <w:tr2bl w:val="nil"/>
                  </w:tcBorders>
                  <w:shd w:val="clear" w:color="auto" w:fill="auto"/>
                  <w:vAlign w:val="center"/>
                </w:tcPr>
                <w:p w14:paraId="3CD8C6B5">
                  <w:pPr>
                    <w:keepNext w:val="0"/>
                    <w:keepLines w:val="0"/>
                    <w:widowControl/>
                    <w:suppressLineNumbers w:val="0"/>
                    <w:jc w:val="both"/>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项目不涉及电镀工艺，规模符合《产业结构调整目录》，产生酸性气体很小，工业废水经自建废水处理设施处理达标后，送往福州大学城污水处理厂集中处理，企业清洁生</w:t>
                  </w:r>
                  <w:r>
                    <w:rPr>
                      <w:rStyle w:val="101"/>
                      <w:color w:val="000000" w:themeColor="text1"/>
                      <w:highlight w:val="none"/>
                      <w:lang w:val="en-US" w:eastAsia="zh-CN" w:bidi="ar"/>
                      <w14:textFill>
                        <w14:solidFill>
                          <w14:schemeClr w14:val="tx1"/>
                        </w14:solidFill>
                      </w14:textFill>
                    </w:rPr>
                    <w:t>产水平达到国内先进水平。</w:t>
                  </w:r>
                </w:p>
              </w:tc>
              <w:tc>
                <w:tcPr>
                  <w:tcW w:w="678" w:type="dxa"/>
                  <w:tcBorders>
                    <w:tl2br w:val="nil"/>
                    <w:tr2bl w:val="nil"/>
                  </w:tcBorders>
                  <w:shd w:val="clear" w:color="auto" w:fill="auto"/>
                  <w:vAlign w:val="center"/>
                </w:tcPr>
                <w:p w14:paraId="09FA630A">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符合</w:t>
                  </w:r>
                </w:p>
              </w:tc>
            </w:tr>
            <w:tr w14:paraId="1872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579" w:type="dxa"/>
                  <w:vMerge w:val="continue"/>
                  <w:tcBorders>
                    <w:tl2br w:val="nil"/>
                    <w:tr2bl w:val="nil"/>
                  </w:tcBorders>
                  <w:shd w:val="clear" w:color="auto" w:fill="auto"/>
                  <w:vAlign w:val="center"/>
                </w:tcPr>
                <w:p w14:paraId="48961105">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245" w:type="dxa"/>
                  <w:tcBorders>
                    <w:tl2br w:val="nil"/>
                    <w:tr2bl w:val="nil"/>
                  </w:tcBorders>
                  <w:shd w:val="clear" w:color="auto" w:fill="auto"/>
                  <w:vAlign w:val="center"/>
                </w:tcPr>
                <w:p w14:paraId="5CD06517">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土地投资强度</w:t>
                  </w:r>
                  <w:r>
                    <w:rPr>
                      <w:rStyle w:val="101"/>
                      <w:color w:val="000000" w:themeColor="text1"/>
                      <w:highlight w:val="none"/>
                      <w:lang w:val="en-US" w:eastAsia="zh-CN" w:bidi="ar"/>
                      <w14:textFill>
                        <w14:solidFill>
                          <w14:schemeClr w14:val="tx1"/>
                        </w14:solidFill>
                      </w14:textFill>
                    </w:rPr>
                    <w:t>万元</w:t>
                  </w:r>
                  <w:r>
                    <w:rPr>
                      <w:rStyle w:val="102"/>
                      <w:rFonts w:eastAsia="宋体"/>
                      <w:color w:val="000000" w:themeColor="text1"/>
                      <w:highlight w:val="none"/>
                      <w:lang w:val="en-US" w:eastAsia="zh-CN" w:bidi="ar"/>
                      <w14:textFill>
                        <w14:solidFill>
                          <w14:schemeClr w14:val="tx1"/>
                        </w14:solidFill>
                      </w14:textFill>
                    </w:rPr>
                    <w:t>/</w:t>
                  </w:r>
                  <w:r>
                    <w:rPr>
                      <w:rStyle w:val="101"/>
                      <w:color w:val="000000" w:themeColor="text1"/>
                      <w:highlight w:val="none"/>
                      <w:lang w:val="en-US" w:eastAsia="zh-CN" w:bidi="ar"/>
                      <w14:textFill>
                        <w14:solidFill>
                          <w14:schemeClr w14:val="tx1"/>
                        </w14:solidFill>
                      </w14:textFill>
                    </w:rPr>
                    <w:t>亩</w:t>
                  </w:r>
                </w:p>
              </w:tc>
              <w:tc>
                <w:tcPr>
                  <w:tcW w:w="3210" w:type="dxa"/>
                  <w:gridSpan w:val="5"/>
                  <w:tcBorders>
                    <w:tl2br w:val="nil"/>
                    <w:tr2bl w:val="nil"/>
                  </w:tcBorders>
                  <w:shd w:val="clear" w:color="auto" w:fill="auto"/>
                  <w:vAlign w:val="center"/>
                </w:tcPr>
                <w:p w14:paraId="189478A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300</w:t>
                  </w:r>
                </w:p>
              </w:tc>
              <w:tc>
                <w:tcPr>
                  <w:tcW w:w="2220" w:type="dxa"/>
                  <w:tcBorders>
                    <w:tl2br w:val="nil"/>
                    <w:tr2bl w:val="nil"/>
                  </w:tcBorders>
                  <w:shd w:val="clear" w:color="auto" w:fill="auto"/>
                  <w:vAlign w:val="center"/>
                </w:tcPr>
                <w:p w14:paraId="2E871D6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1124</w:t>
                  </w:r>
                </w:p>
              </w:tc>
              <w:tc>
                <w:tcPr>
                  <w:tcW w:w="678" w:type="dxa"/>
                  <w:tcBorders>
                    <w:tl2br w:val="nil"/>
                    <w:tr2bl w:val="nil"/>
                  </w:tcBorders>
                  <w:shd w:val="clear" w:color="auto" w:fill="auto"/>
                  <w:vAlign w:val="center"/>
                </w:tcPr>
                <w:p w14:paraId="28B22A45">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符合</w:t>
                  </w:r>
                </w:p>
              </w:tc>
            </w:tr>
            <w:tr w14:paraId="67B7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579" w:type="dxa"/>
                  <w:vMerge w:val="continue"/>
                  <w:tcBorders>
                    <w:tl2br w:val="nil"/>
                    <w:tr2bl w:val="nil"/>
                  </w:tcBorders>
                  <w:shd w:val="clear" w:color="auto" w:fill="auto"/>
                  <w:vAlign w:val="center"/>
                </w:tcPr>
                <w:p w14:paraId="02CD4375">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245" w:type="dxa"/>
                  <w:tcBorders>
                    <w:tl2br w:val="nil"/>
                    <w:tr2bl w:val="nil"/>
                  </w:tcBorders>
                  <w:shd w:val="clear" w:color="auto" w:fill="auto"/>
                  <w:vAlign w:val="center"/>
                </w:tcPr>
                <w:p w14:paraId="120F27B3">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工业用水重复利用率</w:t>
                  </w:r>
                </w:p>
              </w:tc>
              <w:tc>
                <w:tcPr>
                  <w:tcW w:w="3210" w:type="dxa"/>
                  <w:gridSpan w:val="5"/>
                  <w:tcBorders>
                    <w:tl2br w:val="nil"/>
                    <w:tr2bl w:val="nil"/>
                  </w:tcBorders>
                  <w:shd w:val="clear" w:color="auto" w:fill="auto"/>
                  <w:vAlign w:val="center"/>
                </w:tcPr>
                <w:p w14:paraId="236DFF49">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≥75%</w:t>
                  </w:r>
                </w:p>
              </w:tc>
              <w:tc>
                <w:tcPr>
                  <w:tcW w:w="2220" w:type="dxa"/>
                  <w:tcBorders>
                    <w:tl2br w:val="nil"/>
                    <w:tr2bl w:val="nil"/>
                  </w:tcBorders>
                  <w:shd w:val="clear" w:color="auto" w:fill="auto"/>
                  <w:vAlign w:val="center"/>
                </w:tcPr>
                <w:p w14:paraId="33125792">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678" w:type="dxa"/>
                  <w:tcBorders>
                    <w:tl2br w:val="nil"/>
                    <w:tr2bl w:val="nil"/>
                  </w:tcBorders>
                  <w:shd w:val="clear" w:color="auto" w:fill="auto"/>
                  <w:vAlign w:val="center"/>
                </w:tcPr>
                <w:p w14:paraId="342EC189">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符合</w:t>
                  </w:r>
                </w:p>
              </w:tc>
            </w:tr>
            <w:tr w14:paraId="154F4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579" w:type="dxa"/>
                  <w:vMerge w:val="continue"/>
                  <w:tcBorders>
                    <w:tl2br w:val="nil"/>
                    <w:tr2bl w:val="nil"/>
                  </w:tcBorders>
                  <w:shd w:val="clear" w:color="auto" w:fill="auto"/>
                  <w:vAlign w:val="center"/>
                </w:tcPr>
                <w:p w14:paraId="426F9E3F">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245" w:type="dxa"/>
                  <w:tcBorders>
                    <w:tl2br w:val="nil"/>
                    <w:tr2bl w:val="nil"/>
                  </w:tcBorders>
                  <w:shd w:val="clear" w:color="auto" w:fill="auto"/>
                  <w:vAlign w:val="center"/>
                </w:tcPr>
                <w:p w14:paraId="4421FDE4">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新鲜水耗</w:t>
                  </w:r>
                  <w:r>
                    <w:rPr>
                      <w:rStyle w:val="102"/>
                      <w:rFonts w:eastAsia="宋体"/>
                      <w:color w:val="000000" w:themeColor="text1"/>
                      <w:highlight w:val="none"/>
                      <w:lang w:val="en-US" w:eastAsia="zh-CN" w:bidi="ar"/>
                      <w14:textFill>
                        <w14:solidFill>
                          <w14:schemeClr w14:val="tx1"/>
                        </w14:solidFill>
                      </w14:textFill>
                    </w:rPr>
                    <w:t>m</w:t>
                  </w:r>
                  <w:r>
                    <w:rPr>
                      <w:rStyle w:val="103"/>
                      <w:rFonts w:eastAsia="宋体"/>
                      <w:color w:val="000000" w:themeColor="text1"/>
                      <w:highlight w:val="none"/>
                      <w:lang w:val="en-US" w:eastAsia="zh-CN" w:bidi="ar"/>
                      <w14:textFill>
                        <w14:solidFill>
                          <w14:schemeClr w14:val="tx1"/>
                        </w14:solidFill>
                      </w14:textFill>
                    </w:rPr>
                    <w:t>3</w:t>
                  </w:r>
                  <w:r>
                    <w:rPr>
                      <w:rStyle w:val="102"/>
                      <w:rFonts w:eastAsia="宋体"/>
                      <w:color w:val="000000" w:themeColor="text1"/>
                      <w:highlight w:val="none"/>
                      <w:lang w:val="en-US" w:eastAsia="zh-CN" w:bidi="ar"/>
                      <w14:textFill>
                        <w14:solidFill>
                          <w14:schemeClr w14:val="tx1"/>
                        </w14:solidFill>
                      </w14:textFill>
                    </w:rPr>
                    <w:t>/</w:t>
                  </w:r>
                  <w:r>
                    <w:rPr>
                      <w:rStyle w:val="101"/>
                      <w:color w:val="000000" w:themeColor="text1"/>
                      <w:highlight w:val="none"/>
                      <w:lang w:val="en-US" w:eastAsia="zh-CN" w:bidi="ar"/>
                      <w14:textFill>
                        <w14:solidFill>
                          <w14:schemeClr w14:val="tx1"/>
                        </w14:solidFill>
                      </w14:textFill>
                    </w:rPr>
                    <w:t>万元</w:t>
                  </w:r>
                </w:p>
              </w:tc>
              <w:tc>
                <w:tcPr>
                  <w:tcW w:w="3210" w:type="dxa"/>
                  <w:gridSpan w:val="5"/>
                  <w:tcBorders>
                    <w:tl2br w:val="nil"/>
                    <w:tr2bl w:val="nil"/>
                  </w:tcBorders>
                  <w:shd w:val="clear" w:color="auto" w:fill="auto"/>
                  <w:vAlign w:val="center"/>
                </w:tcPr>
                <w:p w14:paraId="4E1D6D95">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w:t>
                  </w:r>
                </w:p>
              </w:tc>
              <w:tc>
                <w:tcPr>
                  <w:tcW w:w="2220" w:type="dxa"/>
                  <w:tcBorders>
                    <w:tl2br w:val="nil"/>
                    <w:tr2bl w:val="nil"/>
                  </w:tcBorders>
                  <w:shd w:val="clear" w:color="auto" w:fill="auto"/>
                  <w:vAlign w:val="center"/>
                </w:tcPr>
                <w:p w14:paraId="14E8052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0.84</w:t>
                  </w:r>
                </w:p>
              </w:tc>
              <w:tc>
                <w:tcPr>
                  <w:tcW w:w="678" w:type="dxa"/>
                  <w:tcBorders>
                    <w:tl2br w:val="nil"/>
                    <w:tr2bl w:val="nil"/>
                  </w:tcBorders>
                  <w:shd w:val="clear" w:color="auto" w:fill="auto"/>
                  <w:vAlign w:val="center"/>
                </w:tcPr>
                <w:p w14:paraId="0E534561">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符合</w:t>
                  </w:r>
                </w:p>
              </w:tc>
            </w:tr>
            <w:tr w14:paraId="6A2E0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579" w:type="dxa"/>
                  <w:vMerge w:val="continue"/>
                  <w:tcBorders>
                    <w:tl2br w:val="nil"/>
                    <w:tr2bl w:val="nil"/>
                  </w:tcBorders>
                  <w:shd w:val="clear" w:color="auto" w:fill="auto"/>
                  <w:vAlign w:val="center"/>
                </w:tcPr>
                <w:p w14:paraId="283F0E9F">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245" w:type="dxa"/>
                  <w:tcBorders>
                    <w:tl2br w:val="nil"/>
                    <w:tr2bl w:val="nil"/>
                  </w:tcBorders>
                  <w:shd w:val="clear" w:color="auto" w:fill="auto"/>
                  <w:vAlign w:val="center"/>
                </w:tcPr>
                <w:p w14:paraId="68DE05A8">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综合能耗标准煤</w:t>
                  </w:r>
                  <w:r>
                    <w:rPr>
                      <w:rStyle w:val="102"/>
                      <w:rFonts w:eastAsia="宋体"/>
                      <w:color w:val="000000" w:themeColor="text1"/>
                      <w:highlight w:val="none"/>
                      <w:lang w:val="en-US" w:eastAsia="zh-CN" w:bidi="ar"/>
                      <w14:textFill>
                        <w14:solidFill>
                          <w14:schemeClr w14:val="tx1"/>
                        </w14:solidFill>
                      </w14:textFill>
                    </w:rPr>
                    <w:t>/</w:t>
                  </w:r>
                  <w:r>
                    <w:rPr>
                      <w:rStyle w:val="101"/>
                      <w:color w:val="000000" w:themeColor="text1"/>
                      <w:highlight w:val="none"/>
                      <w:lang w:val="en-US" w:eastAsia="zh-CN" w:bidi="ar"/>
                      <w14:textFill>
                        <w14:solidFill>
                          <w14:schemeClr w14:val="tx1"/>
                        </w14:solidFill>
                      </w14:textFill>
                    </w:rPr>
                    <w:t>万元</w:t>
                  </w:r>
                </w:p>
              </w:tc>
              <w:tc>
                <w:tcPr>
                  <w:tcW w:w="3210" w:type="dxa"/>
                  <w:gridSpan w:val="5"/>
                  <w:tcBorders>
                    <w:tl2br w:val="nil"/>
                    <w:tr2bl w:val="nil"/>
                  </w:tcBorders>
                  <w:shd w:val="clear" w:color="auto" w:fill="auto"/>
                  <w:vAlign w:val="center"/>
                </w:tcPr>
                <w:p w14:paraId="4860412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≤0.4</w:t>
                  </w:r>
                </w:p>
              </w:tc>
              <w:tc>
                <w:tcPr>
                  <w:tcW w:w="2220" w:type="dxa"/>
                  <w:tcBorders>
                    <w:tl2br w:val="nil"/>
                    <w:tr2bl w:val="nil"/>
                  </w:tcBorders>
                  <w:shd w:val="clear" w:color="auto" w:fill="auto"/>
                  <w:vAlign w:val="center"/>
                </w:tcPr>
                <w:p w14:paraId="4DE97061">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678" w:type="dxa"/>
                  <w:tcBorders>
                    <w:tl2br w:val="nil"/>
                    <w:tr2bl w:val="nil"/>
                  </w:tcBorders>
                  <w:shd w:val="clear" w:color="auto" w:fill="auto"/>
                  <w:vAlign w:val="center"/>
                </w:tcPr>
                <w:p w14:paraId="1E170321">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符合</w:t>
                  </w:r>
                </w:p>
              </w:tc>
            </w:tr>
            <w:tr w14:paraId="5C626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579" w:type="dxa"/>
                  <w:vMerge w:val="continue"/>
                  <w:tcBorders>
                    <w:tl2br w:val="nil"/>
                    <w:tr2bl w:val="nil"/>
                  </w:tcBorders>
                  <w:shd w:val="clear" w:color="auto" w:fill="auto"/>
                  <w:vAlign w:val="center"/>
                </w:tcPr>
                <w:p w14:paraId="56AC7581">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245" w:type="dxa"/>
                  <w:tcBorders>
                    <w:tl2br w:val="nil"/>
                    <w:tr2bl w:val="nil"/>
                  </w:tcBorders>
                  <w:shd w:val="clear" w:color="auto" w:fill="auto"/>
                  <w:vAlign w:val="center"/>
                </w:tcPr>
                <w:p w14:paraId="17870BFE">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能源结</w:t>
                  </w:r>
                  <w:r>
                    <w:rPr>
                      <w:rStyle w:val="101"/>
                      <w:color w:val="000000" w:themeColor="text1"/>
                      <w:highlight w:val="none"/>
                      <w:lang w:val="en-US" w:eastAsia="zh-CN" w:bidi="ar"/>
                      <w14:textFill>
                        <w14:solidFill>
                          <w14:schemeClr w14:val="tx1"/>
                        </w14:solidFill>
                      </w14:textFill>
                    </w:rPr>
                    <w:t>构</w:t>
                  </w:r>
                </w:p>
              </w:tc>
              <w:tc>
                <w:tcPr>
                  <w:tcW w:w="3210" w:type="dxa"/>
                  <w:gridSpan w:val="5"/>
                  <w:tcBorders>
                    <w:tl2br w:val="nil"/>
                    <w:tr2bl w:val="nil"/>
                  </w:tcBorders>
                  <w:shd w:val="clear" w:color="auto" w:fill="auto"/>
                  <w:vAlign w:val="center"/>
                </w:tcPr>
                <w:p w14:paraId="6F69A463">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集中供热</w:t>
                  </w:r>
                </w:p>
              </w:tc>
              <w:tc>
                <w:tcPr>
                  <w:tcW w:w="2220" w:type="dxa"/>
                  <w:tcBorders>
                    <w:tl2br w:val="nil"/>
                    <w:tr2bl w:val="nil"/>
                  </w:tcBorders>
                  <w:shd w:val="clear" w:color="auto" w:fill="auto"/>
                  <w:vAlign w:val="center"/>
                </w:tcPr>
                <w:p w14:paraId="78AC846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cs="Times New Roman"/>
                      <w:i w:val="0"/>
                      <w:iCs w:val="0"/>
                      <w:color w:val="000000" w:themeColor="text1"/>
                      <w:sz w:val="21"/>
                      <w:szCs w:val="21"/>
                      <w:highlight w:val="none"/>
                      <w:u w:val="none"/>
                      <w:lang w:val="en-US" w:eastAsia="zh-CN"/>
                      <w14:textFill>
                        <w14:solidFill>
                          <w14:schemeClr w14:val="tx1"/>
                        </w14:solidFill>
                      </w14:textFill>
                    </w:rPr>
                    <w:t>使用电能</w:t>
                  </w:r>
                </w:p>
              </w:tc>
              <w:tc>
                <w:tcPr>
                  <w:tcW w:w="678" w:type="dxa"/>
                  <w:tcBorders>
                    <w:tl2br w:val="nil"/>
                    <w:tr2bl w:val="nil"/>
                  </w:tcBorders>
                  <w:shd w:val="clear" w:color="auto" w:fill="auto"/>
                  <w:vAlign w:val="center"/>
                </w:tcPr>
                <w:p w14:paraId="6633EC78">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符合</w:t>
                  </w:r>
                </w:p>
              </w:tc>
            </w:tr>
            <w:tr w14:paraId="18D28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579" w:type="dxa"/>
                  <w:vMerge w:val="continue"/>
                  <w:tcBorders>
                    <w:tl2br w:val="nil"/>
                    <w:tr2bl w:val="nil"/>
                  </w:tcBorders>
                  <w:shd w:val="clear" w:color="auto" w:fill="auto"/>
                  <w:vAlign w:val="center"/>
                </w:tcPr>
                <w:p w14:paraId="3FAEB443">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245" w:type="dxa"/>
                  <w:tcBorders>
                    <w:tl2br w:val="nil"/>
                    <w:tr2bl w:val="nil"/>
                  </w:tcBorders>
                  <w:shd w:val="clear" w:color="auto" w:fill="auto"/>
                  <w:vAlign w:val="center"/>
                </w:tcPr>
                <w:p w14:paraId="7EB0AB1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SO</w:t>
                  </w:r>
                  <w:r>
                    <w:rPr>
                      <w:rStyle w:val="104"/>
                      <w:rFonts w:eastAsia="宋体"/>
                      <w:color w:val="000000" w:themeColor="text1"/>
                      <w:highlight w:val="none"/>
                      <w:lang w:val="en-US" w:eastAsia="zh-CN" w:bidi="ar"/>
                      <w14:textFill>
                        <w14:solidFill>
                          <w14:schemeClr w14:val="tx1"/>
                        </w14:solidFill>
                      </w14:textFill>
                    </w:rPr>
                    <w:t>2</w:t>
                  </w:r>
                  <w:r>
                    <w:rPr>
                      <w:rStyle w:val="101"/>
                      <w:color w:val="000000" w:themeColor="text1"/>
                      <w:highlight w:val="none"/>
                      <w:lang w:val="en-US" w:eastAsia="zh-CN" w:bidi="ar"/>
                      <w14:textFill>
                        <w14:solidFill>
                          <w14:schemeClr w14:val="tx1"/>
                        </w14:solidFill>
                      </w14:textFill>
                    </w:rPr>
                    <w:t>排放量</w:t>
                  </w:r>
                  <w:r>
                    <w:rPr>
                      <w:rStyle w:val="102"/>
                      <w:rFonts w:eastAsia="宋体"/>
                      <w:color w:val="000000" w:themeColor="text1"/>
                      <w:highlight w:val="none"/>
                      <w:lang w:val="en-US" w:eastAsia="zh-CN" w:bidi="ar"/>
                      <w14:textFill>
                        <w14:solidFill>
                          <w14:schemeClr w14:val="tx1"/>
                        </w14:solidFill>
                      </w14:textFill>
                    </w:rPr>
                    <w:t>kg/</w:t>
                  </w:r>
                  <w:r>
                    <w:rPr>
                      <w:rStyle w:val="101"/>
                      <w:color w:val="000000" w:themeColor="text1"/>
                      <w:highlight w:val="none"/>
                      <w:lang w:val="en-US" w:eastAsia="zh-CN" w:bidi="ar"/>
                      <w14:textFill>
                        <w14:solidFill>
                          <w14:schemeClr w14:val="tx1"/>
                        </w14:solidFill>
                      </w14:textFill>
                    </w:rPr>
                    <w:t>万元</w:t>
                  </w:r>
                </w:p>
              </w:tc>
              <w:tc>
                <w:tcPr>
                  <w:tcW w:w="3210" w:type="dxa"/>
                  <w:gridSpan w:val="5"/>
                  <w:tcBorders>
                    <w:tl2br w:val="nil"/>
                    <w:tr2bl w:val="nil"/>
                  </w:tcBorders>
                  <w:shd w:val="clear" w:color="auto" w:fill="auto"/>
                  <w:vAlign w:val="center"/>
                </w:tcPr>
                <w:p w14:paraId="79D97D89">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2220" w:type="dxa"/>
                  <w:tcBorders>
                    <w:tl2br w:val="nil"/>
                    <w:tr2bl w:val="nil"/>
                  </w:tcBorders>
                  <w:shd w:val="clear" w:color="auto" w:fill="auto"/>
                  <w:vAlign w:val="center"/>
                </w:tcPr>
                <w:p w14:paraId="2D87AB7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不涉及SO</w:t>
                  </w:r>
                  <w:r>
                    <w:rPr>
                      <w:rFonts w:hint="eastAsia" w:cs="Times New Roman"/>
                      <w:i w:val="0"/>
                      <w:iCs w:val="0"/>
                      <w:color w:val="000000" w:themeColor="text1"/>
                      <w:kern w:val="0"/>
                      <w:sz w:val="21"/>
                      <w:szCs w:val="21"/>
                      <w:highlight w:val="none"/>
                      <w:u w:val="none"/>
                      <w:vertAlign w:val="subscript"/>
                      <w:lang w:val="en-US" w:eastAsia="zh-CN" w:bidi="ar"/>
                      <w14:textFill>
                        <w14:solidFill>
                          <w14:schemeClr w14:val="tx1"/>
                        </w14:solidFill>
                      </w14:textFill>
                    </w:rPr>
                    <w:t>2</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排放</w:t>
                  </w:r>
                </w:p>
              </w:tc>
              <w:tc>
                <w:tcPr>
                  <w:tcW w:w="678" w:type="dxa"/>
                  <w:tcBorders>
                    <w:tl2br w:val="nil"/>
                    <w:tr2bl w:val="nil"/>
                  </w:tcBorders>
                  <w:shd w:val="clear" w:color="auto" w:fill="auto"/>
                  <w:vAlign w:val="center"/>
                </w:tcPr>
                <w:p w14:paraId="5458A833">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符合</w:t>
                  </w:r>
                </w:p>
              </w:tc>
            </w:tr>
            <w:tr w14:paraId="0F649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579" w:type="dxa"/>
                  <w:vMerge w:val="continue"/>
                  <w:tcBorders>
                    <w:tl2br w:val="nil"/>
                    <w:tr2bl w:val="nil"/>
                  </w:tcBorders>
                  <w:shd w:val="clear" w:color="auto" w:fill="auto"/>
                  <w:vAlign w:val="center"/>
                </w:tcPr>
                <w:p w14:paraId="21947548">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245" w:type="dxa"/>
                  <w:tcBorders>
                    <w:tl2br w:val="nil"/>
                    <w:tr2bl w:val="nil"/>
                  </w:tcBorders>
                  <w:shd w:val="clear" w:color="auto" w:fill="auto"/>
                  <w:vAlign w:val="center"/>
                </w:tcPr>
                <w:p w14:paraId="3589BF1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COD</w:t>
                  </w:r>
                  <w:r>
                    <w:rPr>
                      <w:rStyle w:val="101"/>
                      <w:color w:val="000000" w:themeColor="text1"/>
                      <w:highlight w:val="none"/>
                      <w:lang w:val="en-US" w:eastAsia="zh-CN" w:bidi="ar"/>
                      <w14:textFill>
                        <w14:solidFill>
                          <w14:schemeClr w14:val="tx1"/>
                        </w14:solidFill>
                      </w14:textFill>
                    </w:rPr>
                    <w:t>排放量</w:t>
                  </w:r>
                  <w:r>
                    <w:rPr>
                      <w:rStyle w:val="102"/>
                      <w:rFonts w:eastAsia="宋体"/>
                      <w:color w:val="000000" w:themeColor="text1"/>
                      <w:highlight w:val="none"/>
                      <w:lang w:val="en-US" w:eastAsia="zh-CN" w:bidi="ar"/>
                      <w14:textFill>
                        <w14:solidFill>
                          <w14:schemeClr w14:val="tx1"/>
                        </w14:solidFill>
                      </w14:textFill>
                    </w:rPr>
                    <w:t>kg/</w:t>
                  </w:r>
                  <w:r>
                    <w:rPr>
                      <w:rStyle w:val="101"/>
                      <w:color w:val="000000" w:themeColor="text1"/>
                      <w:highlight w:val="none"/>
                      <w:lang w:val="en-US" w:eastAsia="zh-CN" w:bidi="ar"/>
                      <w14:textFill>
                        <w14:solidFill>
                          <w14:schemeClr w14:val="tx1"/>
                        </w14:solidFill>
                      </w14:textFill>
                    </w:rPr>
                    <w:t>万元</w:t>
                  </w:r>
                </w:p>
              </w:tc>
              <w:tc>
                <w:tcPr>
                  <w:tcW w:w="3210" w:type="dxa"/>
                  <w:gridSpan w:val="5"/>
                  <w:tcBorders>
                    <w:tl2br w:val="nil"/>
                    <w:tr2bl w:val="nil"/>
                  </w:tcBorders>
                  <w:shd w:val="clear" w:color="auto" w:fill="auto"/>
                  <w:vAlign w:val="center"/>
                </w:tcPr>
                <w:p w14:paraId="4A4A639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2220" w:type="dxa"/>
                  <w:tcBorders>
                    <w:tl2br w:val="nil"/>
                    <w:tr2bl w:val="nil"/>
                  </w:tcBorders>
                  <w:shd w:val="clear" w:color="auto" w:fill="auto"/>
                  <w:vAlign w:val="center"/>
                </w:tcPr>
                <w:p w14:paraId="3A19AA39">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0.27</w:t>
                  </w:r>
                </w:p>
              </w:tc>
              <w:tc>
                <w:tcPr>
                  <w:tcW w:w="678" w:type="dxa"/>
                  <w:tcBorders>
                    <w:tl2br w:val="nil"/>
                    <w:tr2bl w:val="nil"/>
                  </w:tcBorders>
                  <w:shd w:val="clear" w:color="auto" w:fill="auto"/>
                  <w:vAlign w:val="center"/>
                </w:tcPr>
                <w:p w14:paraId="2B65C97A">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符合</w:t>
                  </w:r>
                </w:p>
              </w:tc>
            </w:tr>
            <w:tr w14:paraId="58CE6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579" w:type="dxa"/>
                  <w:vMerge w:val="continue"/>
                  <w:tcBorders>
                    <w:tl2br w:val="nil"/>
                    <w:tr2bl w:val="nil"/>
                  </w:tcBorders>
                  <w:shd w:val="clear" w:color="auto" w:fill="auto"/>
                  <w:vAlign w:val="center"/>
                </w:tcPr>
                <w:p w14:paraId="54653540">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245" w:type="dxa"/>
                  <w:tcBorders>
                    <w:tl2br w:val="nil"/>
                    <w:tr2bl w:val="nil"/>
                  </w:tcBorders>
                  <w:shd w:val="clear" w:color="auto" w:fill="auto"/>
                  <w:vAlign w:val="center"/>
                </w:tcPr>
                <w:p w14:paraId="2CA318FC">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工业固废产生量</w:t>
                  </w:r>
                  <w:r>
                    <w:rPr>
                      <w:rStyle w:val="102"/>
                      <w:rFonts w:eastAsia="宋体"/>
                      <w:color w:val="000000" w:themeColor="text1"/>
                      <w:highlight w:val="none"/>
                      <w:lang w:val="en-US" w:eastAsia="zh-CN" w:bidi="ar"/>
                      <w14:textFill>
                        <w14:solidFill>
                          <w14:schemeClr w14:val="tx1"/>
                        </w14:solidFill>
                      </w14:textFill>
                    </w:rPr>
                    <w:t>t/</w:t>
                  </w:r>
                  <w:r>
                    <w:rPr>
                      <w:rStyle w:val="101"/>
                      <w:color w:val="000000" w:themeColor="text1"/>
                      <w:highlight w:val="none"/>
                      <w:lang w:val="en-US" w:eastAsia="zh-CN" w:bidi="ar"/>
                      <w14:textFill>
                        <w14:solidFill>
                          <w14:schemeClr w14:val="tx1"/>
                        </w14:solidFill>
                      </w14:textFill>
                    </w:rPr>
                    <w:t>万元</w:t>
                  </w:r>
                </w:p>
              </w:tc>
              <w:tc>
                <w:tcPr>
                  <w:tcW w:w="3210" w:type="dxa"/>
                  <w:gridSpan w:val="5"/>
                  <w:tcBorders>
                    <w:tl2br w:val="nil"/>
                    <w:tr2bl w:val="nil"/>
                  </w:tcBorders>
                  <w:shd w:val="clear" w:color="auto" w:fill="auto"/>
                  <w:vAlign w:val="center"/>
                </w:tcPr>
                <w:p w14:paraId="74DB0727">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≤0.1</w:t>
                  </w:r>
                </w:p>
              </w:tc>
              <w:tc>
                <w:tcPr>
                  <w:tcW w:w="2220" w:type="dxa"/>
                  <w:tcBorders>
                    <w:tl2br w:val="nil"/>
                    <w:tr2bl w:val="nil"/>
                  </w:tcBorders>
                  <w:shd w:val="clear" w:color="auto" w:fill="auto"/>
                  <w:vAlign w:val="center"/>
                </w:tcPr>
                <w:p w14:paraId="0E363FD3">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0.098</w:t>
                  </w:r>
                </w:p>
              </w:tc>
              <w:tc>
                <w:tcPr>
                  <w:tcW w:w="678" w:type="dxa"/>
                  <w:tcBorders>
                    <w:tl2br w:val="nil"/>
                    <w:tr2bl w:val="nil"/>
                  </w:tcBorders>
                  <w:shd w:val="clear" w:color="auto" w:fill="auto"/>
                  <w:vAlign w:val="center"/>
                </w:tcPr>
                <w:p w14:paraId="259A82FE">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符合</w:t>
                  </w:r>
                </w:p>
              </w:tc>
            </w:tr>
            <w:tr w14:paraId="2B49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579" w:type="dxa"/>
                  <w:vMerge w:val="continue"/>
                  <w:tcBorders>
                    <w:tl2br w:val="nil"/>
                    <w:tr2bl w:val="nil"/>
                  </w:tcBorders>
                  <w:shd w:val="clear" w:color="auto" w:fill="auto"/>
                  <w:vAlign w:val="center"/>
                </w:tcPr>
                <w:p w14:paraId="74AEAFC6">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245" w:type="dxa"/>
                  <w:tcBorders>
                    <w:tl2br w:val="nil"/>
                    <w:tr2bl w:val="nil"/>
                  </w:tcBorders>
                  <w:shd w:val="clear" w:color="auto" w:fill="auto"/>
                  <w:vAlign w:val="center"/>
                </w:tcPr>
                <w:p w14:paraId="61582BEC">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废水产生</w:t>
                  </w:r>
                  <w:r>
                    <w:rPr>
                      <w:rStyle w:val="101"/>
                      <w:color w:val="000000" w:themeColor="text1"/>
                      <w:highlight w:val="none"/>
                      <w:lang w:val="en-US" w:eastAsia="zh-CN" w:bidi="ar"/>
                      <w14:textFill>
                        <w14:solidFill>
                          <w14:schemeClr w14:val="tx1"/>
                        </w14:solidFill>
                      </w14:textFill>
                    </w:rPr>
                    <w:t>量</w:t>
                  </w:r>
                  <w:r>
                    <w:rPr>
                      <w:rStyle w:val="102"/>
                      <w:rFonts w:eastAsia="宋体"/>
                      <w:color w:val="000000" w:themeColor="text1"/>
                      <w:highlight w:val="none"/>
                      <w:lang w:val="en-US" w:eastAsia="zh-CN" w:bidi="ar"/>
                      <w14:textFill>
                        <w14:solidFill>
                          <w14:schemeClr w14:val="tx1"/>
                        </w14:solidFill>
                      </w14:textFill>
                    </w:rPr>
                    <w:t>t/</w:t>
                  </w:r>
                  <w:r>
                    <w:rPr>
                      <w:rStyle w:val="101"/>
                      <w:color w:val="000000" w:themeColor="text1"/>
                      <w:highlight w:val="none"/>
                      <w:lang w:val="en-US" w:eastAsia="zh-CN" w:bidi="ar"/>
                      <w14:textFill>
                        <w14:solidFill>
                          <w14:schemeClr w14:val="tx1"/>
                        </w14:solidFill>
                      </w14:textFill>
                    </w:rPr>
                    <w:t>万元</w:t>
                  </w:r>
                </w:p>
              </w:tc>
              <w:tc>
                <w:tcPr>
                  <w:tcW w:w="3210" w:type="dxa"/>
                  <w:gridSpan w:val="5"/>
                  <w:tcBorders>
                    <w:tl2br w:val="nil"/>
                    <w:tr2bl w:val="nil"/>
                  </w:tcBorders>
                  <w:shd w:val="clear" w:color="auto" w:fill="auto"/>
                  <w:vAlign w:val="center"/>
                </w:tcPr>
                <w:p w14:paraId="1CF09BFA">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w:t>
                  </w:r>
                </w:p>
              </w:tc>
              <w:tc>
                <w:tcPr>
                  <w:tcW w:w="2220" w:type="dxa"/>
                  <w:tcBorders>
                    <w:tl2br w:val="nil"/>
                    <w:tr2bl w:val="nil"/>
                  </w:tcBorders>
                  <w:shd w:val="clear" w:color="auto" w:fill="auto"/>
                  <w:vAlign w:val="center"/>
                </w:tcPr>
                <w:p w14:paraId="3F45FCD4">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0.51</w:t>
                  </w:r>
                </w:p>
              </w:tc>
              <w:tc>
                <w:tcPr>
                  <w:tcW w:w="678" w:type="dxa"/>
                  <w:tcBorders>
                    <w:tl2br w:val="nil"/>
                    <w:tr2bl w:val="nil"/>
                  </w:tcBorders>
                  <w:shd w:val="clear" w:color="auto" w:fill="auto"/>
                  <w:vAlign w:val="center"/>
                </w:tcPr>
                <w:p w14:paraId="5A5C420A">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符合</w:t>
                  </w:r>
                </w:p>
              </w:tc>
            </w:tr>
          </w:tbl>
          <w:p w14:paraId="5AC5FB5A">
            <w:pPr>
              <w:autoSpaceDE w:val="0"/>
              <w:autoSpaceDN w:val="0"/>
              <w:adjustRightInd w:val="0"/>
              <w:spacing w:line="360" w:lineRule="auto"/>
              <w:ind w:firstLine="480" w:firstLineChars="200"/>
              <w:jc w:val="left"/>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24"/>
                <w:szCs w:val="21"/>
                <w:highlight w:val="none"/>
                <w14:textFill>
                  <w14:solidFill>
                    <w14:schemeClr w14:val="tx1"/>
                  </w14:solidFill>
                </w14:textFill>
              </w:rPr>
              <w:t>本项目主要从事</w:t>
            </w:r>
            <w:r>
              <w:rPr>
                <w:rFonts w:hint="eastAsia" w:ascii="宋体" w:cs="宋体"/>
                <w:color w:val="000000" w:themeColor="text1"/>
                <w:kern w:val="0"/>
                <w:sz w:val="24"/>
                <w:szCs w:val="21"/>
                <w:highlight w:val="none"/>
                <w:lang w:eastAsia="zh-CN"/>
                <w14:textFill>
                  <w14:solidFill>
                    <w14:schemeClr w14:val="tx1"/>
                  </w14:solidFill>
                </w14:textFill>
              </w:rPr>
              <w:t>光学元器件</w:t>
            </w:r>
            <w:r>
              <w:rPr>
                <w:rFonts w:hint="eastAsia" w:ascii="宋体" w:cs="宋体"/>
                <w:color w:val="000000" w:themeColor="text1"/>
                <w:kern w:val="0"/>
                <w:sz w:val="24"/>
                <w:szCs w:val="21"/>
                <w:highlight w:val="none"/>
                <w14:textFill>
                  <w14:solidFill>
                    <w14:schemeClr w14:val="tx1"/>
                  </w14:solidFill>
                </w14:textFill>
              </w:rPr>
              <w:t>生产属于光电器件，与《福州市生物医药和机电产业园机电园规划环境影响报告书》及</w:t>
            </w:r>
            <w:r>
              <w:rPr>
                <w:color w:val="000000" w:themeColor="text1"/>
                <w:kern w:val="0"/>
                <w:sz w:val="24"/>
                <w:szCs w:val="21"/>
                <w:highlight w:val="none"/>
                <w14:textFill>
                  <w14:solidFill>
                    <w14:schemeClr w14:val="tx1"/>
                  </w14:solidFill>
                </w14:textFill>
              </w:rPr>
              <w:t>《福州市生物医药和机电产业园规划环境影响跟踪评价报告书》</w:t>
            </w:r>
            <w:r>
              <w:rPr>
                <w:rFonts w:hint="eastAsia" w:ascii="宋体" w:cs="宋体"/>
                <w:color w:val="000000" w:themeColor="text1"/>
                <w:kern w:val="0"/>
                <w:sz w:val="24"/>
                <w:szCs w:val="21"/>
                <w:highlight w:val="none"/>
                <w14:textFill>
                  <w14:solidFill>
                    <w14:schemeClr w14:val="tx1"/>
                  </w14:solidFill>
                </w14:textFill>
              </w:rPr>
              <w:t>环保准入条件不冲突，</w:t>
            </w:r>
            <w:r>
              <w:rPr>
                <w:rFonts w:hint="eastAsia" w:ascii="宋体" w:cs="宋体"/>
                <w:color w:val="000000" w:themeColor="text1"/>
                <w:kern w:val="0"/>
                <w:sz w:val="24"/>
                <w:szCs w:val="21"/>
                <w:highlight w:val="none"/>
                <w:lang w:val="en-US" w:eastAsia="zh-CN"/>
                <w14:textFill>
                  <w14:solidFill>
                    <w14:schemeClr w14:val="tx1"/>
                  </w14:solidFill>
                </w14:textFill>
              </w:rPr>
              <w:t>本项目排放的酸性废气量很小，</w:t>
            </w:r>
            <w:r>
              <w:rPr>
                <w:rFonts w:hint="eastAsia" w:ascii="宋体" w:cs="宋体"/>
                <w:color w:val="000000" w:themeColor="text1"/>
                <w:kern w:val="0"/>
                <w:sz w:val="24"/>
                <w:szCs w:val="21"/>
                <w:highlight w:val="none"/>
                <w14:textFill>
                  <w14:solidFill>
                    <w14:schemeClr w14:val="tx1"/>
                  </w14:solidFill>
                </w14:textFill>
              </w:rPr>
              <w:t>因此项目符合园区规划要求。同时，根据项目土地使用证，用地性质为工业用地，符合福州市生物医药和机电产业园规划。</w:t>
            </w:r>
          </w:p>
        </w:tc>
      </w:tr>
      <w:tr w14:paraId="0A46FD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22" w:type="dxa"/>
            <w:vAlign w:val="center"/>
          </w:tcPr>
          <w:p w14:paraId="323A214F">
            <w:pPr>
              <w:autoSpaceDE w:val="0"/>
              <w:autoSpaceDN w:val="0"/>
              <w:adjustRightInd w:val="0"/>
              <w:snapToGri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其他符合性分析</w:t>
            </w:r>
          </w:p>
        </w:tc>
        <w:tc>
          <w:tcPr>
            <w:tcW w:w="8148" w:type="dxa"/>
            <w:gridSpan w:val="4"/>
            <w:vAlign w:val="center"/>
          </w:tcPr>
          <w:p w14:paraId="117903DA">
            <w:pPr>
              <w:pStyle w:val="37"/>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1.3与产业政策符合性分析</w:t>
            </w:r>
          </w:p>
          <w:p w14:paraId="0CA673CA">
            <w:pPr>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1、与产业结构调整指导目录的符合性分析</w:t>
            </w:r>
          </w:p>
          <w:p w14:paraId="74C6D515">
            <w:pPr>
              <w:spacing w:line="360" w:lineRule="auto"/>
              <w:ind w:firstLine="480" w:firstLineChars="200"/>
              <w:rPr>
                <w:rFonts w:hint="eastAsia" w:eastAsia="宋体"/>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14:textFill>
                  <w14:solidFill>
                    <w14:schemeClr w14:val="tx1"/>
                  </w14:solidFill>
                </w14:textFill>
              </w:rPr>
              <w:t>本项目主要从事</w:t>
            </w:r>
            <w:r>
              <w:rPr>
                <w:rFonts w:hint="eastAsia"/>
                <w:color w:val="000000" w:themeColor="text1"/>
                <w:sz w:val="24"/>
                <w:szCs w:val="24"/>
                <w:highlight w:val="none"/>
                <w:lang w:eastAsia="zh-CN"/>
                <w14:textFill>
                  <w14:solidFill>
                    <w14:schemeClr w14:val="tx1"/>
                  </w14:solidFill>
                </w14:textFill>
              </w:rPr>
              <w:t>光学元器件</w:t>
            </w:r>
            <w:r>
              <w:rPr>
                <w:rFonts w:hint="eastAsia"/>
                <w:color w:val="000000" w:themeColor="text1"/>
                <w:sz w:val="24"/>
                <w:szCs w:val="24"/>
                <w:highlight w:val="none"/>
                <w14:textFill>
                  <w14:solidFill>
                    <w14:schemeClr w14:val="tx1"/>
                  </w14:solidFill>
                </w14:textFill>
              </w:rPr>
              <w:t>生产，根据《产业结构调整指导目录（2024年本）》，本项目不属于限制类和禁止类，为允许类项目。同时，本项目取得了由福州高新区经济发展局出具的项目备案证明（闽工信备〔202</w:t>
            </w:r>
            <w:r>
              <w:rPr>
                <w:rFonts w:hint="eastAsia"/>
                <w:color w:val="000000" w:themeColor="text1"/>
                <w:sz w:val="24"/>
                <w:szCs w:val="24"/>
                <w:highlight w:val="none"/>
                <w:lang w:val="en-US" w:eastAsia="zh-CN"/>
                <w14:textFill>
                  <w14:solidFill>
                    <w14:schemeClr w14:val="tx1"/>
                  </w14:solidFill>
                </w14:textFill>
              </w:rPr>
              <w:t>5</w:t>
            </w:r>
            <w:r>
              <w:rPr>
                <w:rFonts w:hint="eastAsia"/>
                <w:color w:val="000000" w:themeColor="text1"/>
                <w:sz w:val="24"/>
                <w:szCs w:val="24"/>
                <w:highlight w:val="none"/>
                <w14:textFill>
                  <w14:solidFill>
                    <w14:schemeClr w14:val="tx1"/>
                  </w14:solidFill>
                </w14:textFill>
              </w:rPr>
              <w:t>〕A140</w:t>
            </w:r>
            <w:r>
              <w:rPr>
                <w:rFonts w:hint="eastAsia"/>
                <w:color w:val="000000" w:themeColor="text1"/>
                <w:sz w:val="24"/>
                <w:szCs w:val="24"/>
                <w:highlight w:val="none"/>
                <w:lang w:val="en-US" w:eastAsia="zh-CN"/>
                <w14:textFill>
                  <w14:solidFill>
                    <w14:schemeClr w14:val="tx1"/>
                  </w14:solidFill>
                </w14:textFill>
              </w:rPr>
              <w:t>209</w:t>
            </w:r>
            <w:r>
              <w:rPr>
                <w:rFonts w:hint="eastAsia"/>
                <w:color w:val="000000" w:themeColor="text1"/>
                <w:sz w:val="24"/>
                <w:szCs w:val="24"/>
                <w:highlight w:val="none"/>
                <w14:textFill>
                  <w14:solidFill>
                    <w14:schemeClr w14:val="tx1"/>
                  </w14:solidFill>
                </w14:textFill>
              </w:rPr>
              <w:t>号），因此项目的建设符合国家及地方产业政策。</w:t>
            </w:r>
          </w:p>
          <w:p w14:paraId="5D2FB3D9">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14:textFill>
                  <w14:solidFill>
                    <w14:schemeClr w14:val="tx1"/>
                  </w14:solidFill>
                </w14:textFill>
              </w:rPr>
              <w:t>1.</w:t>
            </w:r>
            <w:r>
              <w:rPr>
                <w:rFonts w:hint="eastAsia"/>
                <w:color w:val="000000" w:themeColor="text1"/>
                <w:sz w:val="24"/>
                <w:szCs w:val="21"/>
                <w:highlight w:val="none"/>
                <w:lang w:val="en-US" w:eastAsia="zh-CN"/>
                <w14:textFill>
                  <w14:solidFill>
                    <w14:schemeClr w14:val="tx1"/>
                  </w14:solidFill>
                </w14:textFill>
              </w:rPr>
              <w:t>4选址合理性分析</w:t>
            </w:r>
          </w:p>
          <w:p w14:paraId="6F3A965D">
            <w:pPr>
              <w:spacing w:line="360" w:lineRule="auto"/>
              <w:ind w:firstLine="480" w:firstLineChars="200"/>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本项目位于福建省福州市高新区南屿镇窗厦村尧溪路3号1#楼一层，为租赁福建省菲格园区开发管理有限公司1#厂房，根据建设单位提供租赁房东的土地证（闽（2023）闽侯县（G）不动产权第0001577号），该项目用途为工业厂房（详见附件8），本项目主要从事光学元器件生产，因此，本项目建设符合城市土地利用规划，项目选址合理。</w:t>
            </w:r>
          </w:p>
          <w:p w14:paraId="78E43037">
            <w:pPr>
              <w:pStyle w:val="37"/>
              <w:rPr>
                <w:rFonts w:hint="eastAsia"/>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1.</w:t>
            </w:r>
            <w:r>
              <w:rPr>
                <w:rFonts w:hint="eastAsia"/>
                <w:color w:val="000000" w:themeColor="text1"/>
                <w:sz w:val="24"/>
                <w:szCs w:val="21"/>
                <w:highlight w:val="none"/>
                <w:lang w:val="en-US" w:eastAsia="zh-CN"/>
                <w14:textFill>
                  <w14:solidFill>
                    <w14:schemeClr w14:val="tx1"/>
                  </w14:solidFill>
                </w14:textFill>
              </w:rPr>
              <w:t>5</w:t>
            </w:r>
            <w:r>
              <w:rPr>
                <w:rFonts w:hint="eastAsia"/>
                <w:color w:val="000000" w:themeColor="text1"/>
                <w:sz w:val="24"/>
                <w:szCs w:val="21"/>
                <w:highlight w:val="none"/>
                <w14:textFill>
                  <w14:solidFill>
                    <w14:schemeClr w14:val="tx1"/>
                  </w14:solidFill>
                </w14:textFill>
              </w:rPr>
              <w:t xml:space="preserve"> 环境功能区划符合性分析</w:t>
            </w:r>
          </w:p>
          <w:p w14:paraId="0288EE90">
            <w:pPr>
              <w:spacing w:line="360" w:lineRule="auto"/>
              <w:ind w:firstLine="480" w:firstLineChars="200"/>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1</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水环境</w:t>
            </w:r>
          </w:p>
          <w:p w14:paraId="234838B7">
            <w:pPr>
              <w:spacing w:line="360" w:lineRule="auto"/>
              <w:ind w:firstLine="480" w:firstLineChars="200"/>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项目附近地表水体大樟溪能满足《地表水环境质量标准》(GB3838-2002)中Ⅲ类水质标准。项目生产废水处理后通过市政污水管网送往福州大学城污水处理厂集中处理，生活污水经隔油+化粪池处理达标后排入市政污水管网，送往福州大学城污水处理厂集中处理，对区域水环境质量影响较小。</w:t>
            </w:r>
          </w:p>
          <w:p w14:paraId="29992E02">
            <w:pPr>
              <w:spacing w:line="360" w:lineRule="auto"/>
              <w:ind w:firstLine="480" w:firstLineChars="200"/>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2</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大气环境</w:t>
            </w:r>
          </w:p>
          <w:p w14:paraId="0DCB157F">
            <w:pPr>
              <w:spacing w:line="360" w:lineRule="auto"/>
              <w:ind w:firstLine="480" w:firstLineChars="200"/>
              <w:rPr>
                <w:rFonts w:hint="eastAsia" w:eastAsia="宋体"/>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14:textFill>
                  <w14:solidFill>
                    <w14:schemeClr w14:val="tx1"/>
                  </w14:solidFill>
                </w14:textFill>
              </w:rPr>
              <w:t>根据大气环境质量现状可知，项目区域大气环境达到《环境空气质量标准》(GB3095-20</w:t>
            </w:r>
            <w:r>
              <w:rPr>
                <w:rFonts w:hint="eastAsia"/>
                <w:color w:val="000000" w:themeColor="text1"/>
                <w:sz w:val="24"/>
                <w:szCs w:val="24"/>
                <w:highlight w:val="none"/>
                <w:lang w:val="en-US" w:eastAsia="zh-CN"/>
                <w14:textFill>
                  <w14:solidFill>
                    <w14:schemeClr w14:val="tx1"/>
                  </w14:solidFill>
                </w14:textFill>
              </w:rPr>
              <w:t>26</w:t>
            </w:r>
            <w:r>
              <w:rPr>
                <w:rFonts w:hint="eastAsia"/>
                <w:color w:val="000000" w:themeColor="text1"/>
                <w:sz w:val="24"/>
                <w:szCs w:val="24"/>
                <w:highlight w:val="none"/>
                <w14:textFill>
                  <w14:solidFill>
                    <w14:schemeClr w14:val="tx1"/>
                  </w14:solidFill>
                </w14:textFill>
              </w:rPr>
              <w:t>)中</w:t>
            </w:r>
            <w:r>
              <w:rPr>
                <w:rFonts w:hint="eastAsia"/>
                <w:color w:val="000000" w:themeColor="text1"/>
                <w:sz w:val="24"/>
                <w:szCs w:val="24"/>
                <w:highlight w:val="none"/>
                <w:lang w:val="en-US" w:eastAsia="zh-CN"/>
                <w14:textFill>
                  <w14:solidFill>
                    <w14:schemeClr w14:val="tx1"/>
                  </w14:solidFill>
                </w14:textFill>
              </w:rPr>
              <w:t>的</w:t>
            </w:r>
            <w:r>
              <w:rPr>
                <w:rFonts w:hint="eastAsia"/>
                <w:color w:val="000000" w:themeColor="text1"/>
                <w:sz w:val="24"/>
                <w:szCs w:val="24"/>
                <w:highlight w:val="none"/>
                <w14:textFill>
                  <w14:solidFill>
                    <w14:schemeClr w14:val="tx1"/>
                  </w14:solidFill>
                </w14:textFill>
              </w:rPr>
              <w:t>二级标准，区域大气环境具有一定的容量。项目废气经采取有效的治理措施后达标排放，对区域大气环境质量影响较小</w:t>
            </w:r>
            <w:r>
              <w:rPr>
                <w:rFonts w:hint="eastAsia"/>
                <w:color w:val="000000" w:themeColor="text1"/>
                <w:sz w:val="24"/>
                <w:szCs w:val="24"/>
                <w:highlight w:val="none"/>
                <w:lang w:eastAsia="zh-CN"/>
                <w14:textFill>
                  <w14:solidFill>
                    <w14:schemeClr w14:val="tx1"/>
                  </w14:solidFill>
                </w14:textFill>
              </w:rPr>
              <w:t>。</w:t>
            </w:r>
          </w:p>
          <w:p w14:paraId="3FCDEFD2">
            <w:pPr>
              <w:spacing w:line="360" w:lineRule="auto"/>
              <w:ind w:firstLine="480" w:firstLineChars="200"/>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3</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声环境</w:t>
            </w:r>
          </w:p>
          <w:p w14:paraId="6205BC0B">
            <w:pPr>
              <w:spacing w:line="360" w:lineRule="auto"/>
              <w:ind w:firstLine="480" w:firstLineChars="200"/>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项目声环境功能区划为3类功能区，</w:t>
            </w:r>
            <w:r>
              <w:rPr>
                <w:rFonts w:hint="eastAsia"/>
                <w:color w:val="000000" w:themeColor="text1"/>
                <w:sz w:val="24"/>
                <w:szCs w:val="24"/>
                <w:highlight w:val="none"/>
                <w:lang w:val="en-US" w:eastAsia="zh-CN"/>
                <w14:textFill>
                  <w14:solidFill>
                    <w14:schemeClr w14:val="tx1"/>
                  </w14:solidFill>
                </w14:textFill>
              </w:rPr>
              <w:t>项目</w:t>
            </w:r>
            <w:r>
              <w:rPr>
                <w:rFonts w:hint="eastAsia"/>
                <w:color w:val="000000" w:themeColor="text1"/>
                <w:sz w:val="24"/>
                <w:szCs w:val="24"/>
                <w:highlight w:val="none"/>
                <w14:textFill>
                  <w14:solidFill>
                    <w14:schemeClr w14:val="tx1"/>
                  </w14:solidFill>
                </w14:textFill>
              </w:rPr>
              <w:t>采取相应的减振、隔声措施后，项目对周边声环境贡献值较小，周边声环境影响较小。</w:t>
            </w:r>
          </w:p>
          <w:p w14:paraId="2F0E2648">
            <w:pPr>
              <w:pStyle w:val="37"/>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1.</w:t>
            </w:r>
            <w:r>
              <w:rPr>
                <w:rFonts w:hint="eastAsia"/>
                <w:color w:val="000000" w:themeColor="text1"/>
                <w:sz w:val="24"/>
                <w:szCs w:val="21"/>
                <w:highlight w:val="none"/>
                <w:lang w:val="en-US" w:eastAsia="zh-CN"/>
                <w14:textFill>
                  <w14:solidFill>
                    <w14:schemeClr w14:val="tx1"/>
                  </w14:solidFill>
                </w14:textFill>
              </w:rPr>
              <w:t>6</w:t>
            </w:r>
            <w:r>
              <w:rPr>
                <w:color w:val="000000" w:themeColor="text1"/>
                <w:sz w:val="24"/>
                <w:szCs w:val="21"/>
                <w:highlight w:val="none"/>
                <w14:textFill>
                  <w14:solidFill>
                    <w14:schemeClr w14:val="tx1"/>
                  </w14:solidFill>
                </w14:textFill>
              </w:rPr>
              <w:t xml:space="preserve"> </w:t>
            </w:r>
            <w:r>
              <w:rPr>
                <w:rFonts w:hint="eastAsia"/>
                <w:color w:val="000000" w:themeColor="text1"/>
                <w:sz w:val="24"/>
                <w:szCs w:val="21"/>
                <w:highlight w:val="none"/>
                <w:lang w:val="en-US" w:eastAsia="zh-CN"/>
                <w14:textFill>
                  <w14:solidFill>
                    <w14:schemeClr w14:val="tx1"/>
                  </w14:solidFill>
                </w14:textFill>
              </w:rPr>
              <w:t>与</w:t>
            </w:r>
            <w:r>
              <w:rPr>
                <w:rFonts w:hint="default"/>
                <w:color w:val="000000" w:themeColor="text1"/>
                <w:sz w:val="24"/>
                <w:szCs w:val="21"/>
                <w:highlight w:val="none"/>
                <w:lang w:val="en-US" w:eastAsia="zh-CN"/>
                <w14:textFill>
                  <w14:solidFill>
                    <w14:schemeClr w14:val="tx1"/>
                  </w14:solidFill>
                </w14:textFill>
              </w:rPr>
              <w:t>生态环境分区管控要求的</w:t>
            </w:r>
            <w:r>
              <w:rPr>
                <w:rFonts w:hint="eastAsia"/>
                <w:color w:val="000000" w:themeColor="text1"/>
                <w:sz w:val="24"/>
                <w:szCs w:val="21"/>
                <w:highlight w:val="none"/>
                <w14:textFill>
                  <w14:solidFill>
                    <w14:schemeClr w14:val="tx1"/>
                  </w14:solidFill>
                </w14:textFill>
              </w:rPr>
              <w:t>符合性分析</w:t>
            </w:r>
          </w:p>
          <w:p w14:paraId="67166C7C">
            <w:pPr>
              <w:spacing w:line="360" w:lineRule="auto"/>
              <w:ind w:firstLine="480" w:firstLineChars="200"/>
              <w:rPr>
                <w:rFonts w:hint="eastAsia"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14:textFill>
                  <w14:solidFill>
                    <w14:schemeClr w14:val="tx1"/>
                  </w14:solidFill>
                </w14:textFill>
              </w:rPr>
              <w:t>根据</w:t>
            </w:r>
            <w:r>
              <w:rPr>
                <w:rFonts w:hint="eastAsia"/>
                <w:color w:val="000000" w:themeColor="text1"/>
                <w:sz w:val="24"/>
                <w:szCs w:val="24"/>
                <w:highlight w:val="none"/>
                <w:lang w:eastAsia="zh-CN"/>
                <w14:textFill>
                  <w14:solidFill>
                    <w14:schemeClr w14:val="tx1"/>
                  </w14:solidFill>
                </w14:textFill>
              </w:rPr>
              <w:t>《福州市生态环境局关于发布福州市2024年生态环境分区管控动态更新成果的通知》（榕环保综〔2025〕1号），</w:t>
            </w:r>
            <w:r>
              <w:rPr>
                <w:rFonts w:hint="eastAsia"/>
                <w:color w:val="000000" w:themeColor="text1"/>
                <w:sz w:val="24"/>
                <w:szCs w:val="24"/>
                <w:highlight w:val="none"/>
                <w:lang w:val="en-US" w:eastAsia="zh-CN"/>
                <w14:textFill>
                  <w14:solidFill>
                    <w14:schemeClr w14:val="tx1"/>
                  </w14:solidFill>
                </w14:textFill>
              </w:rPr>
              <w:t>本项目与福州市生态环境分区管控要求的</w:t>
            </w:r>
            <w:r>
              <w:rPr>
                <w:rFonts w:hint="eastAsia"/>
                <w:color w:val="000000" w:themeColor="text1"/>
                <w:sz w:val="24"/>
                <w:szCs w:val="24"/>
                <w:highlight w:val="none"/>
                <w14:textFill>
                  <w14:solidFill>
                    <w14:schemeClr w14:val="tx1"/>
                  </w14:solidFill>
                </w14:textFill>
              </w:rPr>
              <w:t>符合性分析如下</w:t>
            </w:r>
            <w:r>
              <w:rPr>
                <w:rFonts w:hint="eastAsia"/>
                <w:color w:val="000000" w:themeColor="text1"/>
                <w:sz w:val="24"/>
                <w:szCs w:val="24"/>
                <w:highlight w:val="none"/>
                <w:lang w:val="en-US" w:eastAsia="zh-CN"/>
                <w14:textFill>
                  <w14:solidFill>
                    <w14:schemeClr w14:val="tx1"/>
                  </w14:solidFill>
                </w14:textFill>
              </w:rPr>
              <w:t>表。</w:t>
            </w:r>
          </w:p>
          <w:p w14:paraId="399663EA">
            <w:pPr>
              <w:spacing w:line="360" w:lineRule="auto"/>
              <w:jc w:val="center"/>
              <w:rPr>
                <w:b/>
                <w:color w:val="000000" w:themeColor="text1"/>
                <w:sz w:val="24"/>
                <w:szCs w:val="24"/>
                <w:highlight w:val="none"/>
                <w14:textFill>
                  <w14:solidFill>
                    <w14:schemeClr w14:val="tx1"/>
                  </w14:solidFill>
                </w14:textFill>
              </w:rPr>
            </w:pPr>
            <w:r>
              <w:rPr>
                <w:rFonts w:hint="eastAsia"/>
                <w:b/>
                <w:color w:val="000000" w:themeColor="text1"/>
                <w:sz w:val="24"/>
                <w:szCs w:val="24"/>
                <w:highlight w:val="none"/>
                <w14:textFill>
                  <w14:solidFill>
                    <w14:schemeClr w14:val="tx1"/>
                  </w14:solidFill>
                </w14:textFill>
              </w:rPr>
              <w:t>表 1</w:t>
            </w:r>
            <w:r>
              <w:rPr>
                <w:b/>
                <w:color w:val="000000" w:themeColor="text1"/>
                <w:sz w:val="24"/>
                <w:szCs w:val="24"/>
                <w:highlight w:val="none"/>
                <w14:textFill>
                  <w14:solidFill>
                    <w14:schemeClr w14:val="tx1"/>
                  </w14:solidFill>
                </w14:textFill>
              </w:rPr>
              <w:t>-</w:t>
            </w:r>
            <w:r>
              <w:rPr>
                <w:rFonts w:hint="eastAsia"/>
                <w:b/>
                <w:color w:val="000000" w:themeColor="text1"/>
                <w:sz w:val="24"/>
                <w:szCs w:val="24"/>
                <w:highlight w:val="none"/>
                <w:lang w:val="en-US" w:eastAsia="zh-CN"/>
                <w14:textFill>
                  <w14:solidFill>
                    <w14:schemeClr w14:val="tx1"/>
                  </w14:solidFill>
                </w14:textFill>
              </w:rPr>
              <w:t>4</w:t>
            </w:r>
            <w:r>
              <w:rPr>
                <w:b/>
                <w:color w:val="000000" w:themeColor="text1"/>
                <w:sz w:val="24"/>
                <w:szCs w:val="24"/>
                <w:highlight w:val="none"/>
                <w14:textFill>
                  <w14:solidFill>
                    <w14:schemeClr w14:val="tx1"/>
                  </w14:solidFill>
                </w14:textFill>
              </w:rPr>
              <w:t xml:space="preserve"> </w:t>
            </w:r>
            <w:r>
              <w:rPr>
                <w:rFonts w:hint="eastAsia"/>
                <w:b/>
                <w:color w:val="000000" w:themeColor="text1"/>
                <w:sz w:val="24"/>
                <w:szCs w:val="24"/>
                <w:highlight w:val="none"/>
                <w14:textFill>
                  <w14:solidFill>
                    <w14:schemeClr w14:val="tx1"/>
                  </w14:solidFill>
                </w14:textFill>
              </w:rPr>
              <w:t>与</w:t>
            </w:r>
            <w:r>
              <w:rPr>
                <w:rFonts w:hint="eastAsia"/>
                <w:b/>
                <w:color w:val="000000" w:themeColor="text1"/>
                <w:sz w:val="24"/>
                <w:szCs w:val="24"/>
                <w:highlight w:val="none"/>
                <w:lang w:val="en-US" w:eastAsia="zh-CN"/>
                <w14:textFill>
                  <w14:solidFill>
                    <w14:schemeClr w14:val="tx1"/>
                  </w14:solidFill>
                </w14:textFill>
              </w:rPr>
              <w:t>生态环境分区管控要求的</w:t>
            </w:r>
            <w:r>
              <w:rPr>
                <w:rFonts w:hint="eastAsia"/>
                <w:b/>
                <w:color w:val="000000" w:themeColor="text1"/>
                <w:sz w:val="24"/>
                <w:szCs w:val="24"/>
                <w:highlight w:val="none"/>
                <w14:textFill>
                  <w14:solidFill>
                    <w14:schemeClr w14:val="tx1"/>
                  </w14:solidFill>
                </w14:textFill>
              </w:rPr>
              <w:t>符合性分析</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6132"/>
              <w:gridCol w:w="914"/>
            </w:tblGrid>
            <w:tr w14:paraId="42BCF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76" w:type="dxa"/>
                  <w:shd w:val="clear" w:color="auto" w:fill="auto"/>
                  <w:vAlign w:val="center"/>
                </w:tcPr>
                <w:p w14:paraId="2A37C453">
                  <w:pPr>
                    <w:jc w:val="center"/>
                    <w:rPr>
                      <w:color w:val="000000" w:themeColor="text1"/>
                      <w:sz w:val="21"/>
                      <w:szCs w:val="18"/>
                      <w:highlight w:val="none"/>
                      <w14:textFill>
                        <w14:solidFill>
                          <w14:schemeClr w14:val="tx1"/>
                        </w14:solidFill>
                      </w14:textFill>
                    </w:rPr>
                  </w:pPr>
                  <w:r>
                    <w:rPr>
                      <w:rFonts w:hint="eastAsia"/>
                      <w:color w:val="000000" w:themeColor="text1"/>
                      <w:sz w:val="21"/>
                      <w:szCs w:val="18"/>
                      <w:highlight w:val="none"/>
                      <w14:textFill>
                        <w14:solidFill>
                          <w14:schemeClr w14:val="tx1"/>
                        </w14:solidFill>
                      </w14:textFill>
                    </w:rPr>
                    <w:t>内容</w:t>
                  </w:r>
                </w:p>
              </w:tc>
              <w:tc>
                <w:tcPr>
                  <w:tcW w:w="6132" w:type="dxa"/>
                  <w:shd w:val="clear" w:color="auto" w:fill="auto"/>
                  <w:vAlign w:val="center"/>
                </w:tcPr>
                <w:p w14:paraId="5CAA482B">
                  <w:pPr>
                    <w:jc w:val="center"/>
                    <w:rPr>
                      <w:color w:val="000000" w:themeColor="text1"/>
                      <w:sz w:val="21"/>
                      <w:szCs w:val="18"/>
                      <w:highlight w:val="none"/>
                      <w14:textFill>
                        <w14:solidFill>
                          <w14:schemeClr w14:val="tx1"/>
                        </w14:solidFill>
                      </w14:textFill>
                    </w:rPr>
                  </w:pPr>
                  <w:r>
                    <w:rPr>
                      <w:rFonts w:hint="eastAsia"/>
                      <w:color w:val="000000" w:themeColor="text1"/>
                      <w:sz w:val="21"/>
                      <w:szCs w:val="18"/>
                      <w:highlight w:val="none"/>
                      <w14:textFill>
                        <w14:solidFill>
                          <w14:schemeClr w14:val="tx1"/>
                        </w14:solidFill>
                      </w14:textFill>
                    </w:rPr>
                    <w:t>项目分析</w:t>
                  </w:r>
                </w:p>
              </w:tc>
              <w:tc>
                <w:tcPr>
                  <w:tcW w:w="914" w:type="dxa"/>
                  <w:shd w:val="clear" w:color="auto" w:fill="auto"/>
                  <w:vAlign w:val="center"/>
                </w:tcPr>
                <w:p w14:paraId="3B611D47">
                  <w:pPr>
                    <w:jc w:val="center"/>
                    <w:rPr>
                      <w:color w:val="000000" w:themeColor="text1"/>
                      <w:sz w:val="21"/>
                      <w:szCs w:val="18"/>
                      <w:highlight w:val="none"/>
                      <w14:textFill>
                        <w14:solidFill>
                          <w14:schemeClr w14:val="tx1"/>
                        </w14:solidFill>
                      </w14:textFill>
                    </w:rPr>
                  </w:pPr>
                  <w:r>
                    <w:rPr>
                      <w:rFonts w:hint="eastAsia"/>
                      <w:color w:val="000000" w:themeColor="text1"/>
                      <w:sz w:val="21"/>
                      <w:szCs w:val="18"/>
                      <w:highlight w:val="none"/>
                      <w14:textFill>
                        <w14:solidFill>
                          <w14:schemeClr w14:val="tx1"/>
                        </w14:solidFill>
                      </w14:textFill>
                    </w:rPr>
                    <w:t>符合性分析</w:t>
                  </w:r>
                </w:p>
              </w:tc>
            </w:tr>
            <w:tr w14:paraId="0A0C8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76" w:type="dxa"/>
                  <w:shd w:val="clear" w:color="auto" w:fill="auto"/>
                  <w:vAlign w:val="center"/>
                </w:tcPr>
                <w:p w14:paraId="3FE13C22">
                  <w:pPr>
                    <w:jc w:val="center"/>
                    <w:rPr>
                      <w:color w:val="000000" w:themeColor="text1"/>
                      <w:sz w:val="21"/>
                      <w:szCs w:val="18"/>
                      <w:highlight w:val="none"/>
                      <w14:textFill>
                        <w14:solidFill>
                          <w14:schemeClr w14:val="tx1"/>
                        </w14:solidFill>
                      </w14:textFill>
                    </w:rPr>
                  </w:pPr>
                  <w:r>
                    <w:rPr>
                      <w:rFonts w:hint="eastAsia"/>
                      <w:color w:val="000000" w:themeColor="text1"/>
                      <w:sz w:val="21"/>
                      <w:szCs w:val="18"/>
                      <w:highlight w:val="none"/>
                      <w14:textFill>
                        <w14:solidFill>
                          <w14:schemeClr w14:val="tx1"/>
                        </w14:solidFill>
                      </w14:textFill>
                    </w:rPr>
                    <w:t>生态保护红线</w:t>
                  </w:r>
                </w:p>
              </w:tc>
              <w:tc>
                <w:tcPr>
                  <w:tcW w:w="6132" w:type="dxa"/>
                  <w:shd w:val="clear" w:color="auto" w:fill="auto"/>
                  <w:vAlign w:val="center"/>
                </w:tcPr>
                <w:p w14:paraId="042A90FD">
                  <w:pPr>
                    <w:spacing w:line="276" w:lineRule="auto"/>
                    <w:jc w:val="both"/>
                    <w:rPr>
                      <w:color w:val="000000" w:themeColor="text1"/>
                      <w:sz w:val="21"/>
                      <w:szCs w:val="18"/>
                      <w:highlight w:val="none"/>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经查询福建省生态环境分区管控数据应用平台，本项目位于福州市生物医药和机电产业园中的机电产业园，不涉及生态保护红线</w:t>
                  </w:r>
                  <w:r>
                    <w:rPr>
                      <w:rFonts w:hint="eastAsia"/>
                      <w:color w:val="000000" w:themeColor="text1"/>
                      <w:sz w:val="21"/>
                      <w:szCs w:val="18"/>
                      <w:highlight w:val="none"/>
                      <w14:textFill>
                        <w14:solidFill>
                          <w14:schemeClr w14:val="tx1"/>
                        </w14:solidFill>
                      </w14:textFill>
                    </w:rPr>
                    <w:t>。因此，项目建设符合生态红线控制要求。</w:t>
                  </w:r>
                </w:p>
              </w:tc>
              <w:tc>
                <w:tcPr>
                  <w:tcW w:w="914" w:type="dxa"/>
                  <w:shd w:val="clear" w:color="auto" w:fill="auto"/>
                  <w:vAlign w:val="center"/>
                </w:tcPr>
                <w:p w14:paraId="52934663">
                  <w:pPr>
                    <w:jc w:val="center"/>
                    <w:rPr>
                      <w:color w:val="000000" w:themeColor="text1"/>
                      <w:sz w:val="21"/>
                      <w:szCs w:val="18"/>
                      <w:highlight w:val="none"/>
                      <w14:textFill>
                        <w14:solidFill>
                          <w14:schemeClr w14:val="tx1"/>
                        </w14:solidFill>
                      </w14:textFill>
                    </w:rPr>
                  </w:pPr>
                  <w:r>
                    <w:rPr>
                      <w:rFonts w:hint="eastAsia"/>
                      <w:color w:val="000000" w:themeColor="text1"/>
                      <w:sz w:val="21"/>
                      <w:szCs w:val="18"/>
                      <w:highlight w:val="none"/>
                      <w14:textFill>
                        <w14:solidFill>
                          <w14:schemeClr w14:val="tx1"/>
                        </w14:solidFill>
                      </w14:textFill>
                    </w:rPr>
                    <w:t>符合</w:t>
                  </w:r>
                </w:p>
              </w:tc>
            </w:tr>
            <w:tr w14:paraId="33623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6" w:type="dxa"/>
                  <w:shd w:val="clear" w:color="auto" w:fill="auto"/>
                  <w:vAlign w:val="center"/>
                </w:tcPr>
                <w:p w14:paraId="62AFE50F">
                  <w:pPr>
                    <w:jc w:val="center"/>
                    <w:rPr>
                      <w:color w:val="000000" w:themeColor="text1"/>
                      <w:sz w:val="21"/>
                      <w:szCs w:val="18"/>
                      <w:highlight w:val="none"/>
                      <w14:textFill>
                        <w14:solidFill>
                          <w14:schemeClr w14:val="tx1"/>
                        </w14:solidFill>
                      </w14:textFill>
                    </w:rPr>
                  </w:pPr>
                  <w:r>
                    <w:rPr>
                      <w:rFonts w:hint="eastAsia"/>
                      <w:color w:val="000000" w:themeColor="text1"/>
                      <w:sz w:val="21"/>
                      <w:szCs w:val="18"/>
                      <w:highlight w:val="none"/>
                      <w14:textFill>
                        <w14:solidFill>
                          <w14:schemeClr w14:val="tx1"/>
                        </w14:solidFill>
                      </w14:textFill>
                    </w:rPr>
                    <w:t>环境质量底线</w:t>
                  </w:r>
                </w:p>
              </w:tc>
              <w:tc>
                <w:tcPr>
                  <w:tcW w:w="6132" w:type="dxa"/>
                  <w:shd w:val="clear" w:color="auto" w:fill="auto"/>
                  <w:vAlign w:val="center"/>
                </w:tcPr>
                <w:p w14:paraId="37324BC4">
                  <w:pPr>
                    <w:autoSpaceDE w:val="0"/>
                    <w:autoSpaceDN w:val="0"/>
                    <w:adjustRightInd w:val="0"/>
                    <w:spacing w:line="276" w:lineRule="auto"/>
                    <w:jc w:val="left"/>
                    <w:rPr>
                      <w:rFonts w:hint="eastAsia"/>
                      <w:color w:val="000000" w:themeColor="text1"/>
                      <w:sz w:val="21"/>
                      <w:szCs w:val="18"/>
                      <w:highlight w:val="none"/>
                      <w:lang w:eastAsia="zh-CN"/>
                      <w14:textFill>
                        <w14:solidFill>
                          <w14:schemeClr w14:val="tx1"/>
                        </w14:solidFill>
                      </w14:textFill>
                    </w:rPr>
                  </w:pPr>
                  <w:r>
                    <w:rPr>
                      <w:rFonts w:hint="eastAsia"/>
                      <w:color w:val="000000" w:themeColor="text1"/>
                      <w:sz w:val="21"/>
                      <w:szCs w:val="18"/>
                      <w:highlight w:val="none"/>
                      <w:lang w:eastAsia="zh-CN"/>
                      <w14:textFill>
                        <w14:solidFill>
                          <w14:schemeClr w14:val="tx1"/>
                        </w14:solidFill>
                      </w14:textFill>
                    </w:rPr>
                    <w:t>（</w:t>
                  </w:r>
                  <w:r>
                    <w:rPr>
                      <w:rFonts w:hint="eastAsia"/>
                      <w:color w:val="000000" w:themeColor="text1"/>
                      <w:sz w:val="21"/>
                      <w:szCs w:val="18"/>
                      <w:highlight w:val="none"/>
                      <w:lang w:val="en-US" w:eastAsia="zh-CN"/>
                      <w14:textFill>
                        <w14:solidFill>
                          <w14:schemeClr w14:val="tx1"/>
                        </w14:solidFill>
                      </w14:textFill>
                    </w:rPr>
                    <w:t>1</w:t>
                  </w:r>
                  <w:r>
                    <w:rPr>
                      <w:rFonts w:hint="eastAsia"/>
                      <w:color w:val="000000" w:themeColor="text1"/>
                      <w:sz w:val="21"/>
                      <w:szCs w:val="18"/>
                      <w:highlight w:val="none"/>
                      <w:lang w:eastAsia="zh-CN"/>
                      <w14:textFill>
                        <w14:solidFill>
                          <w14:schemeClr w14:val="tx1"/>
                        </w14:solidFill>
                      </w14:textFill>
                    </w:rPr>
                    <w:t>）</w:t>
                  </w:r>
                  <w:r>
                    <w:rPr>
                      <w:rFonts w:hint="eastAsia"/>
                      <w:color w:val="000000" w:themeColor="text1"/>
                      <w:sz w:val="21"/>
                      <w:szCs w:val="18"/>
                      <w:highlight w:val="none"/>
                      <w:lang w:val="en-US" w:eastAsia="zh-CN"/>
                      <w14:textFill>
                        <w14:solidFill>
                          <w14:schemeClr w14:val="tx1"/>
                        </w14:solidFill>
                      </w14:textFill>
                    </w:rPr>
                    <w:t>水环境：水环境质量底线目标为：到2025年，国省控断面水质优良（达到或优于Ⅲ类）比例总体达97.2%以上；县级以上集中式饮用水水源水质达标率达100%。到2035年，国省控断面水质优良（达到或优于Ⅲ类）比例总体达到100%；生态系统实现良性循环。</w:t>
                  </w:r>
                  <w:r>
                    <w:rPr>
                      <w:rFonts w:hint="eastAsia"/>
                      <w:color w:val="000000" w:themeColor="text1"/>
                      <w:sz w:val="21"/>
                      <w:szCs w:val="18"/>
                      <w:highlight w:val="none"/>
                      <w14:textFill>
                        <w14:solidFill>
                          <w14:schemeClr w14:val="tx1"/>
                        </w14:solidFill>
                      </w14:textFill>
                    </w:rPr>
                    <w:t>项目附近地表水体</w:t>
                  </w:r>
                  <w:r>
                    <w:rPr>
                      <w:rFonts w:hint="eastAsia"/>
                      <w:color w:val="000000" w:themeColor="text1"/>
                      <w:sz w:val="21"/>
                      <w:szCs w:val="18"/>
                      <w:highlight w:val="none"/>
                      <w:lang w:val="en-US" w:eastAsia="zh-CN"/>
                      <w14:textFill>
                        <w14:solidFill>
                          <w14:schemeClr w14:val="tx1"/>
                        </w14:solidFill>
                      </w14:textFill>
                    </w:rPr>
                    <w:t>大樟溪</w:t>
                  </w:r>
                  <w:r>
                    <w:rPr>
                      <w:rFonts w:hint="eastAsia"/>
                      <w:color w:val="000000" w:themeColor="text1"/>
                      <w:sz w:val="21"/>
                      <w:szCs w:val="18"/>
                      <w:highlight w:val="none"/>
                      <w14:textFill>
                        <w14:solidFill>
                          <w14:schemeClr w14:val="tx1"/>
                        </w14:solidFill>
                      </w14:textFill>
                    </w:rPr>
                    <w:t>能满足《地表水环境质量标准》(GB3838-2002)中</w:t>
                  </w:r>
                  <w:r>
                    <w:rPr>
                      <w:rFonts w:hint="eastAsia"/>
                      <w:color w:val="000000" w:themeColor="text1"/>
                      <w:sz w:val="21"/>
                      <w:szCs w:val="18"/>
                      <w:highlight w:val="none"/>
                      <w:lang w:val="en-US" w:eastAsia="zh-CN"/>
                      <w14:textFill>
                        <w14:solidFill>
                          <w14:schemeClr w14:val="tx1"/>
                        </w14:solidFill>
                      </w14:textFill>
                    </w:rPr>
                    <w:t>Ⅲ</w:t>
                  </w:r>
                  <w:r>
                    <w:rPr>
                      <w:rFonts w:hint="eastAsia"/>
                      <w:color w:val="000000" w:themeColor="text1"/>
                      <w:sz w:val="21"/>
                      <w:szCs w:val="18"/>
                      <w:highlight w:val="none"/>
                      <w14:textFill>
                        <w14:solidFill>
                          <w14:schemeClr w14:val="tx1"/>
                        </w14:solidFill>
                      </w14:textFill>
                    </w:rPr>
                    <w:t>类水质标准。</w:t>
                  </w:r>
                  <w:r>
                    <w:rPr>
                      <w:rFonts w:hint="eastAsia"/>
                      <w:color w:val="000000" w:themeColor="text1"/>
                      <w:sz w:val="21"/>
                      <w:szCs w:val="18"/>
                      <w:highlight w:val="none"/>
                      <w:lang w:val="en-US" w:eastAsia="zh-CN"/>
                      <w14:textFill>
                        <w14:solidFill>
                          <w14:schemeClr w14:val="tx1"/>
                        </w14:solidFill>
                      </w14:textFill>
                    </w:rPr>
                    <w:t>项目生产废水处理后通过市政污水管网送往福州大学城污水处理厂集中处理，生活污水经隔油+化粪池处理达标后排入市政污水管网，送往福州大学城污水处理厂集中处理，对区域水环境质量影响较小</w:t>
                  </w:r>
                  <w:r>
                    <w:rPr>
                      <w:rFonts w:hint="eastAsia"/>
                      <w:color w:val="000000" w:themeColor="text1"/>
                      <w:sz w:val="21"/>
                      <w:szCs w:val="18"/>
                      <w:highlight w:val="none"/>
                      <w:lang w:eastAsia="zh-CN"/>
                      <w14:textFill>
                        <w14:solidFill>
                          <w14:schemeClr w14:val="tx1"/>
                        </w14:solidFill>
                      </w14:textFill>
                    </w:rPr>
                    <w:t>，项目建设不会突破区域水环境质量底线。</w:t>
                  </w:r>
                </w:p>
                <w:p w14:paraId="5394476F">
                  <w:pPr>
                    <w:autoSpaceDE w:val="0"/>
                    <w:autoSpaceDN w:val="0"/>
                    <w:adjustRightInd w:val="0"/>
                    <w:spacing w:line="276" w:lineRule="auto"/>
                    <w:jc w:val="left"/>
                    <w:rPr>
                      <w:rFonts w:hint="eastAsia"/>
                      <w:color w:val="000000" w:themeColor="text1"/>
                      <w:sz w:val="21"/>
                      <w:szCs w:val="18"/>
                      <w:highlight w:val="none"/>
                      <w:lang w:eastAsia="zh-CN"/>
                      <w14:textFill>
                        <w14:solidFill>
                          <w14:schemeClr w14:val="tx1"/>
                        </w14:solidFill>
                      </w14:textFill>
                    </w:rPr>
                  </w:pPr>
                  <w:r>
                    <w:rPr>
                      <w:rFonts w:hint="eastAsia"/>
                      <w:color w:val="000000" w:themeColor="text1"/>
                      <w:sz w:val="21"/>
                      <w:szCs w:val="18"/>
                      <w:highlight w:val="none"/>
                      <w:lang w:eastAsia="zh-CN"/>
                      <w14:textFill>
                        <w14:solidFill>
                          <w14:schemeClr w14:val="tx1"/>
                        </w14:solidFill>
                      </w14:textFill>
                    </w:rPr>
                    <w:t>（</w:t>
                  </w:r>
                  <w:r>
                    <w:rPr>
                      <w:rFonts w:hint="eastAsia"/>
                      <w:color w:val="000000" w:themeColor="text1"/>
                      <w:sz w:val="21"/>
                      <w:szCs w:val="18"/>
                      <w:highlight w:val="none"/>
                      <w:lang w:val="en-US" w:eastAsia="zh-CN"/>
                      <w14:textFill>
                        <w14:solidFill>
                          <w14:schemeClr w14:val="tx1"/>
                        </w14:solidFill>
                      </w14:textFill>
                    </w:rPr>
                    <w:t>2</w:t>
                  </w:r>
                  <w:r>
                    <w:rPr>
                      <w:rFonts w:hint="eastAsia"/>
                      <w:color w:val="000000" w:themeColor="text1"/>
                      <w:sz w:val="21"/>
                      <w:szCs w:val="18"/>
                      <w:highlight w:val="none"/>
                      <w:lang w:eastAsia="zh-CN"/>
                      <w14:textFill>
                        <w14:solidFill>
                          <w14:schemeClr w14:val="tx1"/>
                        </w14:solidFill>
                      </w14:textFill>
                    </w:rPr>
                    <w:t>）</w:t>
                  </w:r>
                  <w:r>
                    <w:rPr>
                      <w:rFonts w:hint="eastAsia"/>
                      <w:color w:val="000000" w:themeColor="text1"/>
                      <w:sz w:val="21"/>
                      <w:szCs w:val="18"/>
                      <w:highlight w:val="none"/>
                      <w:lang w:val="en-US" w:eastAsia="zh-CN"/>
                      <w14:textFill>
                        <w14:solidFill>
                          <w14:schemeClr w14:val="tx1"/>
                        </w14:solidFill>
                      </w14:textFill>
                    </w:rPr>
                    <w:t>大气环境：大气环境质量底线目标为：到2025年，环境空气质量持续改善，细颗粒物（PM</w:t>
                  </w:r>
                  <w:r>
                    <w:rPr>
                      <w:rFonts w:hint="eastAsia"/>
                      <w:color w:val="000000" w:themeColor="text1"/>
                      <w:sz w:val="21"/>
                      <w:szCs w:val="18"/>
                      <w:highlight w:val="none"/>
                      <w:vertAlign w:val="subscript"/>
                      <w:lang w:val="en-US" w:eastAsia="zh-CN"/>
                      <w14:textFill>
                        <w14:solidFill>
                          <w14:schemeClr w14:val="tx1"/>
                        </w14:solidFill>
                      </w14:textFill>
                    </w:rPr>
                    <w:t>2.5</w:t>
                  </w:r>
                  <w:r>
                    <w:rPr>
                      <w:rFonts w:hint="eastAsia"/>
                      <w:color w:val="000000" w:themeColor="text1"/>
                      <w:sz w:val="21"/>
                      <w:szCs w:val="18"/>
                      <w:highlight w:val="none"/>
                      <w:lang w:val="en-US" w:eastAsia="zh-CN"/>
                      <w14:textFill>
                        <w14:solidFill>
                          <w14:schemeClr w14:val="tx1"/>
                        </w14:solidFill>
                      </w14:textFill>
                    </w:rPr>
                    <w:t>）年均浓度降至18.6</w:t>
                  </w:r>
                  <w:r>
                    <w:rPr>
                      <w:rFonts w:hint="default" w:ascii="Times New Roman" w:hAnsi="Times New Roman" w:cs="Times New Roman"/>
                      <w:color w:val="000000" w:themeColor="text1"/>
                      <w:sz w:val="21"/>
                      <w:szCs w:val="18"/>
                      <w:highlight w:val="none"/>
                      <w:lang w:val="en-US" w:eastAsia="zh-CN"/>
                      <w14:textFill>
                        <w14:solidFill>
                          <w14:schemeClr w14:val="tx1"/>
                        </w14:solidFill>
                      </w14:textFill>
                    </w:rPr>
                    <w:t>μ</w:t>
                  </w:r>
                  <w:r>
                    <w:rPr>
                      <w:rFonts w:hint="eastAsia"/>
                      <w:color w:val="000000" w:themeColor="text1"/>
                      <w:sz w:val="21"/>
                      <w:szCs w:val="18"/>
                      <w:highlight w:val="none"/>
                      <w:lang w:val="en-US" w:eastAsia="zh-CN"/>
                      <w14:textFill>
                        <w14:solidFill>
                          <w14:schemeClr w14:val="tx1"/>
                        </w14:solidFill>
                      </w14:textFill>
                    </w:rPr>
                    <w:t>g/m</w:t>
                  </w:r>
                  <w:r>
                    <w:rPr>
                      <w:rFonts w:hint="eastAsia"/>
                      <w:color w:val="000000" w:themeColor="text1"/>
                      <w:sz w:val="21"/>
                      <w:szCs w:val="18"/>
                      <w:highlight w:val="none"/>
                      <w:vertAlign w:val="superscript"/>
                      <w:lang w:val="en-US" w:eastAsia="zh-CN"/>
                      <w14:textFill>
                        <w14:solidFill>
                          <w14:schemeClr w14:val="tx1"/>
                        </w14:solidFill>
                      </w14:textFill>
                    </w:rPr>
                    <w:t>3</w:t>
                  </w:r>
                  <w:r>
                    <w:rPr>
                      <w:rFonts w:hint="eastAsia"/>
                      <w:color w:val="000000" w:themeColor="text1"/>
                      <w:sz w:val="21"/>
                      <w:szCs w:val="18"/>
                      <w:highlight w:val="none"/>
                      <w:lang w:val="en-US" w:eastAsia="zh-CN"/>
                      <w14:textFill>
                        <w14:solidFill>
                          <w14:schemeClr w14:val="tx1"/>
                        </w14:solidFill>
                      </w14:textFill>
                    </w:rPr>
                    <w:t>。到2035年，县级城市细颗粒物（PM</w:t>
                  </w:r>
                  <w:r>
                    <w:rPr>
                      <w:rFonts w:hint="eastAsia"/>
                      <w:color w:val="000000" w:themeColor="text1"/>
                      <w:sz w:val="21"/>
                      <w:szCs w:val="18"/>
                      <w:highlight w:val="none"/>
                      <w:vertAlign w:val="subscript"/>
                      <w:lang w:val="en-US" w:eastAsia="zh-CN"/>
                      <w14:textFill>
                        <w14:solidFill>
                          <w14:schemeClr w14:val="tx1"/>
                        </w14:solidFill>
                      </w14:textFill>
                    </w:rPr>
                    <w:t>2.5</w:t>
                  </w:r>
                  <w:r>
                    <w:rPr>
                      <w:rFonts w:hint="eastAsia"/>
                      <w:color w:val="000000" w:themeColor="text1"/>
                      <w:sz w:val="21"/>
                      <w:szCs w:val="18"/>
                      <w:highlight w:val="none"/>
                      <w:lang w:val="en-US" w:eastAsia="zh-CN"/>
                      <w14:textFill>
                        <w14:solidFill>
                          <w14:schemeClr w14:val="tx1"/>
                        </w14:solidFill>
                      </w14:textFill>
                    </w:rPr>
                    <w:t>）年均浓度小于15</w:t>
                  </w:r>
                  <w:r>
                    <w:rPr>
                      <w:rFonts w:hint="default" w:ascii="Times New Roman" w:hAnsi="Times New Roman" w:cs="Times New Roman"/>
                      <w:color w:val="000000" w:themeColor="text1"/>
                      <w:sz w:val="21"/>
                      <w:szCs w:val="18"/>
                      <w:highlight w:val="none"/>
                      <w:lang w:val="en-US" w:eastAsia="zh-CN"/>
                      <w14:textFill>
                        <w14:solidFill>
                          <w14:schemeClr w14:val="tx1"/>
                        </w14:solidFill>
                      </w14:textFill>
                    </w:rPr>
                    <w:t>μ</w:t>
                  </w:r>
                  <w:r>
                    <w:rPr>
                      <w:rFonts w:hint="eastAsia"/>
                      <w:color w:val="000000" w:themeColor="text1"/>
                      <w:sz w:val="21"/>
                      <w:szCs w:val="18"/>
                      <w:highlight w:val="none"/>
                      <w:lang w:val="en-US" w:eastAsia="zh-CN"/>
                      <w14:textFill>
                        <w14:solidFill>
                          <w14:schemeClr w14:val="tx1"/>
                        </w14:solidFill>
                      </w14:textFill>
                    </w:rPr>
                    <w:t>g/m</w:t>
                  </w:r>
                  <w:r>
                    <w:rPr>
                      <w:rFonts w:hint="eastAsia"/>
                      <w:color w:val="000000" w:themeColor="text1"/>
                      <w:sz w:val="21"/>
                      <w:szCs w:val="18"/>
                      <w:highlight w:val="none"/>
                      <w:vertAlign w:val="superscript"/>
                      <w:lang w:val="en-US" w:eastAsia="zh-CN"/>
                      <w14:textFill>
                        <w14:solidFill>
                          <w14:schemeClr w14:val="tx1"/>
                        </w14:solidFill>
                      </w14:textFill>
                    </w:rPr>
                    <w:t>3</w:t>
                  </w:r>
                  <w:r>
                    <w:rPr>
                      <w:rFonts w:hint="eastAsia"/>
                      <w:color w:val="000000" w:themeColor="text1"/>
                      <w:sz w:val="21"/>
                      <w:szCs w:val="18"/>
                      <w:highlight w:val="none"/>
                      <w:lang w:val="en-US" w:eastAsia="zh-CN"/>
                      <w14:textFill>
                        <w14:solidFill>
                          <w14:schemeClr w14:val="tx1"/>
                        </w14:solidFill>
                      </w14:textFill>
                    </w:rPr>
                    <w:t>，最终指标值以省下达指标为准。</w:t>
                  </w:r>
                  <w:r>
                    <w:rPr>
                      <w:rFonts w:hint="eastAsia"/>
                      <w:color w:val="000000" w:themeColor="text1"/>
                      <w:sz w:val="21"/>
                      <w:szCs w:val="18"/>
                      <w:highlight w:val="none"/>
                      <w14:textFill>
                        <w14:solidFill>
                          <w14:schemeClr w14:val="tx1"/>
                        </w14:solidFill>
                      </w14:textFill>
                    </w:rPr>
                    <w:t>根据大气环境质量现状可知，项目区域大气环境达到《环境空气质量标准》(GB3095-20</w:t>
                  </w:r>
                  <w:r>
                    <w:rPr>
                      <w:rFonts w:hint="eastAsia"/>
                      <w:color w:val="000000" w:themeColor="text1"/>
                      <w:sz w:val="21"/>
                      <w:szCs w:val="18"/>
                      <w:highlight w:val="none"/>
                      <w:lang w:val="en-US" w:eastAsia="zh-CN"/>
                      <w14:textFill>
                        <w14:solidFill>
                          <w14:schemeClr w14:val="tx1"/>
                        </w14:solidFill>
                      </w14:textFill>
                    </w:rPr>
                    <w:t>26</w:t>
                  </w:r>
                  <w:r>
                    <w:rPr>
                      <w:rFonts w:hint="eastAsia"/>
                      <w:color w:val="000000" w:themeColor="text1"/>
                      <w:sz w:val="21"/>
                      <w:szCs w:val="18"/>
                      <w:highlight w:val="none"/>
                      <w14:textFill>
                        <w14:solidFill>
                          <w14:schemeClr w14:val="tx1"/>
                        </w14:solidFill>
                      </w14:textFill>
                    </w:rPr>
                    <w:t>)中二级标准，区域大气环境具有一定的容量。项目废气经采取有效的治理措施后达标排放，对区域大气环境质量影响较小，项目的建设不会突破区域大气环境质量底线</w:t>
                  </w:r>
                  <w:r>
                    <w:rPr>
                      <w:rFonts w:hint="eastAsia"/>
                      <w:color w:val="000000" w:themeColor="text1"/>
                      <w:sz w:val="21"/>
                      <w:szCs w:val="18"/>
                      <w:highlight w:val="none"/>
                      <w:lang w:eastAsia="zh-CN"/>
                      <w14:textFill>
                        <w14:solidFill>
                          <w14:schemeClr w14:val="tx1"/>
                        </w14:solidFill>
                      </w14:textFill>
                    </w:rPr>
                    <w:t>。</w:t>
                  </w:r>
                </w:p>
                <w:p w14:paraId="53DCE317">
                  <w:pPr>
                    <w:autoSpaceDE w:val="0"/>
                    <w:autoSpaceDN w:val="0"/>
                    <w:adjustRightInd w:val="0"/>
                    <w:spacing w:line="276" w:lineRule="auto"/>
                    <w:jc w:val="left"/>
                    <w:rPr>
                      <w:rFonts w:ascii="宋体" w:cs="宋体"/>
                      <w:color w:val="000000" w:themeColor="text1"/>
                      <w:kern w:val="0"/>
                      <w:sz w:val="21"/>
                      <w:szCs w:val="18"/>
                      <w:highlight w:val="none"/>
                      <w14:textFill>
                        <w14:solidFill>
                          <w14:schemeClr w14:val="tx1"/>
                        </w14:solidFill>
                      </w14:textFill>
                    </w:rPr>
                  </w:pPr>
                  <w:r>
                    <w:rPr>
                      <w:rFonts w:hint="eastAsia"/>
                      <w:color w:val="000000" w:themeColor="text1"/>
                      <w:sz w:val="21"/>
                      <w:szCs w:val="18"/>
                      <w:highlight w:val="none"/>
                      <w:lang w:eastAsia="zh-CN"/>
                      <w14:textFill>
                        <w14:solidFill>
                          <w14:schemeClr w14:val="tx1"/>
                        </w14:solidFill>
                      </w14:textFill>
                    </w:rPr>
                    <w:t>（</w:t>
                  </w:r>
                  <w:r>
                    <w:rPr>
                      <w:rFonts w:hint="eastAsia"/>
                      <w:color w:val="000000" w:themeColor="text1"/>
                      <w:sz w:val="21"/>
                      <w:szCs w:val="18"/>
                      <w:highlight w:val="none"/>
                      <w:lang w:val="en-US" w:eastAsia="zh-CN"/>
                      <w14:textFill>
                        <w14:solidFill>
                          <w14:schemeClr w14:val="tx1"/>
                        </w14:solidFill>
                      </w14:textFill>
                    </w:rPr>
                    <w:t>3</w:t>
                  </w:r>
                  <w:r>
                    <w:rPr>
                      <w:rFonts w:hint="eastAsia"/>
                      <w:color w:val="000000" w:themeColor="text1"/>
                      <w:sz w:val="21"/>
                      <w:szCs w:val="18"/>
                      <w:highlight w:val="none"/>
                      <w:lang w:eastAsia="zh-CN"/>
                      <w14:textFill>
                        <w14:solidFill>
                          <w14:schemeClr w14:val="tx1"/>
                        </w14:solidFill>
                      </w14:textFill>
                    </w:rPr>
                    <w:t>）</w:t>
                  </w:r>
                  <w:r>
                    <w:rPr>
                      <w:rFonts w:hint="eastAsia"/>
                      <w:color w:val="000000" w:themeColor="text1"/>
                      <w:sz w:val="21"/>
                      <w:szCs w:val="18"/>
                      <w:highlight w:val="none"/>
                      <w:lang w:val="en-US" w:eastAsia="zh-CN"/>
                      <w14:textFill>
                        <w14:solidFill>
                          <w14:schemeClr w14:val="tx1"/>
                        </w14:solidFill>
                      </w14:textFill>
                    </w:rPr>
                    <w:t>土壤环境：土壤环境风险防控底线为：到2025年，受污染耕地安全利用率达到95%（含）以上，重点建设用地安全利用率得到有效保障，重点行业企业用地优先管控名录地块风险管控率达到95%（含）以上，开垦耕地土壤污染调查覆盖率达90%以上，畜禽粪污综合利用率预期达95%（含）以上。到2035年，全市土壤环境质量稳中向好，农用地和建设用地土壤环境得到有效保障，土壤环境风险得到全面管控。项目周边土壤环境相对不敏感，采取有效的防渗措施后，项目对土壤环境影响很小，基本不存在土壤环境污染途径</w:t>
                  </w:r>
                  <w:r>
                    <w:rPr>
                      <w:rFonts w:hint="eastAsia"/>
                      <w:color w:val="000000" w:themeColor="text1"/>
                      <w:sz w:val="21"/>
                      <w:szCs w:val="18"/>
                      <w:highlight w:val="none"/>
                      <w14:textFill>
                        <w14:solidFill>
                          <w14:schemeClr w14:val="tx1"/>
                        </w14:solidFill>
                      </w14:textFill>
                    </w:rPr>
                    <w:t>。</w:t>
                  </w:r>
                </w:p>
              </w:tc>
              <w:tc>
                <w:tcPr>
                  <w:tcW w:w="914" w:type="dxa"/>
                  <w:shd w:val="clear" w:color="auto" w:fill="auto"/>
                  <w:vAlign w:val="center"/>
                </w:tcPr>
                <w:p w14:paraId="09699346">
                  <w:pPr>
                    <w:jc w:val="center"/>
                    <w:rPr>
                      <w:color w:val="000000" w:themeColor="text1"/>
                      <w:sz w:val="21"/>
                      <w:szCs w:val="18"/>
                      <w:highlight w:val="none"/>
                      <w14:textFill>
                        <w14:solidFill>
                          <w14:schemeClr w14:val="tx1"/>
                        </w14:solidFill>
                      </w14:textFill>
                    </w:rPr>
                  </w:pPr>
                  <w:r>
                    <w:rPr>
                      <w:rFonts w:hint="eastAsia"/>
                      <w:color w:val="000000" w:themeColor="text1"/>
                      <w:sz w:val="21"/>
                      <w:szCs w:val="18"/>
                      <w:highlight w:val="none"/>
                      <w14:textFill>
                        <w14:solidFill>
                          <w14:schemeClr w14:val="tx1"/>
                        </w14:solidFill>
                      </w14:textFill>
                    </w:rPr>
                    <w:t>符合</w:t>
                  </w:r>
                </w:p>
              </w:tc>
            </w:tr>
            <w:tr w14:paraId="2DBEC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76" w:type="dxa"/>
                  <w:shd w:val="clear" w:color="auto" w:fill="auto"/>
                  <w:vAlign w:val="center"/>
                </w:tcPr>
                <w:p w14:paraId="20D518CA">
                  <w:pPr>
                    <w:jc w:val="center"/>
                    <w:rPr>
                      <w:color w:val="000000" w:themeColor="text1"/>
                      <w:sz w:val="21"/>
                      <w:szCs w:val="18"/>
                      <w:highlight w:val="none"/>
                      <w14:textFill>
                        <w14:solidFill>
                          <w14:schemeClr w14:val="tx1"/>
                        </w14:solidFill>
                      </w14:textFill>
                    </w:rPr>
                  </w:pPr>
                  <w:r>
                    <w:rPr>
                      <w:rFonts w:hint="eastAsia"/>
                      <w:color w:val="000000" w:themeColor="text1"/>
                      <w:sz w:val="21"/>
                      <w:szCs w:val="18"/>
                      <w:highlight w:val="none"/>
                      <w14:textFill>
                        <w14:solidFill>
                          <w14:schemeClr w14:val="tx1"/>
                        </w14:solidFill>
                      </w14:textFill>
                    </w:rPr>
                    <w:t>资源利用上线</w:t>
                  </w:r>
                </w:p>
              </w:tc>
              <w:tc>
                <w:tcPr>
                  <w:tcW w:w="6132" w:type="dxa"/>
                  <w:shd w:val="clear" w:color="auto" w:fill="auto"/>
                  <w:vAlign w:val="center"/>
                </w:tcPr>
                <w:p w14:paraId="3733D023">
                  <w:pPr>
                    <w:rPr>
                      <w:rFonts w:hint="eastAsia"/>
                      <w:color w:val="000000" w:themeColor="text1"/>
                      <w:sz w:val="21"/>
                      <w:szCs w:val="18"/>
                      <w:highlight w:val="none"/>
                      <w14:textFill>
                        <w14:solidFill>
                          <w14:schemeClr w14:val="tx1"/>
                        </w14:solidFill>
                      </w14:textFill>
                    </w:rPr>
                  </w:pPr>
                  <w:r>
                    <w:rPr>
                      <w:rFonts w:hint="eastAsia"/>
                      <w:color w:val="000000" w:themeColor="text1"/>
                      <w:sz w:val="21"/>
                      <w:szCs w:val="18"/>
                      <w:highlight w:val="none"/>
                      <w:lang w:eastAsia="zh-CN"/>
                      <w14:textFill>
                        <w14:solidFill>
                          <w14:schemeClr w14:val="tx1"/>
                        </w14:solidFill>
                      </w14:textFill>
                    </w:rPr>
                    <w:t>（</w:t>
                  </w:r>
                  <w:r>
                    <w:rPr>
                      <w:rFonts w:hint="eastAsia"/>
                      <w:color w:val="000000" w:themeColor="text1"/>
                      <w:sz w:val="21"/>
                      <w:szCs w:val="18"/>
                      <w:highlight w:val="none"/>
                      <w:lang w:val="en-US" w:eastAsia="zh-CN"/>
                      <w14:textFill>
                        <w14:solidFill>
                          <w14:schemeClr w14:val="tx1"/>
                        </w14:solidFill>
                      </w14:textFill>
                    </w:rPr>
                    <w:t>1</w:t>
                  </w:r>
                  <w:r>
                    <w:rPr>
                      <w:rFonts w:hint="eastAsia"/>
                      <w:color w:val="000000" w:themeColor="text1"/>
                      <w:sz w:val="21"/>
                      <w:szCs w:val="18"/>
                      <w:highlight w:val="none"/>
                      <w:lang w:eastAsia="zh-CN"/>
                      <w14:textFill>
                        <w14:solidFill>
                          <w14:schemeClr w14:val="tx1"/>
                        </w14:solidFill>
                      </w14:textFill>
                    </w:rPr>
                    <w:t>）</w:t>
                  </w:r>
                  <w:r>
                    <w:rPr>
                      <w:rFonts w:hint="eastAsia"/>
                      <w:color w:val="000000" w:themeColor="text1"/>
                      <w:sz w:val="21"/>
                      <w:szCs w:val="18"/>
                      <w:highlight w:val="none"/>
                      <w14:textFill>
                        <w14:solidFill>
                          <w14:schemeClr w14:val="tx1"/>
                        </w14:solidFill>
                      </w14:textFill>
                    </w:rPr>
                    <w:t>项目用水、用电为区域集中供应，项目运行过程通过内部管理、设备选择、原辅材料的选用和管理、废物回收利用、污染治理等多方面采取合理可行的防治措施，以“节能、降耗、减污”为目标，有效的控制污染。项目的水、电等资源利用不会突破区域的资源利用上线。</w:t>
                  </w:r>
                </w:p>
                <w:p w14:paraId="494C99E6">
                  <w:pPr>
                    <w:rPr>
                      <w:color w:val="000000" w:themeColor="text1"/>
                      <w:sz w:val="21"/>
                      <w:szCs w:val="18"/>
                      <w:highlight w:val="none"/>
                      <w14:textFill>
                        <w14:solidFill>
                          <w14:schemeClr w14:val="tx1"/>
                        </w14:solidFill>
                      </w14:textFill>
                    </w:rPr>
                  </w:pPr>
                  <w:r>
                    <w:rPr>
                      <w:rFonts w:hint="eastAsia"/>
                      <w:color w:val="000000" w:themeColor="text1"/>
                      <w:sz w:val="21"/>
                      <w:szCs w:val="18"/>
                      <w:highlight w:val="none"/>
                      <w:lang w:eastAsia="zh-CN"/>
                      <w14:textFill>
                        <w14:solidFill>
                          <w14:schemeClr w14:val="tx1"/>
                        </w14:solidFill>
                      </w14:textFill>
                    </w:rPr>
                    <w:t>（</w:t>
                  </w:r>
                  <w:r>
                    <w:rPr>
                      <w:rFonts w:hint="eastAsia"/>
                      <w:color w:val="000000" w:themeColor="text1"/>
                      <w:sz w:val="21"/>
                      <w:szCs w:val="18"/>
                      <w:highlight w:val="none"/>
                      <w:lang w:val="en-US" w:eastAsia="zh-CN"/>
                      <w14:textFill>
                        <w14:solidFill>
                          <w14:schemeClr w14:val="tx1"/>
                        </w14:solidFill>
                      </w14:textFill>
                    </w:rPr>
                    <w:t>2</w:t>
                  </w:r>
                  <w:r>
                    <w:rPr>
                      <w:rFonts w:hint="eastAsia"/>
                      <w:color w:val="000000" w:themeColor="text1"/>
                      <w:sz w:val="21"/>
                      <w:szCs w:val="18"/>
                      <w:highlight w:val="none"/>
                      <w:lang w:eastAsia="zh-CN"/>
                      <w14:textFill>
                        <w14:solidFill>
                          <w14:schemeClr w14:val="tx1"/>
                        </w14:solidFill>
                      </w14:textFill>
                    </w:rPr>
                    <w:t>）</w:t>
                  </w:r>
                  <w:r>
                    <w:rPr>
                      <w:rFonts w:hint="eastAsia"/>
                      <w:color w:val="000000" w:themeColor="text1"/>
                      <w:sz w:val="21"/>
                      <w:szCs w:val="18"/>
                      <w:highlight w:val="none"/>
                      <w14:textFill>
                        <w14:solidFill>
                          <w14:schemeClr w14:val="tx1"/>
                        </w14:solidFill>
                      </w14:textFill>
                    </w:rPr>
                    <w:t>项目租赁已建厂房进行生产加工</w:t>
                  </w:r>
                  <w:r>
                    <w:rPr>
                      <w:rFonts w:hint="eastAsia"/>
                      <w:color w:val="000000" w:themeColor="text1"/>
                      <w:sz w:val="21"/>
                      <w:szCs w:val="18"/>
                      <w:highlight w:val="none"/>
                      <w:lang w:eastAsia="zh-CN"/>
                      <w14:textFill>
                        <w14:solidFill>
                          <w14:schemeClr w14:val="tx1"/>
                        </w14:solidFill>
                      </w14:textFill>
                    </w:rPr>
                    <w:t>，</w:t>
                  </w:r>
                  <w:r>
                    <w:rPr>
                      <w:rFonts w:hint="eastAsia"/>
                      <w:color w:val="000000" w:themeColor="text1"/>
                      <w:sz w:val="21"/>
                      <w:szCs w:val="18"/>
                      <w:highlight w:val="none"/>
                      <w14:textFill>
                        <w14:solidFill>
                          <w14:schemeClr w14:val="tx1"/>
                        </w14:solidFill>
                      </w14:textFill>
                    </w:rPr>
                    <w:t>未新增占地，符合土地资源利用上线管控要求。</w:t>
                  </w:r>
                </w:p>
              </w:tc>
              <w:tc>
                <w:tcPr>
                  <w:tcW w:w="914" w:type="dxa"/>
                  <w:shd w:val="clear" w:color="auto" w:fill="auto"/>
                  <w:vAlign w:val="center"/>
                </w:tcPr>
                <w:p w14:paraId="0F4596CC">
                  <w:pPr>
                    <w:jc w:val="center"/>
                    <w:rPr>
                      <w:color w:val="000000" w:themeColor="text1"/>
                      <w:sz w:val="21"/>
                      <w:szCs w:val="18"/>
                      <w:highlight w:val="none"/>
                      <w14:textFill>
                        <w14:solidFill>
                          <w14:schemeClr w14:val="tx1"/>
                        </w14:solidFill>
                      </w14:textFill>
                    </w:rPr>
                  </w:pPr>
                  <w:r>
                    <w:rPr>
                      <w:rFonts w:hint="eastAsia"/>
                      <w:color w:val="000000" w:themeColor="text1"/>
                      <w:sz w:val="21"/>
                      <w:szCs w:val="18"/>
                      <w:highlight w:val="none"/>
                      <w14:textFill>
                        <w14:solidFill>
                          <w14:schemeClr w14:val="tx1"/>
                        </w14:solidFill>
                      </w14:textFill>
                    </w:rPr>
                    <w:t>符合</w:t>
                  </w:r>
                </w:p>
              </w:tc>
            </w:tr>
            <w:tr w14:paraId="2667E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76" w:type="dxa"/>
                  <w:shd w:val="clear" w:color="auto" w:fill="auto"/>
                  <w:vAlign w:val="center"/>
                </w:tcPr>
                <w:p w14:paraId="240780FB">
                  <w:pPr>
                    <w:jc w:val="center"/>
                    <w:rPr>
                      <w:color w:val="000000" w:themeColor="text1"/>
                      <w:sz w:val="21"/>
                      <w:szCs w:val="18"/>
                      <w:highlight w:val="none"/>
                      <w14:textFill>
                        <w14:solidFill>
                          <w14:schemeClr w14:val="tx1"/>
                        </w14:solidFill>
                      </w14:textFill>
                    </w:rPr>
                  </w:pPr>
                  <w:r>
                    <w:rPr>
                      <w:rFonts w:hint="eastAsia"/>
                      <w:color w:val="000000" w:themeColor="text1"/>
                      <w:sz w:val="21"/>
                      <w:szCs w:val="18"/>
                      <w:highlight w:val="none"/>
                      <w14:textFill>
                        <w14:solidFill>
                          <w14:schemeClr w14:val="tx1"/>
                        </w14:solidFill>
                      </w14:textFill>
                    </w:rPr>
                    <w:t>环境准</w:t>
                  </w:r>
                </w:p>
                <w:p w14:paraId="242EB8EE">
                  <w:pPr>
                    <w:jc w:val="center"/>
                    <w:rPr>
                      <w:color w:val="000000" w:themeColor="text1"/>
                      <w:sz w:val="21"/>
                      <w:szCs w:val="18"/>
                      <w:highlight w:val="none"/>
                      <w14:textFill>
                        <w14:solidFill>
                          <w14:schemeClr w14:val="tx1"/>
                        </w14:solidFill>
                      </w14:textFill>
                    </w:rPr>
                  </w:pPr>
                  <w:r>
                    <w:rPr>
                      <w:rFonts w:hint="eastAsia"/>
                      <w:color w:val="000000" w:themeColor="text1"/>
                      <w:sz w:val="21"/>
                      <w:szCs w:val="18"/>
                      <w:highlight w:val="none"/>
                      <w14:textFill>
                        <w14:solidFill>
                          <w14:schemeClr w14:val="tx1"/>
                        </w14:solidFill>
                      </w14:textFill>
                    </w:rPr>
                    <w:t>入清单</w:t>
                  </w:r>
                </w:p>
              </w:tc>
              <w:tc>
                <w:tcPr>
                  <w:tcW w:w="6132" w:type="dxa"/>
                  <w:shd w:val="clear" w:color="auto" w:fill="auto"/>
                  <w:vAlign w:val="center"/>
                </w:tcPr>
                <w:p w14:paraId="3D0E8FB8">
                  <w:pPr>
                    <w:rPr>
                      <w:rFonts w:hint="default" w:eastAsia="宋体"/>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经查询福建省生态环境分区管控数据应用平台，</w:t>
                  </w:r>
                  <w:r>
                    <w:rPr>
                      <w:rFonts w:hint="eastAsia"/>
                      <w:color w:val="000000" w:themeColor="text1"/>
                      <w:kern w:val="0"/>
                      <w:sz w:val="21"/>
                      <w:szCs w:val="18"/>
                      <w:highlight w:val="none"/>
                      <w:lang w:val="en-US" w:eastAsia="zh-CN"/>
                      <w14:textFill>
                        <w14:solidFill>
                          <w14:schemeClr w14:val="tx1"/>
                        </w14:solidFill>
                      </w14:textFill>
                    </w:rPr>
                    <w:t>本项目所在分区管控单元为“福州市生物医药和机电产业园”，管控单元分类为“重点管控单元”，环境管控单元编码为ZH35012120002。管控要求符合性分析见表1-6</w:t>
                  </w:r>
                  <w:r>
                    <w:rPr>
                      <w:rFonts w:hint="eastAsia"/>
                      <w:color w:val="000000" w:themeColor="text1"/>
                      <w:sz w:val="21"/>
                      <w:szCs w:val="18"/>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查询报告见附件11。</w:t>
                  </w:r>
                </w:p>
              </w:tc>
              <w:tc>
                <w:tcPr>
                  <w:tcW w:w="914" w:type="dxa"/>
                  <w:shd w:val="clear" w:color="auto" w:fill="auto"/>
                  <w:vAlign w:val="center"/>
                </w:tcPr>
                <w:p w14:paraId="75518F2C">
                  <w:pPr>
                    <w:jc w:val="center"/>
                    <w:rPr>
                      <w:color w:val="000000" w:themeColor="text1"/>
                      <w:sz w:val="21"/>
                      <w:szCs w:val="18"/>
                      <w:highlight w:val="none"/>
                      <w14:textFill>
                        <w14:solidFill>
                          <w14:schemeClr w14:val="tx1"/>
                        </w14:solidFill>
                      </w14:textFill>
                    </w:rPr>
                  </w:pPr>
                  <w:r>
                    <w:rPr>
                      <w:rFonts w:hint="eastAsia"/>
                      <w:color w:val="000000" w:themeColor="text1"/>
                      <w:sz w:val="21"/>
                      <w:szCs w:val="18"/>
                      <w:highlight w:val="none"/>
                      <w14:textFill>
                        <w14:solidFill>
                          <w14:schemeClr w14:val="tx1"/>
                        </w14:solidFill>
                      </w14:textFill>
                    </w:rPr>
                    <w:t>符合</w:t>
                  </w:r>
                </w:p>
              </w:tc>
            </w:tr>
          </w:tbl>
          <w:p w14:paraId="0F7BF4A7">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eastAsia"/>
                <w:b/>
                <w:color w:val="000000" w:themeColor="text1"/>
                <w:sz w:val="24"/>
                <w:szCs w:val="24"/>
                <w:highlight w:val="none"/>
                <w14:textFill>
                  <w14:solidFill>
                    <w14:schemeClr w14:val="tx1"/>
                  </w14:solidFill>
                </w14:textFill>
              </w:rPr>
            </w:pPr>
            <w:r>
              <w:rPr>
                <w:rFonts w:hint="eastAsia"/>
                <w:b/>
                <w:color w:val="000000" w:themeColor="text1"/>
                <w:sz w:val="24"/>
                <w:szCs w:val="24"/>
                <w:highlight w:val="none"/>
                <w14:textFill>
                  <w14:solidFill>
                    <w14:schemeClr w14:val="tx1"/>
                  </w14:solidFill>
                </w14:textFill>
              </w:rPr>
              <w:t>表 1</w:t>
            </w:r>
            <w:r>
              <w:rPr>
                <w:b/>
                <w:color w:val="000000" w:themeColor="text1"/>
                <w:sz w:val="24"/>
                <w:szCs w:val="24"/>
                <w:highlight w:val="none"/>
                <w14:textFill>
                  <w14:solidFill>
                    <w14:schemeClr w14:val="tx1"/>
                  </w14:solidFill>
                </w14:textFill>
              </w:rPr>
              <w:t>-</w:t>
            </w:r>
            <w:r>
              <w:rPr>
                <w:rFonts w:hint="eastAsia"/>
                <w:b/>
                <w:color w:val="000000" w:themeColor="text1"/>
                <w:sz w:val="24"/>
                <w:szCs w:val="24"/>
                <w:highlight w:val="none"/>
                <w:lang w:val="en-US" w:eastAsia="zh-CN"/>
                <w14:textFill>
                  <w14:solidFill>
                    <w14:schemeClr w14:val="tx1"/>
                  </w14:solidFill>
                </w14:textFill>
              </w:rPr>
              <w:t>5</w:t>
            </w:r>
            <w:r>
              <w:rPr>
                <w:b/>
                <w:color w:val="000000" w:themeColor="text1"/>
                <w:sz w:val="24"/>
                <w:szCs w:val="24"/>
                <w:highlight w:val="none"/>
                <w14:textFill>
                  <w14:solidFill>
                    <w14:schemeClr w14:val="tx1"/>
                  </w14:solidFill>
                </w14:textFill>
              </w:rPr>
              <w:t xml:space="preserve"> </w:t>
            </w:r>
            <w:r>
              <w:rPr>
                <w:rFonts w:hint="eastAsia"/>
                <w:b/>
                <w:color w:val="000000" w:themeColor="text1"/>
                <w:sz w:val="24"/>
                <w:szCs w:val="24"/>
                <w:highlight w:val="none"/>
                <w:lang w:val="en-US" w:eastAsia="zh-CN"/>
                <w14:textFill>
                  <w14:solidFill>
                    <w14:schemeClr w14:val="tx1"/>
                  </w14:solidFill>
                </w14:textFill>
              </w:rPr>
              <w:t>与福州市生态环境总体准入要求的</w:t>
            </w:r>
            <w:r>
              <w:rPr>
                <w:rFonts w:hint="eastAsia"/>
                <w:b/>
                <w:color w:val="000000" w:themeColor="text1"/>
                <w:sz w:val="24"/>
                <w:szCs w:val="24"/>
                <w:highlight w:val="none"/>
                <w14:textFill>
                  <w14:solidFill>
                    <w14:schemeClr w14:val="tx1"/>
                  </w14:solidFill>
                </w14:textFill>
              </w:rPr>
              <w:t>符合性分析</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7" w:type="dxa"/>
                <w:bottom w:w="0" w:type="dxa"/>
                <w:right w:w="57" w:type="dxa"/>
              </w:tblCellMar>
            </w:tblPr>
            <w:tblGrid>
              <w:gridCol w:w="695"/>
              <w:gridCol w:w="476"/>
              <w:gridCol w:w="5015"/>
              <w:gridCol w:w="1044"/>
              <w:gridCol w:w="692"/>
            </w:tblGrid>
            <w:tr w14:paraId="324AE0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420" w:hRule="atLeast"/>
                <w:tblHeader/>
                <w:jc w:val="center"/>
              </w:trPr>
              <w:tc>
                <w:tcPr>
                  <w:tcW w:w="695" w:type="dxa"/>
                  <w:tcBorders>
                    <w:tl2br w:val="nil"/>
                    <w:tr2bl w:val="nil"/>
                  </w:tcBorders>
                  <w:noWrap w:val="0"/>
                  <w:vAlign w:val="center"/>
                </w:tcPr>
                <w:p w14:paraId="0CD54E16">
                  <w:pPr>
                    <w:jc w:val="center"/>
                    <w:rPr>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适用范围</w:t>
                  </w:r>
                </w:p>
              </w:tc>
              <w:tc>
                <w:tcPr>
                  <w:tcW w:w="5491" w:type="dxa"/>
                  <w:gridSpan w:val="2"/>
                  <w:tcBorders>
                    <w:tl2br w:val="nil"/>
                    <w:tr2bl w:val="nil"/>
                  </w:tcBorders>
                  <w:noWrap w:val="0"/>
                  <w:vAlign w:val="center"/>
                </w:tcPr>
                <w:p w14:paraId="50E224DB">
                  <w:pPr>
                    <w:jc w:val="center"/>
                    <w:rPr>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准入要求</w:t>
                  </w:r>
                </w:p>
              </w:tc>
              <w:tc>
                <w:tcPr>
                  <w:tcW w:w="1044" w:type="dxa"/>
                  <w:tcBorders>
                    <w:tl2br w:val="nil"/>
                    <w:tr2bl w:val="nil"/>
                  </w:tcBorders>
                  <w:noWrap w:val="0"/>
                  <w:vAlign w:val="center"/>
                </w:tcPr>
                <w:p w14:paraId="45C98805">
                  <w:pPr>
                    <w:jc w:val="center"/>
                    <w:rPr>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本项目情况</w:t>
                  </w:r>
                </w:p>
              </w:tc>
              <w:tc>
                <w:tcPr>
                  <w:tcW w:w="692" w:type="dxa"/>
                  <w:tcBorders>
                    <w:tl2br w:val="nil"/>
                    <w:tr2bl w:val="nil"/>
                  </w:tcBorders>
                  <w:noWrap w:val="0"/>
                  <w:vAlign w:val="center"/>
                </w:tcPr>
                <w:p w14:paraId="1177B4E0">
                  <w:pPr>
                    <w:jc w:val="center"/>
                    <w:rPr>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符合性</w:t>
                  </w:r>
                </w:p>
              </w:tc>
            </w:tr>
            <w:tr w14:paraId="577668F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420" w:hRule="atLeast"/>
                <w:jc w:val="center"/>
              </w:trPr>
              <w:tc>
                <w:tcPr>
                  <w:tcW w:w="695" w:type="dxa"/>
                  <w:vMerge w:val="restart"/>
                  <w:tcBorders>
                    <w:tl2br w:val="nil"/>
                    <w:tr2bl w:val="nil"/>
                  </w:tcBorders>
                  <w:noWrap w:val="0"/>
                  <w:vAlign w:val="center"/>
                </w:tcPr>
                <w:p w14:paraId="3B404690">
                  <w:pPr>
                    <w:jc w:val="center"/>
                    <w:rPr>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福州市陆域</w:t>
                  </w:r>
                </w:p>
              </w:tc>
              <w:tc>
                <w:tcPr>
                  <w:tcW w:w="476" w:type="dxa"/>
                  <w:vMerge w:val="restart"/>
                  <w:tcBorders>
                    <w:tl2br w:val="nil"/>
                    <w:tr2bl w:val="nil"/>
                  </w:tcBorders>
                  <w:noWrap w:val="0"/>
                  <w:vAlign w:val="center"/>
                </w:tcPr>
                <w:p w14:paraId="2C2979F9">
                  <w:pPr>
                    <w:jc w:val="center"/>
                    <w:rPr>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空间布局约束</w:t>
                  </w:r>
                </w:p>
              </w:tc>
              <w:tc>
                <w:tcPr>
                  <w:tcW w:w="5015" w:type="dxa"/>
                  <w:tcBorders>
                    <w:tl2br w:val="nil"/>
                    <w:tr2bl w:val="nil"/>
                  </w:tcBorders>
                  <w:noWrap w:val="0"/>
                  <w:vAlign w:val="center"/>
                </w:tcPr>
                <w:p w14:paraId="44CA9B1B">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一、优先保护单元中的生态保护红线</w:t>
                  </w:r>
                </w:p>
                <w:p w14:paraId="49E28050">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1</w:t>
                  </w:r>
                  <w:r>
                    <w:rPr>
                      <w:rFonts w:ascii="Times New Roman" w:hAnsi="Times New Roman"/>
                      <w:color w:val="000000" w:themeColor="text1"/>
                      <w:highlight w:val="none"/>
                      <w14:textFill>
                        <w14:solidFill>
                          <w14:schemeClr w14:val="tx1"/>
                        </w14:solidFill>
                      </w14:textFill>
                    </w:rPr>
                    <w:t>.根据《关于在国土空间规划中统筹划定落实三条控制线的指导意见》《自然资源部 生态环境部 国家林业和草原局关于加强生态保护红线管理的通知（试行）》，加强生态保护红线管理，严守自然生态安全边界。生态保护红线内，自然保护地核心保护区原则上禁止人为活动，其它区域禁止开发性、生产性建设活动，在符合法律法规的前提下，仅允许以下对生态功能不造成破坏的有限人为活动。生态保护红线内自然保护区、风景名胜区、饮用水水源保护区等区域，依照法律法规执行。</w:t>
                  </w:r>
                </w:p>
                <w:p w14:paraId="753A7F17">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（1）管护巡护、保护执法、科学研究、调查监测、测绘导航、防灾减灾救灾、军事国防、疫情防控等活动及相关的必要设施</w:t>
                  </w:r>
                  <w:r>
                    <w:rPr>
                      <w:rFonts w:hint="eastAsia"/>
                      <w:color w:val="000000" w:themeColor="text1"/>
                      <w:highlight w:val="none"/>
                      <w:lang w:val="en-US" w:eastAsia="zh-CN"/>
                      <w14:textFill>
                        <w14:solidFill>
                          <w14:schemeClr w14:val="tx1"/>
                        </w14:solidFill>
                      </w14:textFill>
                    </w:rPr>
                    <w:t>修缮</w:t>
                  </w:r>
                  <w:r>
                    <w:rPr>
                      <w:rFonts w:ascii="Times New Roman" w:hAnsi="Times New Roman"/>
                      <w:color w:val="000000" w:themeColor="text1"/>
                      <w:highlight w:val="none"/>
                      <w14:textFill>
                        <w14:solidFill>
                          <w14:schemeClr w14:val="tx1"/>
                        </w14:solidFill>
                      </w14:textFill>
                    </w:rPr>
                    <w:t>。</w:t>
                  </w:r>
                </w:p>
                <w:p w14:paraId="74C3DD8C">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2）原住居民和其他合法权益主体，允许在不扩大现有建设用地、用海用岛、耕地、水产养殖规模和放牧强度（符合草畜平衡管理规定）的前提下，开展种植、放牧、捕捞、养殖（不包括投礁型海洋牧场、围海养殖）等活动，修筑生产生活设施。</w:t>
                  </w:r>
                </w:p>
                <w:p w14:paraId="505234BB">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（3）经依法批准的考古调查发掘、古生物化石调查发掘、标本采集和文物保护活动。</w:t>
                  </w:r>
                </w:p>
                <w:p w14:paraId="58A62496">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（4）按规定对人工商品林进行抚育采伐，或以提升森林质量、优化栖息地、建设生物防火隔离带等为目的的树种更新，依法开展的竹林采伐经营。</w:t>
                  </w:r>
                </w:p>
                <w:p w14:paraId="1D4D3391">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（5）不破坏生态功能的适度参观旅游、科普宣教及符合相关规划的配套性服务设施和相关的必要公共设施建设及维护。</w:t>
                  </w:r>
                </w:p>
                <w:p w14:paraId="47EC8364">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（6）必须且无法避让、符合县级以上国土空间规划的线性基础设施、通讯和防洪、供水设施建设和船舶航行、航道疏浚清淤等活动；已有的合法水利、交通运输等设施运行维护改造。</w:t>
                  </w:r>
                </w:p>
                <w:p w14:paraId="6F9F7106">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7）地质调查与矿产资源勘查开采。包括：基础地质调查和战略性矿产资源远景调查等公益性工作；铀矿勘查开采活动，可办理矿业权登记；已依法设立的油气探矿权继续勘查活动，可办理探矿权延续、变更（不含扩大勘查区块范围）、保留、注销，当发现可供开采油气资源并探明储量时，可将开采拟占用的地表或海域范围依照国家相关规定调出生态保护红线；已依法设立的油气采矿权不扩大用地用海范围，继续开采，可办理采矿权延续、变更（不含扩大矿区范围）、注销；已依法设立的矿泉水和地热采矿权，在不超出已经核定的生产规模、不新增生产设施的前提下继续开采，可办理采矿权延续、变更（不含扩大矿区范围）、注销；已依法设立和新立铬、铜、镍、锂、钴、锆、钾盐、（中）重稀土矿等战略性矿产探矿权开展勘查活动，可办理探矿权登记，因国家战略需要开展开采活动的，可办理采矿权登记。上述勘查开采活动，应落实减缓生态环境影响措施，严格执行绿色勘查、开采及矿山环境生态修复相关要求。</w:t>
                  </w:r>
                </w:p>
                <w:p w14:paraId="76A12474">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（8）依据县级以上国土空间规划和生态保护修复专项规划开展的生态修复。</w:t>
                  </w:r>
                </w:p>
                <w:p w14:paraId="106CD02D">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（9）法律法规规定允许的其他人为活动。</w:t>
                  </w:r>
                </w:p>
                <w:p w14:paraId="7FA2D352">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2</w:t>
                  </w:r>
                  <w:r>
                    <w:rPr>
                      <w:rFonts w:ascii="Times New Roman" w:hAnsi="Times New Roman"/>
                      <w:color w:val="000000" w:themeColor="text1"/>
                      <w:highlight w:val="none"/>
                      <w14:textFill>
                        <w14:solidFill>
                          <w14:schemeClr w14:val="tx1"/>
                        </w14:solidFill>
                      </w14:textFill>
                    </w:rPr>
                    <w:t>.</w:t>
                  </w:r>
                  <w:r>
                    <w:rPr>
                      <w:rFonts w:hint="eastAsia" w:ascii="Times New Roman" w:hAnsi="Times New Roman"/>
                      <w:color w:val="000000" w:themeColor="text1"/>
                      <w:highlight w:val="none"/>
                      <w14:textFill>
                        <w14:solidFill>
                          <w14:schemeClr w14:val="tx1"/>
                        </w14:solidFill>
                      </w14:textFill>
                    </w:rPr>
                    <w:t>依据《福建省自然资源厅 福建省生态环境厅 福建省林业局关于进一步加强生态保护红线监管的通知（试行）》（闽自然资发〔2023〕56号），允许占用生态保护红线的重大项目范围：</w:t>
                  </w:r>
                </w:p>
                <w:p w14:paraId="67233E31">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（1）党中央、国务院发布文件或批准规划中明确具体名称的项目和国务院批准的项目。</w:t>
                  </w:r>
                </w:p>
                <w:p w14:paraId="0BC7D28E">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（2）中央军委及其有关部门批准的军事国防项目。</w:t>
                  </w:r>
                </w:p>
                <w:p w14:paraId="195D382B">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（3）国家级规划（指国务院及其有关部门正式颁布）明确的交通、水利项目。</w:t>
                  </w:r>
                </w:p>
                <w:p w14:paraId="312723FC">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（4）国家级规划明确的电网项目，国家级规划明确的且符合国家产业政策的能源矿产勘查开采、油气管线、水电、核电项目。</w:t>
                  </w:r>
                </w:p>
                <w:p w14:paraId="28CEF37D">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（5）为贯彻落实党中央、国务院重大决策部署，国务院投资主管部门或国务院投资主管部门会同有关部门确认的交通、能源、水利等基础设施项目。</w:t>
                  </w:r>
                </w:p>
                <w:p w14:paraId="16D6DDB9">
                  <w:pPr>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（6）按照国家重大项目用地保障工作机制要求，国家发展改革委会同有关部门确认的需中央加大建设用地保障力度，确实难以避让的国家重大项目</w:t>
                  </w:r>
                  <w:r>
                    <w:rPr>
                      <w:rFonts w:ascii="Times New Roman" w:hAnsi="Times New Roman"/>
                      <w:color w:val="000000" w:themeColor="text1"/>
                      <w:highlight w:val="none"/>
                      <w14:textFill>
                        <w14:solidFill>
                          <w14:schemeClr w14:val="tx1"/>
                        </w14:solidFill>
                      </w14:textFill>
                    </w:rPr>
                    <w:t>。</w:t>
                  </w:r>
                </w:p>
              </w:tc>
              <w:tc>
                <w:tcPr>
                  <w:tcW w:w="1044" w:type="dxa"/>
                  <w:tcBorders>
                    <w:tl2br w:val="nil"/>
                    <w:tr2bl w:val="nil"/>
                  </w:tcBorders>
                  <w:noWrap w:val="0"/>
                  <w:vAlign w:val="center"/>
                </w:tcPr>
                <w:p w14:paraId="13DEAF04">
                  <w:pPr>
                    <w:jc w:val="center"/>
                    <w:rPr>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本项目位于</w:t>
                  </w:r>
                  <w:r>
                    <w:rPr>
                      <w:rFonts w:hint="eastAsia" w:ascii="Times New Roman" w:hAnsi="Times New Roman"/>
                      <w:color w:val="000000" w:themeColor="text1"/>
                      <w:highlight w:val="none"/>
                      <w:lang w:val="en-US" w:eastAsia="zh-CN"/>
                      <w14:textFill>
                        <w14:solidFill>
                          <w14:schemeClr w14:val="tx1"/>
                        </w14:solidFill>
                      </w14:textFill>
                    </w:rPr>
                    <w:t>福州市生物医药和机电产业园中的机电产业园</w:t>
                  </w:r>
                  <w:r>
                    <w:rPr>
                      <w:rFonts w:hint="eastAsia" w:ascii="Times New Roman" w:hAnsi="Times New Roman"/>
                      <w:color w:val="000000" w:themeColor="text1"/>
                      <w:highlight w:val="none"/>
                      <w14:textFill>
                        <w14:solidFill>
                          <w14:schemeClr w14:val="tx1"/>
                        </w14:solidFill>
                      </w14:textFill>
                    </w:rPr>
                    <w:t>，</w:t>
                  </w:r>
                  <w:r>
                    <w:rPr>
                      <w:rFonts w:ascii="Times New Roman" w:hAnsi="Times New Roman"/>
                      <w:color w:val="000000" w:themeColor="text1"/>
                      <w:highlight w:val="none"/>
                      <w14:textFill>
                        <w14:solidFill>
                          <w14:schemeClr w14:val="tx1"/>
                        </w14:solidFill>
                      </w14:textFill>
                    </w:rPr>
                    <w:t>不涉及</w:t>
                  </w:r>
                  <w:r>
                    <w:rPr>
                      <w:rFonts w:hint="eastAsia" w:ascii="Times New Roman" w:hAnsi="Times New Roman"/>
                      <w:color w:val="000000" w:themeColor="text1"/>
                      <w:highlight w:val="none"/>
                      <w14:textFill>
                        <w14:solidFill>
                          <w14:schemeClr w14:val="tx1"/>
                        </w14:solidFill>
                      </w14:textFill>
                    </w:rPr>
                    <w:t>优先保护单元中的生态保护红线</w:t>
                  </w:r>
                </w:p>
              </w:tc>
              <w:tc>
                <w:tcPr>
                  <w:tcW w:w="692" w:type="dxa"/>
                  <w:tcBorders>
                    <w:tl2br w:val="nil"/>
                    <w:tr2bl w:val="nil"/>
                  </w:tcBorders>
                  <w:noWrap w:val="0"/>
                  <w:vAlign w:val="center"/>
                </w:tcPr>
                <w:p w14:paraId="7F2B2357">
                  <w:pPr>
                    <w:jc w:val="center"/>
                    <w:rPr>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符合</w:t>
                  </w:r>
                </w:p>
              </w:tc>
            </w:tr>
            <w:tr w14:paraId="3C67C5D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420" w:hRule="atLeast"/>
                <w:jc w:val="center"/>
              </w:trPr>
              <w:tc>
                <w:tcPr>
                  <w:tcW w:w="695" w:type="dxa"/>
                  <w:vMerge w:val="continue"/>
                  <w:tcBorders>
                    <w:tl2br w:val="nil"/>
                    <w:tr2bl w:val="nil"/>
                  </w:tcBorders>
                  <w:noWrap w:val="0"/>
                  <w:vAlign w:val="center"/>
                </w:tcPr>
                <w:p w14:paraId="2995D413">
                  <w:pPr>
                    <w:jc w:val="center"/>
                    <w:rPr>
                      <w:color w:val="000000" w:themeColor="text1"/>
                      <w:highlight w:val="none"/>
                      <w14:textFill>
                        <w14:solidFill>
                          <w14:schemeClr w14:val="tx1"/>
                        </w14:solidFill>
                      </w14:textFill>
                    </w:rPr>
                  </w:pPr>
                </w:p>
              </w:tc>
              <w:tc>
                <w:tcPr>
                  <w:tcW w:w="476" w:type="dxa"/>
                  <w:vMerge w:val="continue"/>
                  <w:tcBorders>
                    <w:tl2br w:val="nil"/>
                    <w:tr2bl w:val="nil"/>
                  </w:tcBorders>
                  <w:noWrap w:val="0"/>
                  <w:vAlign w:val="center"/>
                </w:tcPr>
                <w:p w14:paraId="6FECFEAE">
                  <w:pPr>
                    <w:jc w:val="center"/>
                    <w:rPr>
                      <w:color w:val="000000" w:themeColor="text1"/>
                      <w:highlight w:val="none"/>
                      <w14:textFill>
                        <w14:solidFill>
                          <w14:schemeClr w14:val="tx1"/>
                        </w14:solidFill>
                      </w14:textFill>
                    </w:rPr>
                  </w:pPr>
                </w:p>
              </w:tc>
              <w:tc>
                <w:tcPr>
                  <w:tcW w:w="5015" w:type="dxa"/>
                  <w:tcBorders>
                    <w:tl2br w:val="nil"/>
                    <w:tr2bl w:val="nil"/>
                  </w:tcBorders>
                  <w:noWrap w:val="0"/>
                  <w:vAlign w:val="center"/>
                </w:tcPr>
                <w:p w14:paraId="661A0F9C">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二、优先保护单元中的一般生态空间</w:t>
                  </w:r>
                </w:p>
                <w:p w14:paraId="6D155196">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1.一般生态空间以保护和修复生态环境、提供生态产品和服务为首要任务，因地制宜地发展不影响主体功能定位的适宜产业。</w:t>
                  </w:r>
                </w:p>
                <w:p w14:paraId="3112B2A3">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2.一般生态空间内未纳入生态保护红线的饮用水水源保护区等</w:t>
                  </w:r>
                  <w:r>
                    <w:rPr>
                      <w:rFonts w:hint="eastAsia" w:ascii="Times New Roman" w:hAnsi="Times New Roman"/>
                      <w:color w:val="000000" w:themeColor="text1"/>
                      <w:highlight w:val="none"/>
                      <w14:textFill>
                        <w14:solidFill>
                          <w14:schemeClr w14:val="tx1"/>
                        </w14:solidFill>
                      </w14:textFill>
                    </w:rPr>
                    <w:t>各类</w:t>
                  </w:r>
                  <w:r>
                    <w:rPr>
                      <w:rFonts w:ascii="Times New Roman" w:hAnsi="Times New Roman"/>
                      <w:color w:val="000000" w:themeColor="text1"/>
                      <w:highlight w:val="none"/>
                      <w14:textFill>
                        <w14:solidFill>
                          <w14:schemeClr w14:val="tx1"/>
                        </w14:solidFill>
                      </w14:textFill>
                    </w:rPr>
                    <w:t>法定保护地，其管控要求依照相关法律法规执行。</w:t>
                  </w:r>
                </w:p>
                <w:p w14:paraId="2A538CB7">
                  <w:pPr>
                    <w:rPr>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3.一般生态空间内现有合法的水泥厂、矿山开发等生产性设施及生活垃圾处置等民生工程予以保留，应按照法律法规要求落实污染防治和生态保护措施，避免对生态功能造成破坏。</w:t>
                  </w:r>
                </w:p>
              </w:tc>
              <w:tc>
                <w:tcPr>
                  <w:tcW w:w="1044" w:type="dxa"/>
                  <w:tcBorders>
                    <w:tl2br w:val="nil"/>
                    <w:tr2bl w:val="nil"/>
                  </w:tcBorders>
                  <w:noWrap w:val="0"/>
                  <w:vAlign w:val="center"/>
                </w:tcPr>
                <w:p w14:paraId="67E394A4">
                  <w:pPr>
                    <w:jc w:val="center"/>
                    <w:rPr>
                      <w:rFonts w:hint="eastAsia" w:eastAsia="宋体"/>
                      <w:color w:val="000000" w:themeColor="text1"/>
                      <w:highlight w:val="none"/>
                      <w:lang w:eastAsia="zh-CN"/>
                      <w14:textFill>
                        <w14:solidFill>
                          <w14:schemeClr w14:val="tx1"/>
                        </w14:solidFill>
                      </w14:textFill>
                    </w:rPr>
                  </w:pPr>
                  <w:r>
                    <w:rPr>
                      <w:rFonts w:ascii="Times New Roman" w:hAnsi="Times New Roman"/>
                      <w:color w:val="000000" w:themeColor="text1"/>
                      <w:highlight w:val="none"/>
                      <w14:textFill>
                        <w14:solidFill>
                          <w14:schemeClr w14:val="tx1"/>
                        </w14:solidFill>
                      </w14:textFill>
                    </w:rPr>
                    <w:t>本项目位于</w:t>
                  </w:r>
                  <w:r>
                    <w:rPr>
                      <w:rFonts w:hint="eastAsia"/>
                      <w:color w:val="000000" w:themeColor="text1"/>
                      <w:highlight w:val="none"/>
                      <w:lang w:eastAsia="zh-CN"/>
                      <w14:textFill>
                        <w14:solidFill>
                          <w14:schemeClr w14:val="tx1"/>
                        </w14:solidFill>
                      </w14:textFill>
                    </w:rPr>
                    <w:t>福州市生物医药和机电产业园中的机电产业园</w:t>
                  </w:r>
                  <w:r>
                    <w:rPr>
                      <w:rFonts w:hint="eastAsia" w:ascii="Times New Roman" w:hAnsi="Times New Roman"/>
                      <w:color w:val="000000" w:themeColor="text1"/>
                      <w:highlight w:val="none"/>
                      <w14:textFill>
                        <w14:solidFill>
                          <w14:schemeClr w14:val="tx1"/>
                        </w14:solidFill>
                      </w14:textFill>
                    </w:rPr>
                    <w:t>，</w:t>
                  </w:r>
                  <w:r>
                    <w:rPr>
                      <w:rFonts w:ascii="Times New Roman" w:hAnsi="Times New Roman"/>
                      <w:color w:val="000000" w:themeColor="text1"/>
                      <w:highlight w:val="none"/>
                      <w14:textFill>
                        <w14:solidFill>
                          <w14:schemeClr w14:val="tx1"/>
                        </w14:solidFill>
                      </w14:textFill>
                    </w:rPr>
                    <w:t>不涉及</w:t>
                  </w:r>
                  <w:r>
                    <w:rPr>
                      <w:rFonts w:hint="eastAsia" w:ascii="Times New Roman" w:hAnsi="Times New Roman"/>
                      <w:color w:val="000000" w:themeColor="text1"/>
                      <w:highlight w:val="none"/>
                      <w14:textFill>
                        <w14:solidFill>
                          <w14:schemeClr w14:val="tx1"/>
                        </w14:solidFill>
                      </w14:textFill>
                    </w:rPr>
                    <w:t>优先保护单元中的一般生态空间</w:t>
                  </w:r>
                  <w:r>
                    <w:rPr>
                      <w:rFonts w:hint="eastAsia"/>
                      <w:color w:val="000000" w:themeColor="text1"/>
                      <w:highlight w:val="none"/>
                      <w:lang w:eastAsia="zh-CN"/>
                      <w14:textFill>
                        <w14:solidFill>
                          <w14:schemeClr w14:val="tx1"/>
                        </w14:solidFill>
                      </w14:textFill>
                    </w:rPr>
                    <w:t>。</w:t>
                  </w:r>
                </w:p>
              </w:tc>
              <w:tc>
                <w:tcPr>
                  <w:tcW w:w="692" w:type="dxa"/>
                  <w:tcBorders>
                    <w:tl2br w:val="nil"/>
                    <w:tr2bl w:val="nil"/>
                  </w:tcBorders>
                  <w:noWrap w:val="0"/>
                  <w:vAlign w:val="center"/>
                </w:tcPr>
                <w:p w14:paraId="0F73E77C">
                  <w:pPr>
                    <w:jc w:val="center"/>
                    <w:rPr>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符合</w:t>
                  </w:r>
                </w:p>
              </w:tc>
            </w:tr>
            <w:tr w14:paraId="29E6231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420" w:hRule="atLeast"/>
                <w:jc w:val="center"/>
              </w:trPr>
              <w:tc>
                <w:tcPr>
                  <w:tcW w:w="695" w:type="dxa"/>
                  <w:vMerge w:val="continue"/>
                  <w:tcBorders>
                    <w:tl2br w:val="nil"/>
                    <w:tr2bl w:val="nil"/>
                  </w:tcBorders>
                  <w:noWrap w:val="0"/>
                  <w:vAlign w:val="center"/>
                </w:tcPr>
                <w:p w14:paraId="18066D27">
                  <w:pPr>
                    <w:jc w:val="center"/>
                    <w:rPr>
                      <w:color w:val="000000" w:themeColor="text1"/>
                      <w:highlight w:val="none"/>
                      <w14:textFill>
                        <w14:solidFill>
                          <w14:schemeClr w14:val="tx1"/>
                        </w14:solidFill>
                      </w14:textFill>
                    </w:rPr>
                  </w:pPr>
                </w:p>
              </w:tc>
              <w:tc>
                <w:tcPr>
                  <w:tcW w:w="476" w:type="dxa"/>
                  <w:vMerge w:val="continue"/>
                  <w:tcBorders>
                    <w:tl2br w:val="nil"/>
                    <w:tr2bl w:val="nil"/>
                  </w:tcBorders>
                  <w:noWrap w:val="0"/>
                  <w:vAlign w:val="center"/>
                </w:tcPr>
                <w:p w14:paraId="16E57E10">
                  <w:pPr>
                    <w:jc w:val="center"/>
                    <w:rPr>
                      <w:color w:val="000000" w:themeColor="text1"/>
                      <w:highlight w:val="none"/>
                      <w14:textFill>
                        <w14:solidFill>
                          <w14:schemeClr w14:val="tx1"/>
                        </w14:solidFill>
                      </w14:textFill>
                    </w:rPr>
                  </w:pPr>
                </w:p>
              </w:tc>
              <w:tc>
                <w:tcPr>
                  <w:tcW w:w="5015" w:type="dxa"/>
                  <w:tcBorders>
                    <w:tl2br w:val="nil"/>
                    <w:tr2bl w:val="nil"/>
                  </w:tcBorders>
                  <w:noWrap w:val="0"/>
                  <w:vAlign w:val="center"/>
                </w:tcPr>
                <w:p w14:paraId="1BF73601">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三、其它要求</w:t>
                  </w:r>
                </w:p>
                <w:p w14:paraId="6BF3F9CC">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1.福州市石化中上游项目重点在</w:t>
                  </w:r>
                  <w:r>
                    <w:rPr>
                      <w:rFonts w:hint="eastAsia" w:ascii="Times New Roman" w:hAnsi="Times New Roman"/>
                      <w:color w:val="000000" w:themeColor="text1"/>
                      <w:highlight w:val="none"/>
                      <w14:textFill>
                        <w14:solidFill>
                          <w14:schemeClr w14:val="tx1"/>
                        </w14:solidFill>
                      </w14:textFill>
                    </w:rPr>
                    <w:t>福州江阴港城经济区、可门港经济区</w:t>
                  </w:r>
                  <w:r>
                    <w:rPr>
                      <w:rFonts w:ascii="Times New Roman" w:hAnsi="Times New Roman"/>
                      <w:color w:val="000000" w:themeColor="text1"/>
                      <w:highlight w:val="none"/>
                      <w14:textFill>
                        <w14:solidFill>
                          <w14:schemeClr w14:val="tx1"/>
                        </w14:solidFill>
                      </w14:textFill>
                    </w:rPr>
                    <w:t>化工新材料产业园布局。</w:t>
                  </w:r>
                </w:p>
                <w:p w14:paraId="391BA28F">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2.禁止在闽江马尾罗星塔以上流域范围新、扩建制革项目，严控新（扩）建植物制浆、印染、合成革及人造革、电镀项目。</w:t>
                  </w:r>
                </w:p>
                <w:p w14:paraId="548B7964">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3.禁止在通风廊道和主导风向的上风向布局大气重污染企业，推进建成区大气重污染企业搬迁或升级改造、环境风险企业搬迁或关闭退出。</w:t>
                  </w:r>
                </w:p>
                <w:p w14:paraId="2B3D1746">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4.禁止新、改、扩建生产高VOCs含量有机溶剂型涂料、油墨和胶黏剂的项目。</w:t>
                  </w:r>
                </w:p>
                <w:p w14:paraId="7A50912B">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5.持续加强闽清等地建陶产业的环境综合治理，充分衔接国土空间规划和生态环境分区管控，并对照产业政策、城市总体发展规划等要求，进一步明确发展定位，优化产业布局和规模。</w:t>
                  </w:r>
                </w:p>
                <w:p w14:paraId="2C7ED6B5">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6.新建、扩建的涉及重点重金属污染物</w:t>
                  </w:r>
                  <w:r>
                    <w:rPr>
                      <w:rFonts w:ascii="Times New Roman" w:hAnsi="Times New Roman"/>
                      <w:color w:val="000000" w:themeColor="text1"/>
                      <w:highlight w:val="none"/>
                      <w:vertAlign w:val="superscript"/>
                      <w14:textFill>
                        <w14:solidFill>
                          <w14:schemeClr w14:val="tx1"/>
                        </w14:solidFill>
                      </w14:textFill>
                    </w:rPr>
                    <w:t>［1］</w:t>
                  </w:r>
                  <w:r>
                    <w:rPr>
                      <w:rFonts w:ascii="Times New Roman" w:hAnsi="Times New Roman"/>
                      <w:color w:val="000000" w:themeColor="text1"/>
                      <w:highlight w:val="none"/>
                      <w14:textFill>
                        <w14:solidFill>
                          <w14:schemeClr w14:val="tx1"/>
                        </w14:solidFill>
                      </w14:textFill>
                    </w:rPr>
                    <w:t>的有色金属冶炼、电镀、制革、铅蓄电池制造企业应优先选择布设在依法合规设立并经规划环评、环境基础设施和环境风险防范措施齐全的产业园区。禁止低端落后产能向闽江中上游地区转移。禁止新建用汞的电石法（聚）氯乙烯生产工艺。加快推进专业电镀企业入园，到2025年底专业电镀企业入园率达到90%以上。</w:t>
                  </w:r>
                </w:p>
                <w:p w14:paraId="0483A611">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7.禁止在流域上游新建、扩建重污染企业和项目。</w:t>
                  </w:r>
                </w:p>
                <w:p w14:paraId="497D72F2">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8.重要敏感水体及富营养化湖库生态缓冲带除相关政府部门批准的科学研究活动外，禁止其它可能对保护区构成危害或不良影响的大规模生产、建设活动。</w:t>
                  </w:r>
                </w:p>
                <w:p w14:paraId="2E4C4E18">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9</w:t>
                  </w:r>
                  <w:r>
                    <w:rPr>
                      <w:rFonts w:ascii="Times New Roman" w:hAnsi="Times New Roman"/>
                      <w:color w:val="000000" w:themeColor="text1"/>
                      <w:highlight w:val="none"/>
                      <w14:textFill>
                        <w14:solidFill>
                          <w14:schemeClr w14:val="tx1"/>
                        </w14:solidFill>
                      </w14:textFill>
                    </w:rPr>
                    <w:t>.</w:t>
                  </w:r>
                  <w:r>
                    <w:rPr>
                      <w:rFonts w:hint="eastAsia" w:ascii="Times New Roman" w:hAnsi="Times New Roman"/>
                      <w:color w:val="000000" w:themeColor="text1"/>
                      <w:highlight w:val="none"/>
                      <w14:textFill>
                        <w14:solidFill>
                          <w14:schemeClr w14:val="tx1"/>
                        </w14:solidFill>
                      </w14:textFill>
                    </w:rPr>
                    <w:t>新、改、扩建煤电、钢铁、建材、石化、化工等“两高”项目，严格落实国家、省、市产业规划、产业政策、“三线一单”、规划环评，以及产能置换、煤炭消费减量替代、区域污染削减等相关要求。</w:t>
                  </w:r>
                </w:p>
                <w:p w14:paraId="28E5C846">
                  <w:pPr>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1</w:t>
                  </w:r>
                  <w:r>
                    <w:rPr>
                      <w:rFonts w:ascii="Times New Roman" w:hAnsi="Times New Roman"/>
                      <w:color w:val="000000" w:themeColor="text1"/>
                      <w:highlight w:val="none"/>
                      <w14:textFill>
                        <w14:solidFill>
                          <w14:schemeClr w14:val="tx1"/>
                        </w14:solidFill>
                      </w14:textFill>
                    </w:rPr>
                    <w:t>0.</w:t>
                  </w:r>
                  <w:r>
                    <w:rPr>
                      <w:rFonts w:hint="eastAsia" w:ascii="Times New Roman" w:hAnsi="Times New Roman"/>
                      <w:color w:val="000000" w:themeColor="text1"/>
                      <w:highlight w:val="none"/>
                      <w14:textFill>
                        <w14:solidFill>
                          <w14:schemeClr w14:val="tx1"/>
                        </w14:solidFill>
                      </w14:textFill>
                    </w:rPr>
                    <w:t>单元内涉及永久基本农田的，应按照《福建省基本农田保护条例》（2010年修正本）、《国土资源部关于全面实行永久</w:t>
                  </w:r>
                  <w:r>
                    <w:rPr>
                      <w:rFonts w:hint="eastAsia"/>
                      <w:color w:val="000000" w:themeColor="text1"/>
                      <w:highlight w:val="none"/>
                      <w:lang w:val="en-US" w:eastAsia="zh-CN"/>
                      <w14:textFill>
                        <w14:solidFill>
                          <w14:schemeClr w14:val="tx1"/>
                        </w14:solidFill>
                      </w14:textFill>
                    </w:rPr>
                    <w:t>基本</w:t>
                  </w:r>
                  <w:r>
                    <w:rPr>
                      <w:rFonts w:hint="eastAsia" w:ascii="Times New Roman" w:hAnsi="Times New Roman"/>
                      <w:color w:val="000000" w:themeColor="text1"/>
                      <w:highlight w:val="none"/>
                      <w14:textFill>
                        <w14:solidFill>
                          <w14:schemeClr w14:val="tx1"/>
                        </w14:solidFill>
                      </w14:textFill>
                    </w:rPr>
                    <w:t>农田特殊保护的通知》（国土资规</w:t>
                  </w:r>
                  <w:r>
                    <w:rPr>
                      <w:rFonts w:ascii="Times New Roman" w:hAnsi="Times New Roman"/>
                      <w:color w:val="000000" w:themeColor="text1"/>
                      <w:highlight w:val="none"/>
                      <w14:textFill>
                        <w14:solidFill>
                          <w14:schemeClr w14:val="tx1"/>
                        </w14:solidFill>
                      </w14:textFill>
                    </w:rPr>
                    <w:t>〔2018〕</w:t>
                  </w:r>
                  <w:r>
                    <w:rPr>
                      <w:rFonts w:hint="eastAsia" w:ascii="Times New Roman" w:hAnsi="Times New Roman"/>
                      <w:color w:val="000000" w:themeColor="text1"/>
                      <w:highlight w:val="none"/>
                      <w14:textFill>
                        <w14:solidFill>
                          <w14:schemeClr w14:val="tx1"/>
                        </w14:solidFill>
                      </w14:textFill>
                    </w:rPr>
                    <w:t>1号）、《中共中央</w:t>
                  </w:r>
                  <w:r>
                    <w:rPr>
                      <w:rFonts w:hint="eastAsia"/>
                      <w:color w:val="000000" w:themeColor="text1"/>
                      <w:highlight w:val="none"/>
                      <w:lang w:val="en-US" w:eastAsia="zh-CN"/>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国务院关于加强耕地保护和改进占补平衡的意见》（2017年1月9日）等相关文件要求进</w:t>
                  </w:r>
                  <w:r>
                    <w:rPr>
                      <w:rFonts w:hint="eastAsia"/>
                      <w:color w:val="000000" w:themeColor="text1"/>
                      <w:highlight w:val="none"/>
                      <w:lang w:eastAsia="zh-CN"/>
                      <w14:textFill>
                        <w14:solidFill>
                          <w14:schemeClr w14:val="tx1"/>
                        </w14:solidFill>
                      </w14:textFill>
                    </w:rPr>
                    <w:t>行严</w:t>
                  </w:r>
                  <w:r>
                    <w:rPr>
                      <w:rFonts w:hint="eastAsia" w:ascii="Times New Roman" w:hAnsi="Times New Roman"/>
                      <w:color w:val="000000" w:themeColor="text1"/>
                      <w:highlight w:val="none"/>
                      <w14:textFill>
                        <w14:solidFill>
                          <w14:schemeClr w14:val="tx1"/>
                        </w14:solidFill>
                      </w14:textFill>
                    </w:rPr>
                    <w:t>格管理，</w:t>
                  </w:r>
                  <w:r>
                    <w:rPr>
                      <w:rFonts w:ascii="Times New Roman" w:hAnsi="Times New Roman"/>
                      <w:color w:val="000000" w:themeColor="text1"/>
                      <w:highlight w:val="none"/>
                      <w14:textFill>
                        <w14:solidFill>
                          <w14:schemeClr w14:val="tx1"/>
                        </w14:solidFill>
                      </w14:textFill>
                    </w:rPr>
                    <w:t>一般建设项目不得占用永久基本农田，重大建设项目选址确实难以避让永久基本农田的，必须依法依规办理。严禁通过擅自调整县乡国土空间规划，规避占用永久基本农田的审批。禁止随意砍伐防风固沙林和农田保护林。严格按照自然资源部、农业农村部、国家林业和草原局《关于严格耕地用途管制有关问题的通知》（自然资发〔2021〕166号）要求全面落实耕地用途管制。</w:t>
                  </w:r>
                </w:p>
              </w:tc>
              <w:tc>
                <w:tcPr>
                  <w:tcW w:w="1044" w:type="dxa"/>
                  <w:tcBorders>
                    <w:tl2br w:val="nil"/>
                    <w:tr2bl w:val="nil"/>
                  </w:tcBorders>
                  <w:noWrap w:val="0"/>
                  <w:vAlign w:val="center"/>
                </w:tcPr>
                <w:p w14:paraId="05C7EA09">
                  <w:pPr>
                    <w:jc w:val="center"/>
                    <w:rPr>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本项目位于</w:t>
                  </w:r>
                  <w:r>
                    <w:rPr>
                      <w:rFonts w:hint="eastAsia"/>
                      <w:color w:val="000000" w:themeColor="text1"/>
                      <w:highlight w:val="none"/>
                      <w:lang w:eastAsia="zh-CN"/>
                      <w14:textFill>
                        <w14:solidFill>
                          <w14:schemeClr w14:val="tx1"/>
                        </w14:solidFill>
                      </w14:textFill>
                    </w:rPr>
                    <w:t>福州市生物医药和机电产业园中的机电产业园</w:t>
                  </w:r>
                  <w:r>
                    <w:rPr>
                      <w:rFonts w:hint="eastAsia" w:ascii="Times New Roman" w:hAnsi="Times New Roman"/>
                      <w:color w:val="000000" w:themeColor="text1"/>
                      <w:highlight w:val="none"/>
                      <w14:textFill>
                        <w14:solidFill>
                          <w14:schemeClr w14:val="tx1"/>
                        </w14:solidFill>
                      </w14:textFill>
                    </w:rPr>
                    <w:t>，项目主要</w:t>
                  </w:r>
                  <w:r>
                    <w:rPr>
                      <w:rFonts w:hint="eastAsia" w:ascii="Times New Roman" w:hAnsi="Times New Roman"/>
                      <w:color w:val="000000" w:themeColor="text1"/>
                      <w:highlight w:val="none"/>
                      <w:lang w:val="en-US" w:eastAsia="zh-CN"/>
                      <w14:textFill>
                        <w14:solidFill>
                          <w14:schemeClr w14:val="tx1"/>
                        </w14:solidFill>
                      </w14:textFill>
                    </w:rPr>
                    <w:t>从事</w:t>
                  </w:r>
                  <w:r>
                    <w:rPr>
                      <w:rFonts w:hint="eastAsia"/>
                      <w:color w:val="000000" w:themeColor="text1"/>
                      <w:highlight w:val="none"/>
                      <w:lang w:val="en-US" w:eastAsia="zh-CN"/>
                      <w14:textFill>
                        <w14:solidFill>
                          <w14:schemeClr w14:val="tx1"/>
                        </w14:solidFill>
                      </w14:textFill>
                    </w:rPr>
                    <w:t>光学元器件</w:t>
                  </w:r>
                  <w:r>
                    <w:rPr>
                      <w:rFonts w:hint="eastAsia" w:ascii="Times New Roman" w:hAnsi="Times New Roman"/>
                      <w:color w:val="000000" w:themeColor="text1"/>
                      <w:highlight w:val="none"/>
                      <w:lang w:val="en-US" w:eastAsia="zh-CN"/>
                      <w14:textFill>
                        <w14:solidFill>
                          <w14:schemeClr w14:val="tx1"/>
                        </w14:solidFill>
                      </w14:textFill>
                    </w:rPr>
                    <w:t>生产</w:t>
                  </w:r>
                  <w:r>
                    <w:rPr>
                      <w:rFonts w:hint="eastAsia" w:ascii="Times New Roman" w:hAnsi="Times New Roman"/>
                      <w:color w:val="000000" w:themeColor="text1"/>
                      <w:highlight w:val="none"/>
                      <w14:textFill>
                        <w14:solidFill>
                          <w14:schemeClr w14:val="tx1"/>
                        </w14:solidFill>
                      </w14:textFill>
                    </w:rPr>
                    <w:t>，不属于禁止建设类项目。</w:t>
                  </w:r>
                </w:p>
              </w:tc>
              <w:tc>
                <w:tcPr>
                  <w:tcW w:w="692" w:type="dxa"/>
                  <w:tcBorders>
                    <w:tl2br w:val="nil"/>
                    <w:tr2bl w:val="nil"/>
                  </w:tcBorders>
                  <w:noWrap w:val="0"/>
                  <w:vAlign w:val="center"/>
                </w:tcPr>
                <w:p w14:paraId="63EDECFC">
                  <w:pPr>
                    <w:jc w:val="center"/>
                    <w:rPr>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符合</w:t>
                  </w:r>
                </w:p>
              </w:tc>
            </w:tr>
            <w:tr w14:paraId="216714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420" w:hRule="atLeast"/>
                <w:jc w:val="center"/>
              </w:trPr>
              <w:tc>
                <w:tcPr>
                  <w:tcW w:w="695" w:type="dxa"/>
                  <w:vMerge w:val="continue"/>
                  <w:tcBorders>
                    <w:tl2br w:val="nil"/>
                    <w:tr2bl w:val="nil"/>
                  </w:tcBorders>
                  <w:noWrap w:val="0"/>
                  <w:vAlign w:val="center"/>
                </w:tcPr>
                <w:p w14:paraId="366BE72A">
                  <w:pPr>
                    <w:rPr>
                      <w:color w:val="000000" w:themeColor="text1"/>
                      <w:highlight w:val="none"/>
                      <w14:textFill>
                        <w14:solidFill>
                          <w14:schemeClr w14:val="tx1"/>
                        </w14:solidFill>
                      </w14:textFill>
                    </w:rPr>
                  </w:pPr>
                </w:p>
              </w:tc>
              <w:tc>
                <w:tcPr>
                  <w:tcW w:w="476" w:type="dxa"/>
                  <w:tcBorders>
                    <w:tl2br w:val="nil"/>
                    <w:tr2bl w:val="nil"/>
                  </w:tcBorders>
                  <w:noWrap w:val="0"/>
                  <w:vAlign w:val="center"/>
                </w:tcPr>
                <w:p w14:paraId="1B39ED7E">
                  <w:pPr>
                    <w:jc w:val="center"/>
                    <w:rPr>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污染物排放管控</w:t>
                  </w:r>
                </w:p>
              </w:tc>
              <w:tc>
                <w:tcPr>
                  <w:tcW w:w="5015" w:type="dxa"/>
                  <w:tcBorders>
                    <w:tl2br w:val="nil"/>
                    <w:tr2bl w:val="nil"/>
                  </w:tcBorders>
                  <w:noWrap w:val="0"/>
                  <w:vAlign w:val="center"/>
                </w:tcPr>
                <w:p w14:paraId="15DF4D41">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1.</w:t>
                  </w:r>
                  <w:r>
                    <w:rPr>
                      <w:rFonts w:hint="eastAsia" w:ascii="Times New Roman" w:hAnsi="Times New Roman"/>
                      <w:color w:val="000000" w:themeColor="text1"/>
                      <w:highlight w:val="none"/>
                      <w14:textFill>
                        <w14:solidFill>
                          <w14:schemeClr w14:val="tx1"/>
                        </w14:solidFill>
                      </w14:textFill>
                    </w:rPr>
                    <w:t>工业类新（改、扩）建项目新增主要污染物（水污染物化学需氧量、氨氮和大气污染物二氧化硫、氮氧化物）排放总量指标应符合区域环境质量和总量控制要求，立足于通过“以新带老”、削减存量，努力实现区域、企业自身总量平衡。总量指标来源、审核和监督管理按照“榕环保综〔2017〕90号”等相关文件执行。</w:t>
                  </w:r>
                </w:p>
                <w:p w14:paraId="75D1071B">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2.新、改、扩建涉VOCs排放项目</w:t>
                  </w:r>
                  <w:r>
                    <w:rPr>
                      <w:rFonts w:hint="eastAsia" w:ascii="Times New Roman" w:hAnsi="Times New Roman"/>
                      <w:color w:val="000000" w:themeColor="text1"/>
                      <w:highlight w:val="none"/>
                      <w14:textFill>
                        <w14:solidFill>
                          <w14:schemeClr w14:val="tx1"/>
                        </w14:solidFill>
                      </w14:textFill>
                    </w:rPr>
                    <w:t>污染物排放量应满足</w:t>
                  </w:r>
                  <w:r>
                    <w:rPr>
                      <w:rFonts w:ascii="Times New Roman" w:hAnsi="Times New Roman"/>
                      <w:color w:val="000000" w:themeColor="text1"/>
                      <w:highlight w:val="none"/>
                      <w14:textFill>
                        <w14:solidFill>
                          <w14:schemeClr w14:val="tx1"/>
                        </w14:solidFill>
                      </w14:textFill>
                    </w:rPr>
                    <w:t>《福州市“十四五”空气质量持续改善计划》</w:t>
                  </w:r>
                  <w:r>
                    <w:rPr>
                      <w:rFonts w:hint="eastAsia" w:ascii="Times New Roman" w:hAnsi="Times New Roman"/>
                      <w:color w:val="000000" w:themeColor="text1"/>
                      <w:highlight w:val="none"/>
                      <w14:textFill>
                        <w14:solidFill>
                          <w14:schemeClr w14:val="tx1"/>
                        </w14:solidFill>
                      </w14:textFill>
                    </w:rPr>
                    <w:t>（榕环保综〔2023〕40号）</w:t>
                  </w:r>
                  <w:r>
                    <w:rPr>
                      <w:rFonts w:ascii="Times New Roman" w:hAnsi="Times New Roman"/>
                      <w:color w:val="000000" w:themeColor="text1"/>
                      <w:highlight w:val="none"/>
                      <w14:textFill>
                        <w14:solidFill>
                          <w14:schemeClr w14:val="tx1"/>
                        </w14:solidFill>
                      </w14:textFill>
                    </w:rPr>
                    <w:t>，应从源头加强控制，使用低（无）VOCs含量的原辅材料</w:t>
                  </w:r>
                  <w:r>
                    <w:rPr>
                      <w:rFonts w:hint="eastAsia" w:ascii="Times New Roman" w:hAnsi="Times New Roman"/>
                      <w:color w:val="000000" w:themeColor="text1"/>
                      <w:highlight w:val="none"/>
                      <w14:textFill>
                        <w14:solidFill>
                          <w14:schemeClr w14:val="tx1"/>
                        </w14:solidFill>
                      </w14:textFill>
                    </w:rPr>
                    <w:t>。</w:t>
                  </w:r>
                  <w:r>
                    <w:rPr>
                      <w:rFonts w:ascii="Times New Roman" w:hAnsi="Times New Roman"/>
                      <w:color w:val="000000" w:themeColor="text1"/>
                      <w:highlight w:val="none"/>
                      <w14:textFill>
                        <w14:solidFill>
                          <w14:schemeClr w14:val="tx1"/>
                        </w14:solidFill>
                      </w14:textFill>
                    </w:rPr>
                    <w:t xml:space="preserve"> </w:t>
                  </w:r>
                </w:p>
                <w:p w14:paraId="118B728A">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3.严格控制新建、改建、扩建钢铁、水泥、平板玻璃、有色金属冶炼、化工等工业项目。新</w:t>
                  </w:r>
                  <w:r>
                    <w:rPr>
                      <w:rFonts w:hint="eastAsia" w:ascii="Times New Roman" w:hAnsi="Times New Roman"/>
                      <w:color w:val="000000" w:themeColor="text1"/>
                      <w:highlight w:val="none"/>
                      <w14:textFill>
                        <w14:solidFill>
                          <w14:schemeClr w14:val="tx1"/>
                        </w14:solidFill>
                      </w14:textFill>
                    </w:rPr>
                    <w:t>改扩</w:t>
                  </w:r>
                  <w:r>
                    <w:rPr>
                      <w:rFonts w:ascii="Times New Roman" w:hAnsi="Times New Roman"/>
                      <w:color w:val="000000" w:themeColor="text1"/>
                      <w:highlight w:val="none"/>
                      <w14:textFill>
                        <w14:solidFill>
                          <w14:schemeClr w14:val="tx1"/>
                        </w14:solidFill>
                      </w14:textFill>
                    </w:rPr>
                    <w:t>建钢铁、火电</w:t>
                  </w:r>
                  <w:r>
                    <w:rPr>
                      <w:rFonts w:hint="eastAsia" w:ascii="Times New Roman" w:hAnsi="Times New Roman"/>
                      <w:color w:val="000000" w:themeColor="text1"/>
                      <w:highlight w:val="none"/>
                      <w14:textFill>
                        <w14:solidFill>
                          <w14:schemeClr w14:val="tx1"/>
                        </w14:solidFill>
                      </w14:textFill>
                    </w:rPr>
                    <w:t>项目应执行超低排放限值，</w:t>
                  </w:r>
                  <w:r>
                    <w:rPr>
                      <w:rFonts w:ascii="Times New Roman" w:hAnsi="Times New Roman"/>
                      <w:color w:val="000000" w:themeColor="text1"/>
                      <w:highlight w:val="none"/>
                      <w14:textFill>
                        <w14:solidFill>
                          <w14:schemeClr w14:val="tx1"/>
                        </w14:solidFill>
                      </w14:textFill>
                    </w:rPr>
                    <w:t>有色项目应当执行大气污染物特别排放限值。重点控制区新建化工、石化应当执行大气污染物特别排放限值。</w:t>
                  </w:r>
                </w:p>
                <w:p w14:paraId="59C6F94C">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4.氟化工、印染、电镀等行业企业实行水污染物特别排放限值。</w:t>
                  </w:r>
                </w:p>
                <w:p w14:paraId="3F04AE2A">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5.</w:t>
                  </w:r>
                  <w:r>
                    <w:rPr>
                      <w:rFonts w:hint="eastAsia" w:ascii="Times New Roman" w:hAnsi="Times New Roman"/>
                      <w:color w:val="000000" w:themeColor="text1"/>
                      <w:highlight w:val="none"/>
                      <w14:textFill>
                        <w14:solidFill>
                          <w14:schemeClr w14:val="tx1"/>
                        </w14:solidFill>
                      </w14:textFill>
                    </w:rPr>
                    <w:t>新、改、扩建重点行业</w:t>
                  </w:r>
                  <w:r>
                    <w:rPr>
                      <w:rFonts w:hint="eastAsia" w:ascii="Times New Roman" w:hAnsi="Times New Roman"/>
                      <w:color w:val="000000" w:themeColor="text1"/>
                      <w:highlight w:val="none"/>
                      <w:vertAlign w:val="superscript"/>
                      <w14:textFill>
                        <w14:solidFill>
                          <w14:schemeClr w14:val="tx1"/>
                        </w14:solidFill>
                      </w14:textFill>
                    </w:rPr>
                    <w:t>［</w:t>
                  </w:r>
                  <w:r>
                    <w:rPr>
                      <w:rFonts w:ascii="Times New Roman" w:hAnsi="Times New Roman"/>
                      <w:color w:val="000000" w:themeColor="text1"/>
                      <w:highlight w:val="none"/>
                      <w:vertAlign w:val="superscript"/>
                      <w14:textFill>
                        <w14:solidFill>
                          <w14:schemeClr w14:val="tx1"/>
                        </w14:solidFill>
                      </w14:textFill>
                    </w:rPr>
                    <w:t>2</w:t>
                  </w:r>
                  <w:r>
                    <w:rPr>
                      <w:rFonts w:hint="eastAsia" w:ascii="Times New Roman" w:hAnsi="Times New Roman"/>
                      <w:color w:val="000000" w:themeColor="text1"/>
                      <w:highlight w:val="none"/>
                      <w:vertAlign w:val="superscript"/>
                      <w14:textFill>
                        <w14:solidFill>
                          <w14:schemeClr w14:val="tx1"/>
                        </w14:solidFill>
                      </w14:textFill>
                    </w:rPr>
                    <w:t>］</w:t>
                  </w:r>
                  <w:r>
                    <w:rPr>
                      <w:rFonts w:hint="eastAsia" w:ascii="Times New Roman" w:hAnsi="Times New Roman"/>
                      <w:color w:val="000000" w:themeColor="text1"/>
                      <w:highlight w:val="none"/>
                      <w14:textFill>
                        <w14:solidFill>
                          <w14:schemeClr w14:val="tx1"/>
                        </w14:solidFill>
                      </w14:textFill>
                    </w:rPr>
                    <w:t>建设项目要遵循重点重金属污染物排放</w:t>
                  </w:r>
                  <w:r>
                    <w:rPr>
                      <w:rFonts w:ascii="Times New Roman" w:hAnsi="Times New Roman"/>
                      <w:color w:val="000000" w:themeColor="text1"/>
                      <w:highlight w:val="none"/>
                      <w14:textFill>
                        <w14:solidFill>
                          <w14:schemeClr w14:val="tx1"/>
                        </w14:solidFill>
                      </w14:textFill>
                    </w:rPr>
                    <w:t>“</w:t>
                  </w:r>
                  <w:r>
                    <w:rPr>
                      <w:rFonts w:hint="eastAsia" w:ascii="Times New Roman" w:hAnsi="Times New Roman"/>
                      <w:color w:val="000000" w:themeColor="text1"/>
                      <w:highlight w:val="none"/>
                      <w14:textFill>
                        <w14:solidFill>
                          <w14:schemeClr w14:val="tx1"/>
                        </w14:solidFill>
                      </w14:textFill>
                    </w:rPr>
                    <w:t>等量替代</w:t>
                  </w:r>
                  <w:r>
                    <w:rPr>
                      <w:rFonts w:ascii="Times New Roman" w:hAnsi="Times New Roman"/>
                      <w:color w:val="000000" w:themeColor="text1"/>
                      <w:highlight w:val="none"/>
                      <w14:textFill>
                        <w14:solidFill>
                          <w14:schemeClr w14:val="tx1"/>
                        </w14:solidFill>
                      </w14:textFill>
                    </w:rPr>
                    <w:t>”</w:t>
                  </w:r>
                  <w:r>
                    <w:rPr>
                      <w:rFonts w:hint="eastAsia" w:ascii="Times New Roman" w:hAnsi="Times New Roman"/>
                      <w:color w:val="000000" w:themeColor="text1"/>
                      <w:highlight w:val="none"/>
                      <w14:textFill>
                        <w14:solidFill>
                          <w14:schemeClr w14:val="tx1"/>
                        </w14:solidFill>
                      </w14:textFill>
                    </w:rPr>
                    <w:t>原则，总量来源原则上应是同一重点行业内的削减量，当同一重点行业无法满足时可从其他重点行业调剂。</w:t>
                  </w:r>
                </w:p>
                <w:p w14:paraId="23C1D438">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6.</w:t>
                  </w:r>
                  <w:r>
                    <w:rPr>
                      <w:rFonts w:hint="eastAsia" w:ascii="Times New Roman" w:hAnsi="Times New Roman"/>
                      <w:color w:val="000000" w:themeColor="text1"/>
                      <w:highlight w:val="none"/>
                      <w14:textFill>
                        <w14:solidFill>
                          <w14:schemeClr w14:val="tx1"/>
                        </w14:solidFill>
                      </w14:textFill>
                    </w:rPr>
                    <w:t>每小时</w:t>
                  </w:r>
                  <w:r>
                    <w:rPr>
                      <w:rFonts w:ascii="Times New Roman" w:hAnsi="Times New Roman"/>
                      <w:color w:val="000000" w:themeColor="text1"/>
                      <w:highlight w:val="none"/>
                      <w14:textFill>
                        <w14:solidFill>
                          <w14:schemeClr w14:val="tx1"/>
                        </w14:solidFill>
                      </w14:textFill>
                    </w:rPr>
                    <w:t>35</w:t>
                  </w:r>
                  <w:r>
                    <w:rPr>
                      <w:rFonts w:hint="eastAsia" w:ascii="Times New Roman" w:hAnsi="Times New Roman"/>
                      <w:color w:val="000000" w:themeColor="text1"/>
                      <w:highlight w:val="none"/>
                      <w14:textFill>
                        <w14:solidFill>
                          <w14:schemeClr w14:val="tx1"/>
                        </w14:solidFill>
                      </w14:textFill>
                    </w:rPr>
                    <w:t>（含）</w:t>
                  </w:r>
                  <w:r>
                    <w:rPr>
                      <w:rFonts w:ascii="Times New Roman" w:hAnsi="Times New Roman"/>
                      <w:color w:val="000000" w:themeColor="text1"/>
                      <w:highlight w:val="none"/>
                      <w14:textFill>
                        <w14:solidFill>
                          <w14:schemeClr w14:val="tx1"/>
                        </w14:solidFill>
                      </w14:textFill>
                    </w:rPr>
                    <w:t>—65</w:t>
                  </w:r>
                  <w:r>
                    <w:rPr>
                      <w:rFonts w:hint="eastAsia" w:ascii="Times New Roman" w:hAnsi="Times New Roman"/>
                      <w:color w:val="000000" w:themeColor="text1"/>
                      <w:highlight w:val="none"/>
                      <w14:textFill>
                        <w14:solidFill>
                          <w14:schemeClr w14:val="tx1"/>
                        </w14:solidFill>
                      </w14:textFill>
                    </w:rPr>
                    <w:t>蒸吨燃煤锅炉和位于县级及以上城市建成区内保留的燃煤、燃油、燃生物质锅炉，原则上</w:t>
                  </w:r>
                  <w:r>
                    <w:rPr>
                      <w:rFonts w:ascii="Times New Roman" w:hAnsi="Times New Roman"/>
                      <w:color w:val="000000" w:themeColor="text1"/>
                      <w:highlight w:val="none"/>
                      <w14:textFill>
                        <w14:solidFill>
                          <w14:schemeClr w14:val="tx1"/>
                        </w14:solidFill>
                      </w14:textFill>
                    </w:rPr>
                    <w:t>2024</w:t>
                  </w:r>
                  <w:r>
                    <w:rPr>
                      <w:rFonts w:hint="eastAsia" w:ascii="Times New Roman" w:hAnsi="Times New Roman"/>
                      <w:color w:val="000000" w:themeColor="text1"/>
                      <w:highlight w:val="none"/>
                      <w14:textFill>
                        <w14:solidFill>
                          <w14:schemeClr w14:val="tx1"/>
                        </w14:solidFill>
                      </w14:textFill>
                    </w:rPr>
                    <w:t>年底前必须全面实现超低排放。</w:t>
                  </w:r>
                </w:p>
                <w:p w14:paraId="4E86DDC7">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7.</w:t>
                  </w:r>
                  <w:r>
                    <w:rPr>
                      <w:rFonts w:hint="eastAsia" w:ascii="Times New Roman" w:hAnsi="Times New Roman"/>
                      <w:color w:val="000000" w:themeColor="text1"/>
                      <w:highlight w:val="none"/>
                      <w14:textFill>
                        <w14:solidFill>
                          <w14:schemeClr w14:val="tx1"/>
                        </w14:solidFill>
                      </w14:textFill>
                    </w:rPr>
                    <w:t>水泥行业新改扩建项目严格对照超低排放、能效标杆水平建设实施；现有项目超低排放改造应按文件（闽环规〔</w:t>
                  </w:r>
                  <w:r>
                    <w:rPr>
                      <w:rFonts w:ascii="Times New Roman" w:hAnsi="Times New Roman"/>
                      <w:color w:val="000000" w:themeColor="text1"/>
                      <w:highlight w:val="none"/>
                      <w14:textFill>
                        <w14:solidFill>
                          <w14:schemeClr w14:val="tx1"/>
                        </w14:solidFill>
                      </w14:textFill>
                    </w:rPr>
                    <w:t>2023</w:t>
                  </w:r>
                  <w:r>
                    <w:rPr>
                      <w:rFonts w:hint="eastAsia" w:ascii="Times New Roman" w:hAnsi="Times New Roman"/>
                      <w:color w:val="000000" w:themeColor="text1"/>
                      <w:highlight w:val="none"/>
                      <w14:textFill>
                        <w14:solidFill>
                          <w14:schemeClr w14:val="tx1"/>
                        </w14:solidFill>
                      </w14:textFill>
                    </w:rPr>
                    <w:t>〕</w:t>
                  </w:r>
                  <w:r>
                    <w:rPr>
                      <w:rFonts w:ascii="Times New Roman" w:hAnsi="Times New Roman"/>
                      <w:color w:val="000000" w:themeColor="text1"/>
                      <w:highlight w:val="none"/>
                      <w14:textFill>
                        <w14:solidFill>
                          <w14:schemeClr w14:val="tx1"/>
                        </w14:solidFill>
                      </w14:textFill>
                    </w:rPr>
                    <w:t>2</w:t>
                  </w:r>
                  <w:r>
                    <w:rPr>
                      <w:rFonts w:hint="eastAsia" w:ascii="Times New Roman" w:hAnsi="Times New Roman"/>
                      <w:color w:val="000000" w:themeColor="text1"/>
                      <w:highlight w:val="none"/>
                      <w14:textFill>
                        <w14:solidFill>
                          <w14:schemeClr w14:val="tx1"/>
                        </w14:solidFill>
                      </w14:textFill>
                    </w:rPr>
                    <w:t>号）的时限要求分步推进，</w:t>
                  </w:r>
                  <w:r>
                    <w:rPr>
                      <w:rFonts w:ascii="Times New Roman" w:hAnsi="Times New Roman"/>
                      <w:color w:val="000000" w:themeColor="text1"/>
                      <w:highlight w:val="none"/>
                      <w14:textFill>
                        <w14:solidFill>
                          <w14:schemeClr w14:val="tx1"/>
                        </w14:solidFill>
                      </w14:textFill>
                    </w:rPr>
                    <w:t>2025</w:t>
                  </w:r>
                  <w:r>
                    <w:rPr>
                      <w:rFonts w:hint="eastAsia" w:ascii="Times New Roman" w:hAnsi="Times New Roman"/>
                      <w:color w:val="000000" w:themeColor="text1"/>
                      <w:highlight w:val="none"/>
                      <w14:textFill>
                        <w14:solidFill>
                          <w14:schemeClr w14:val="tx1"/>
                        </w14:solidFill>
                      </w14:textFill>
                    </w:rPr>
                    <w:t>年底前</w:t>
                  </w:r>
                  <w:r>
                    <w:rPr>
                      <w:rFonts w:ascii="Times New Roman" w:hAnsi="Times New Roman"/>
                      <w:color w:val="000000" w:themeColor="text1"/>
                      <w:highlight w:val="none"/>
                      <w14:textFill>
                        <w14:solidFill>
                          <w14:schemeClr w14:val="tx1"/>
                        </w14:solidFill>
                      </w14:textFill>
                    </w:rPr>
                    <w:t>全面完成</w:t>
                  </w:r>
                  <w:r>
                    <w:rPr>
                      <w:rFonts w:ascii="Times New Roman" w:hAnsi="Times New Roman"/>
                      <w:color w:val="000000" w:themeColor="text1"/>
                      <w:highlight w:val="none"/>
                      <w:vertAlign w:val="superscript"/>
                      <w14:textFill>
                        <w14:solidFill>
                          <w14:schemeClr w14:val="tx1"/>
                        </w14:solidFill>
                      </w14:textFill>
                    </w:rPr>
                    <w:t>［3］［4］</w:t>
                  </w:r>
                  <w:r>
                    <w:rPr>
                      <w:rFonts w:ascii="Times New Roman" w:hAnsi="Times New Roman"/>
                      <w:color w:val="000000" w:themeColor="text1"/>
                      <w:highlight w:val="none"/>
                      <w14:textFill>
                        <w14:solidFill>
                          <w14:schemeClr w14:val="tx1"/>
                        </w14:solidFill>
                      </w14:textFill>
                    </w:rPr>
                    <w:t>。</w:t>
                  </w:r>
                </w:p>
                <w:p w14:paraId="40D8EE82">
                  <w:pPr>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8</w:t>
                  </w:r>
                  <w:r>
                    <w:rPr>
                      <w:rFonts w:ascii="Times New Roman" w:hAnsi="Times New Roman"/>
                      <w:color w:val="000000" w:themeColor="text1"/>
                      <w:highlight w:val="none"/>
                      <w14:textFill>
                        <w14:solidFill>
                          <w14:schemeClr w14:val="tx1"/>
                        </w14:solidFill>
                      </w14:textFill>
                    </w:rPr>
                    <w:t>.</w:t>
                  </w:r>
                  <w:r>
                    <w:rPr>
                      <w:rFonts w:hint="eastAsia" w:ascii="Times New Roman" w:hAnsi="Times New Roman"/>
                      <w:color w:val="000000" w:themeColor="text1"/>
                      <w:highlight w:val="none"/>
                      <w14:textFill>
                        <w14:solidFill>
                          <w14:schemeClr w14:val="tx1"/>
                        </w14:solidFill>
                      </w14:textFill>
                    </w:rPr>
                    <w:t>化工园区新建项目实施“禁限控”化学物质管控措施，项目在开展环境影响评价时应严格落实相关要求，严格涉新污染物建设项目源头防控和准入管理。以印染、皮革、农药、医药、涂料等行业为重点，推进有毒有害化学物质替代。严格落实废药品、废农药以及抗生素生产过程中产生的废母液、废反应基和废培养基等废物的收集利用处置要求</w:t>
                  </w:r>
                  <w:r>
                    <w:rPr>
                      <w:rFonts w:ascii="Times New Roman" w:hAnsi="Times New Roman"/>
                      <w:color w:val="000000" w:themeColor="text1"/>
                      <w:highlight w:val="none"/>
                      <w14:textFill>
                        <w14:solidFill>
                          <w14:schemeClr w14:val="tx1"/>
                        </w14:solidFill>
                      </w14:textFill>
                    </w:rPr>
                    <w:t>。</w:t>
                  </w:r>
                </w:p>
              </w:tc>
              <w:tc>
                <w:tcPr>
                  <w:tcW w:w="1044" w:type="dxa"/>
                  <w:tcBorders>
                    <w:tl2br w:val="nil"/>
                    <w:tr2bl w:val="nil"/>
                  </w:tcBorders>
                  <w:noWrap w:val="0"/>
                  <w:vAlign w:val="center"/>
                </w:tcPr>
                <w:p w14:paraId="6DAC0698">
                  <w:pPr>
                    <w:jc w:val="center"/>
                    <w:rPr>
                      <w:color w:val="000000" w:themeColor="text1"/>
                      <w:highlight w:val="none"/>
                      <w14:textFill>
                        <w14:solidFill>
                          <w14:schemeClr w14:val="tx1"/>
                        </w14:solidFill>
                      </w14:textFill>
                    </w:rPr>
                  </w:pPr>
                  <w:r>
                    <w:rPr>
                      <w:rFonts w:hint="eastAsia" w:cs="Times New Roman"/>
                      <w:color w:val="000000" w:themeColor="text1"/>
                      <w:kern w:val="0"/>
                      <w:sz w:val="21"/>
                      <w:szCs w:val="18"/>
                      <w:highlight w:val="none"/>
                      <w:lang w:val="en-US" w:eastAsia="zh-CN"/>
                      <w14:textFill>
                        <w14:solidFill>
                          <w14:schemeClr w14:val="tx1"/>
                        </w14:solidFill>
                      </w14:textFill>
                    </w:rPr>
                    <w:t>项目新增</w:t>
                  </w:r>
                  <w:r>
                    <w:rPr>
                      <w:rFonts w:hint="default" w:ascii="Times New Roman" w:hAnsi="Times New Roman" w:cs="Times New Roman"/>
                      <w:color w:val="000000" w:themeColor="text1"/>
                      <w:kern w:val="0"/>
                      <w:sz w:val="21"/>
                      <w:szCs w:val="18"/>
                      <w:highlight w:val="none"/>
                      <w14:textFill>
                        <w14:solidFill>
                          <w14:schemeClr w14:val="tx1"/>
                        </w14:solidFill>
                      </w14:textFill>
                    </w:rPr>
                    <w:t>VOCs</w:t>
                  </w:r>
                  <w:r>
                    <w:rPr>
                      <w:rFonts w:hint="eastAsia" w:cs="Times New Roman"/>
                      <w:color w:val="000000" w:themeColor="text1"/>
                      <w:kern w:val="0"/>
                      <w:sz w:val="21"/>
                      <w:szCs w:val="18"/>
                      <w:highlight w:val="none"/>
                      <w:lang w:val="en-US" w:eastAsia="zh-CN"/>
                      <w14:textFill>
                        <w14:solidFill>
                          <w14:schemeClr w14:val="tx1"/>
                        </w14:solidFill>
                      </w14:textFill>
                    </w:rPr>
                    <w:t>落实</w:t>
                  </w:r>
                  <w:r>
                    <w:rPr>
                      <w:rFonts w:hint="default" w:ascii="Times New Roman" w:hAnsi="Times New Roman" w:cs="Times New Roman"/>
                      <w:color w:val="000000" w:themeColor="text1"/>
                      <w:kern w:val="0"/>
                      <w:sz w:val="21"/>
                      <w:szCs w:val="18"/>
                      <w:highlight w:val="none"/>
                      <w:lang w:val="en-US" w:eastAsia="zh-CN"/>
                      <w14:textFill>
                        <w14:solidFill>
                          <w14:schemeClr w14:val="tx1"/>
                        </w14:solidFill>
                      </w14:textFill>
                    </w:rPr>
                    <w:t>排放总量控制要求</w:t>
                  </w:r>
                  <w:r>
                    <w:rPr>
                      <w:rFonts w:ascii="Times New Roman" w:hAnsi="Times New Roman"/>
                      <w:color w:val="000000" w:themeColor="text1"/>
                      <w:highlight w:val="none"/>
                      <w14:textFill>
                        <w14:solidFill>
                          <w14:schemeClr w14:val="tx1"/>
                        </w14:solidFill>
                      </w14:textFill>
                    </w:rPr>
                    <w:t>；</w:t>
                  </w:r>
                  <w:r>
                    <w:rPr>
                      <w:rFonts w:hint="eastAsia" w:ascii="Times New Roman" w:hAnsi="Times New Roman"/>
                      <w:color w:val="000000" w:themeColor="text1"/>
                      <w:highlight w:val="none"/>
                      <w:lang w:val="en-US" w:eastAsia="zh-CN"/>
                      <w14:textFill>
                        <w14:solidFill>
                          <w14:schemeClr w14:val="tx1"/>
                        </w14:solidFill>
                      </w14:textFill>
                    </w:rPr>
                    <w:t>项目生产废水处理后通过市政污水管网送往福州大学城污水处理厂集中处理，生活污水经隔油+化粪池处理达标后排入市政污水管网，送往福州大学城污水处理厂集中处理</w:t>
                  </w:r>
                  <w:r>
                    <w:rPr>
                      <w:rFonts w:ascii="Times New Roman" w:hAnsi="Times New Roman"/>
                      <w:color w:val="000000" w:themeColor="text1"/>
                      <w:highlight w:val="none"/>
                      <w14:textFill>
                        <w14:solidFill>
                          <w14:schemeClr w14:val="tx1"/>
                        </w14:solidFill>
                      </w14:textFill>
                    </w:rPr>
                    <w:t>，符合要求。</w:t>
                  </w:r>
                </w:p>
              </w:tc>
              <w:tc>
                <w:tcPr>
                  <w:tcW w:w="692" w:type="dxa"/>
                  <w:tcBorders>
                    <w:tl2br w:val="nil"/>
                    <w:tr2bl w:val="nil"/>
                  </w:tcBorders>
                  <w:noWrap w:val="0"/>
                  <w:vAlign w:val="center"/>
                </w:tcPr>
                <w:p w14:paraId="07315053">
                  <w:pPr>
                    <w:jc w:val="center"/>
                    <w:rPr>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符合</w:t>
                  </w:r>
                </w:p>
              </w:tc>
            </w:tr>
            <w:tr w14:paraId="05E0CD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420" w:hRule="atLeast"/>
                <w:jc w:val="center"/>
              </w:trPr>
              <w:tc>
                <w:tcPr>
                  <w:tcW w:w="695" w:type="dxa"/>
                  <w:vMerge w:val="continue"/>
                  <w:tcBorders>
                    <w:tl2br w:val="nil"/>
                    <w:tr2bl w:val="nil"/>
                  </w:tcBorders>
                  <w:noWrap w:val="0"/>
                  <w:vAlign w:val="center"/>
                </w:tcPr>
                <w:p w14:paraId="3E111C08">
                  <w:pPr>
                    <w:rPr>
                      <w:color w:val="000000" w:themeColor="text1"/>
                      <w:highlight w:val="none"/>
                      <w14:textFill>
                        <w14:solidFill>
                          <w14:schemeClr w14:val="tx1"/>
                        </w14:solidFill>
                      </w14:textFill>
                    </w:rPr>
                  </w:pPr>
                </w:p>
              </w:tc>
              <w:tc>
                <w:tcPr>
                  <w:tcW w:w="476" w:type="dxa"/>
                  <w:tcBorders>
                    <w:tl2br w:val="nil"/>
                    <w:tr2bl w:val="nil"/>
                  </w:tcBorders>
                  <w:noWrap w:val="0"/>
                  <w:vAlign w:val="center"/>
                </w:tcPr>
                <w:p w14:paraId="0E6FCF2C">
                  <w:pPr>
                    <w:jc w:val="center"/>
                    <w:rPr>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资源开发效率要求</w:t>
                  </w:r>
                </w:p>
              </w:tc>
              <w:tc>
                <w:tcPr>
                  <w:tcW w:w="5015" w:type="dxa"/>
                  <w:tcBorders>
                    <w:tl2br w:val="nil"/>
                    <w:tr2bl w:val="nil"/>
                  </w:tcBorders>
                  <w:noWrap w:val="0"/>
                  <w:vAlign w:val="center"/>
                </w:tcPr>
                <w:p w14:paraId="3958A41B">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1.到2024年底，全市范围内每小时10蒸吨及以下燃煤锅炉全面淘汰；到2025年底，全市范围内每小时35蒸吨以下燃煤锅炉通过集中供热、清洁能源替代、深度治理等方式全面实现转型、升级、退出，县级及以上城市建成区在用锅炉（燃煤、燃油、燃生物质）全面改用电能等清洁能源或治理达到超低排放水平；</w:t>
                  </w:r>
                  <w:r>
                    <w:rPr>
                      <w:rFonts w:hint="eastAsia" w:ascii="Times New Roman" w:hAnsi="Times New Roman"/>
                      <w:color w:val="000000" w:themeColor="text1"/>
                      <w:highlight w:val="none"/>
                      <w14:textFill>
                        <w14:solidFill>
                          <w14:schemeClr w14:val="tx1"/>
                        </w14:solidFill>
                      </w14:textFill>
                    </w:rPr>
                    <w:t>禁止</w:t>
                  </w:r>
                  <w:r>
                    <w:rPr>
                      <w:rFonts w:ascii="Times New Roman" w:hAnsi="Times New Roman"/>
                      <w:color w:val="000000" w:themeColor="text1"/>
                      <w:highlight w:val="none"/>
                      <w14:textFill>
                        <w14:solidFill>
                          <w14:schemeClr w14:val="tx1"/>
                        </w14:solidFill>
                      </w14:textFill>
                    </w:rPr>
                    <w:t>新建每小时35蒸吨以下燃煤锅炉</w:t>
                  </w:r>
                  <w:r>
                    <w:rPr>
                      <w:rFonts w:hint="eastAsia" w:ascii="Times New Roman" w:hAnsi="Times New Roman"/>
                      <w:color w:val="000000" w:themeColor="text1"/>
                      <w:highlight w:val="none"/>
                      <w14:textFill>
                        <w14:solidFill>
                          <w14:schemeClr w14:val="tx1"/>
                        </w14:solidFill>
                      </w14:textFill>
                    </w:rPr>
                    <w:t>，以及每小时1</w:t>
                  </w:r>
                  <w:r>
                    <w:rPr>
                      <w:rFonts w:ascii="Times New Roman" w:hAnsi="Times New Roman"/>
                      <w:color w:val="000000" w:themeColor="text1"/>
                      <w:highlight w:val="none"/>
                      <w14:textFill>
                        <w14:solidFill>
                          <w14:schemeClr w14:val="tx1"/>
                        </w14:solidFill>
                      </w14:textFill>
                    </w:rPr>
                    <w:t>0</w:t>
                  </w:r>
                  <w:r>
                    <w:rPr>
                      <w:rFonts w:hint="eastAsia" w:ascii="Times New Roman" w:hAnsi="Times New Roman"/>
                      <w:color w:val="000000" w:themeColor="text1"/>
                      <w:highlight w:val="none"/>
                      <w14:textFill>
                        <w14:solidFill>
                          <w14:schemeClr w14:val="tx1"/>
                        </w14:solidFill>
                      </w14:textFill>
                    </w:rPr>
                    <w:t>蒸吨及以下燃生物质和其他使用高污染燃料的锅炉。</w:t>
                  </w:r>
                  <w:r>
                    <w:rPr>
                      <w:rFonts w:ascii="Times New Roman" w:hAnsi="Times New Roman"/>
                      <w:color w:val="000000" w:themeColor="text1"/>
                      <w:highlight w:val="none"/>
                      <w14:textFill>
                        <w14:solidFill>
                          <w14:schemeClr w14:val="tx1"/>
                        </w14:solidFill>
                      </w14:textFill>
                    </w:rPr>
                    <w:t>集中供热管网覆盖范围内禁止新建、扩建分散燃煤、燃油等供热锅炉。</w:t>
                  </w:r>
                </w:p>
                <w:p w14:paraId="7E9DAEAA">
                  <w:pPr>
                    <w:rPr>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2.按照“提气、转电、控煤”的发展思路，推动陶瓷行业进一步优化用能结构，实现能源消费清洁低碳化。</w:t>
                  </w:r>
                </w:p>
              </w:tc>
              <w:tc>
                <w:tcPr>
                  <w:tcW w:w="1044" w:type="dxa"/>
                  <w:tcBorders>
                    <w:tl2br w:val="nil"/>
                    <w:tr2bl w:val="nil"/>
                  </w:tcBorders>
                  <w:noWrap w:val="0"/>
                  <w:vAlign w:val="center"/>
                </w:tcPr>
                <w:p w14:paraId="7B650912">
                  <w:pPr>
                    <w:jc w:val="center"/>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本项目不涉及锅炉，使用能源为电能</w:t>
                  </w:r>
                  <w:r>
                    <w:rPr>
                      <w:rFonts w:hint="eastAsia" w:ascii="Times New Roman" w:hAnsi="Times New Roman"/>
                      <w:color w:val="000000" w:themeColor="text1"/>
                      <w:highlight w:val="none"/>
                      <w:lang w:eastAsia="zh-CN"/>
                      <w14:textFill>
                        <w14:solidFill>
                          <w14:schemeClr w14:val="tx1"/>
                        </w14:solidFill>
                      </w14:textFill>
                    </w:rPr>
                    <w:t>，</w:t>
                  </w:r>
                  <w:r>
                    <w:rPr>
                      <w:rFonts w:hint="eastAsia" w:ascii="Times New Roman" w:hAnsi="Times New Roman"/>
                      <w:color w:val="000000" w:themeColor="text1"/>
                      <w:highlight w:val="none"/>
                      <w14:textFill>
                        <w14:solidFill>
                          <w14:schemeClr w14:val="tx1"/>
                        </w14:solidFill>
                      </w14:textFill>
                    </w:rPr>
                    <w:t>属于清洁能源。</w:t>
                  </w:r>
                </w:p>
              </w:tc>
              <w:tc>
                <w:tcPr>
                  <w:tcW w:w="692" w:type="dxa"/>
                  <w:tcBorders>
                    <w:tl2br w:val="nil"/>
                    <w:tr2bl w:val="nil"/>
                  </w:tcBorders>
                  <w:noWrap w:val="0"/>
                  <w:vAlign w:val="center"/>
                </w:tcPr>
                <w:p w14:paraId="4436C28F">
                  <w:pPr>
                    <w:jc w:val="center"/>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符合</w:t>
                  </w:r>
                </w:p>
              </w:tc>
            </w:tr>
            <w:tr w14:paraId="7D5E82D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420" w:hRule="atLeast"/>
                <w:jc w:val="center"/>
              </w:trPr>
              <w:tc>
                <w:tcPr>
                  <w:tcW w:w="695" w:type="dxa"/>
                  <w:tcBorders>
                    <w:tl2br w:val="nil"/>
                    <w:tr2bl w:val="nil"/>
                  </w:tcBorders>
                  <w:noWrap w:val="0"/>
                  <w:vAlign w:val="center"/>
                </w:tcPr>
                <w:p w14:paraId="67DA09A8">
                  <w:pPr>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备注栏</w:t>
                  </w:r>
                </w:p>
              </w:tc>
              <w:tc>
                <w:tcPr>
                  <w:tcW w:w="476" w:type="dxa"/>
                  <w:tcBorders>
                    <w:tl2br w:val="nil"/>
                    <w:tr2bl w:val="nil"/>
                  </w:tcBorders>
                  <w:noWrap w:val="0"/>
                  <w:vAlign w:val="center"/>
                </w:tcPr>
                <w:p w14:paraId="30F671B7">
                  <w:pPr>
                    <w:jc w:val="center"/>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名词解释</w:t>
                  </w:r>
                </w:p>
              </w:tc>
              <w:tc>
                <w:tcPr>
                  <w:tcW w:w="6751" w:type="dxa"/>
                  <w:gridSpan w:val="3"/>
                  <w:tcBorders>
                    <w:tl2br w:val="nil"/>
                    <w:tr2bl w:val="nil"/>
                  </w:tcBorders>
                  <w:noWrap w:val="0"/>
                  <w:vAlign w:val="center"/>
                </w:tcPr>
                <w:p w14:paraId="0CB2250A">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［1］重点重金属污染物：包括铅、汞、镉、铬、砷、铊和锑，对其中铅、汞、镉、铬和砷五种重点重金属污染物排放量实施总量控制。</w:t>
                  </w:r>
                </w:p>
                <w:p w14:paraId="07D509DC">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2］重点行业：包括涉重有色金属矿采选业（铜、铅锌、镍钴、锡、锑和汞矿采选），涉重有色金属冶炼业（铜、铅锌、镍钴、锡、锑和汞冶炼），铅蓄电池制造业，电镀行业，化学原料及化学制品制造业（电石法（聚）氯乙烯制造、铬盐制造、以工业固体废物为原料的锌无机化合物工业），皮革鞣制加工业等6个行业。</w:t>
                  </w:r>
                </w:p>
                <w:p w14:paraId="7588B327">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［3］水泥行业超低排放实施范围：包括水泥熟料生产企业和独立水泥粉磨站（含生产特种水泥、协同处置固废的水泥企业）。</w:t>
                  </w:r>
                </w:p>
                <w:p w14:paraId="0C0F8AEB">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［4］水泥企业超低排放：是指所有生产环节（破碎、粉磨、配料、熟料煅烧、烘干、协同处置等，以及原料、燃料和产品储存运输）的大气污染物有组织、无组织排放及运输过程达到超低排放要求。</w:t>
                  </w:r>
                </w:p>
                <w:p w14:paraId="6DEBC7E3">
                  <w:pPr>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［1］、［2］摘自《福建省进一步加强重金属污染防控实施方案》（闽环保固体〔2022〕17号）。</w:t>
                  </w:r>
                </w:p>
                <w:p w14:paraId="1DA2057E">
                  <w:pPr>
                    <w:jc w:val="both"/>
                    <w:rPr>
                      <w:rFonts w:hint="default" w:ascii="Times New Roman" w:hAnsi="Times New Roman" w:eastAsia="宋体"/>
                      <w:color w:val="000000" w:themeColor="text1"/>
                      <w:highlight w:val="none"/>
                      <w:lang w:val="en-US" w:eastAsia="zh-CN"/>
                      <w14:textFill>
                        <w14:solidFill>
                          <w14:schemeClr w14:val="tx1"/>
                        </w14:solidFill>
                      </w14:textFill>
                    </w:rPr>
                  </w:pPr>
                  <w:r>
                    <w:rPr>
                      <w:rFonts w:ascii="Times New Roman" w:hAnsi="Times New Roman"/>
                      <w:color w:val="000000" w:themeColor="text1"/>
                      <w:highlight w:val="none"/>
                      <w14:textFill>
                        <w14:solidFill>
                          <w14:schemeClr w14:val="tx1"/>
                        </w14:solidFill>
                      </w14:textFill>
                    </w:rPr>
                    <w:t>［3］、［4］摘自《关于全面实施水泥行业超低排放改造的意见》（闽环规〔2023〕2号）。</w:t>
                  </w:r>
                </w:p>
              </w:tc>
            </w:tr>
          </w:tbl>
          <w:p w14:paraId="6D23D024">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b/>
                <w:color w:val="000000" w:themeColor="text1"/>
                <w:sz w:val="24"/>
                <w:szCs w:val="24"/>
                <w:highlight w:val="none"/>
                <w14:textFill>
                  <w14:solidFill>
                    <w14:schemeClr w14:val="tx1"/>
                  </w14:solidFill>
                </w14:textFill>
              </w:rPr>
            </w:pPr>
            <w:r>
              <w:rPr>
                <w:rFonts w:hint="eastAsia"/>
                <w:b/>
                <w:color w:val="000000" w:themeColor="text1"/>
                <w:sz w:val="24"/>
                <w:szCs w:val="24"/>
                <w:highlight w:val="none"/>
                <w14:textFill>
                  <w14:solidFill>
                    <w14:schemeClr w14:val="tx1"/>
                  </w14:solidFill>
                </w14:textFill>
              </w:rPr>
              <w:t>表 1</w:t>
            </w:r>
            <w:r>
              <w:rPr>
                <w:b/>
                <w:color w:val="000000" w:themeColor="text1"/>
                <w:sz w:val="24"/>
                <w:szCs w:val="24"/>
                <w:highlight w:val="none"/>
                <w14:textFill>
                  <w14:solidFill>
                    <w14:schemeClr w14:val="tx1"/>
                  </w14:solidFill>
                </w14:textFill>
              </w:rPr>
              <w:t>-</w:t>
            </w:r>
            <w:r>
              <w:rPr>
                <w:rFonts w:hint="eastAsia"/>
                <w:b/>
                <w:color w:val="000000" w:themeColor="text1"/>
                <w:sz w:val="24"/>
                <w:szCs w:val="24"/>
                <w:highlight w:val="none"/>
                <w:lang w:val="en-US" w:eastAsia="zh-CN"/>
                <w14:textFill>
                  <w14:solidFill>
                    <w14:schemeClr w14:val="tx1"/>
                  </w14:solidFill>
                </w14:textFill>
              </w:rPr>
              <w:t>6</w:t>
            </w:r>
            <w:r>
              <w:rPr>
                <w:b/>
                <w:color w:val="000000" w:themeColor="text1"/>
                <w:sz w:val="24"/>
                <w:szCs w:val="24"/>
                <w:highlight w:val="none"/>
                <w14:textFill>
                  <w14:solidFill>
                    <w14:schemeClr w14:val="tx1"/>
                  </w14:solidFill>
                </w14:textFill>
              </w:rPr>
              <w:t xml:space="preserve"> </w:t>
            </w:r>
            <w:r>
              <w:rPr>
                <w:rFonts w:hint="eastAsia"/>
                <w:b/>
                <w:color w:val="000000" w:themeColor="text1"/>
                <w:sz w:val="24"/>
                <w:szCs w:val="24"/>
                <w:highlight w:val="none"/>
                <w14:textFill>
                  <w14:solidFill>
                    <w14:schemeClr w14:val="tx1"/>
                  </w14:solidFill>
                </w14:textFill>
              </w:rPr>
              <w:t>与</w:t>
            </w:r>
            <w:r>
              <w:rPr>
                <w:rFonts w:hint="eastAsia"/>
                <w:b/>
                <w:color w:val="000000" w:themeColor="text1"/>
                <w:sz w:val="24"/>
                <w:highlight w:val="none"/>
                <w:lang w:val="en-US" w:eastAsia="zh-CN"/>
                <w14:textFill>
                  <w14:solidFill>
                    <w14:schemeClr w14:val="tx1"/>
                  </w14:solidFill>
                </w14:textFill>
              </w:rPr>
              <w:t>“福州市生物医药和机电产业园”</w:t>
            </w:r>
            <w:r>
              <w:rPr>
                <w:rFonts w:hint="eastAsia"/>
                <w:b/>
                <w:color w:val="000000" w:themeColor="text1"/>
                <w:sz w:val="24"/>
                <w:szCs w:val="24"/>
                <w:highlight w:val="none"/>
                <w:lang w:val="en-US" w:eastAsia="zh-CN"/>
                <w14:textFill>
                  <w14:solidFill>
                    <w14:schemeClr w14:val="tx1"/>
                  </w14:solidFill>
                </w14:textFill>
              </w:rPr>
              <w:t>管控单元管控要求的</w:t>
            </w:r>
            <w:r>
              <w:rPr>
                <w:rFonts w:hint="eastAsia"/>
                <w:b/>
                <w:color w:val="000000" w:themeColor="text1"/>
                <w:sz w:val="24"/>
                <w:szCs w:val="24"/>
                <w:highlight w:val="none"/>
                <w14:textFill>
                  <w14:solidFill>
                    <w14:schemeClr w14:val="tx1"/>
                  </w14:solidFill>
                </w14:textFill>
              </w:rPr>
              <w:t>符合性分析</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739"/>
              <w:gridCol w:w="2950"/>
              <w:gridCol w:w="3525"/>
              <w:gridCol w:w="708"/>
            </w:tblGrid>
            <w:tr w14:paraId="6412C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739" w:type="dxa"/>
                  <w:shd w:val="clear" w:color="auto" w:fill="auto"/>
                  <w:vAlign w:val="center"/>
                </w:tcPr>
                <w:p w14:paraId="2C8F0DED">
                  <w:pPr>
                    <w:keepNext w:val="0"/>
                    <w:keepLines w:val="0"/>
                    <w:pageBreakBefore w:val="0"/>
                    <w:widowControl w:val="0"/>
                    <w:kinsoku/>
                    <w:wordWrap/>
                    <w:overflowPunct/>
                    <w:topLinePunct w:val="0"/>
                    <w:bidi w:val="0"/>
                    <w:adjustRightInd/>
                    <w:snapToGrid/>
                    <w:spacing w:line="240" w:lineRule="auto"/>
                    <w:jc w:val="center"/>
                    <w:textAlignment w:val="auto"/>
                    <w:rPr>
                      <w:color w:val="000000" w:themeColor="text1"/>
                      <w:sz w:val="21"/>
                      <w:szCs w:val="18"/>
                      <w:highlight w:val="none"/>
                      <w14:textFill>
                        <w14:solidFill>
                          <w14:schemeClr w14:val="tx1"/>
                        </w14:solidFill>
                      </w14:textFill>
                    </w:rPr>
                  </w:pPr>
                  <w:r>
                    <w:rPr>
                      <w:rFonts w:hint="eastAsia"/>
                      <w:color w:val="000000" w:themeColor="text1"/>
                      <w:sz w:val="21"/>
                      <w:szCs w:val="18"/>
                      <w:highlight w:val="none"/>
                      <w14:textFill>
                        <w14:solidFill>
                          <w14:schemeClr w14:val="tx1"/>
                        </w14:solidFill>
                      </w14:textFill>
                    </w:rPr>
                    <w:t>内容</w:t>
                  </w:r>
                </w:p>
              </w:tc>
              <w:tc>
                <w:tcPr>
                  <w:tcW w:w="2950" w:type="dxa"/>
                  <w:shd w:val="clear" w:color="auto" w:fill="auto"/>
                  <w:vAlign w:val="center"/>
                </w:tcPr>
                <w:p w14:paraId="0E3D619A">
                  <w:pPr>
                    <w:keepNext w:val="0"/>
                    <w:keepLines w:val="0"/>
                    <w:pageBreakBefore w:val="0"/>
                    <w:widowControl w:val="0"/>
                    <w:kinsoku/>
                    <w:wordWrap/>
                    <w:overflowPunct/>
                    <w:topLinePunct w:val="0"/>
                    <w:bidi w:val="0"/>
                    <w:adjustRightInd/>
                    <w:snapToGrid/>
                    <w:spacing w:line="240" w:lineRule="auto"/>
                    <w:jc w:val="center"/>
                    <w:textAlignment w:val="auto"/>
                    <w:rPr>
                      <w:rFonts w:hint="default" w:eastAsia="宋体"/>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准入要求</w:t>
                  </w:r>
                </w:p>
              </w:tc>
              <w:tc>
                <w:tcPr>
                  <w:tcW w:w="3525" w:type="dxa"/>
                  <w:shd w:val="clear" w:color="auto" w:fill="auto"/>
                  <w:vAlign w:val="center"/>
                </w:tcPr>
                <w:p w14:paraId="3CFAAA55">
                  <w:pPr>
                    <w:keepNext w:val="0"/>
                    <w:keepLines w:val="0"/>
                    <w:pageBreakBefore w:val="0"/>
                    <w:widowControl w:val="0"/>
                    <w:kinsoku/>
                    <w:wordWrap/>
                    <w:overflowPunct/>
                    <w:topLinePunct w:val="0"/>
                    <w:bidi w:val="0"/>
                    <w:adjustRightInd/>
                    <w:snapToGrid/>
                    <w:spacing w:line="240" w:lineRule="auto"/>
                    <w:jc w:val="center"/>
                    <w:textAlignment w:val="auto"/>
                    <w:rPr>
                      <w:rFonts w:hint="default" w:eastAsia="宋体"/>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符合性分析</w:t>
                  </w:r>
                </w:p>
              </w:tc>
              <w:tc>
                <w:tcPr>
                  <w:tcW w:w="708" w:type="dxa"/>
                  <w:shd w:val="clear" w:color="auto" w:fill="auto"/>
                  <w:vAlign w:val="center"/>
                </w:tcPr>
                <w:p w14:paraId="4F400A15">
                  <w:pPr>
                    <w:keepNext w:val="0"/>
                    <w:keepLines w:val="0"/>
                    <w:pageBreakBefore w:val="0"/>
                    <w:widowControl w:val="0"/>
                    <w:kinsoku/>
                    <w:wordWrap/>
                    <w:overflowPunct/>
                    <w:topLinePunct w:val="0"/>
                    <w:bidi w:val="0"/>
                    <w:adjustRightInd/>
                    <w:snapToGrid/>
                    <w:spacing w:line="240" w:lineRule="auto"/>
                    <w:jc w:val="center"/>
                    <w:textAlignment w:val="auto"/>
                    <w:rPr>
                      <w:rFonts w:hint="eastAsia" w:eastAsia="宋体"/>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是否</w:t>
                  </w:r>
                  <w:r>
                    <w:rPr>
                      <w:rFonts w:hint="eastAsia"/>
                      <w:color w:val="000000" w:themeColor="text1"/>
                      <w:sz w:val="21"/>
                      <w:szCs w:val="18"/>
                      <w:highlight w:val="none"/>
                      <w14:textFill>
                        <w14:solidFill>
                          <w14:schemeClr w14:val="tx1"/>
                        </w14:solidFill>
                      </w14:textFill>
                    </w:rPr>
                    <w:t>符合</w:t>
                  </w:r>
                </w:p>
              </w:tc>
            </w:tr>
            <w:tr w14:paraId="23581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739" w:type="dxa"/>
                  <w:shd w:val="clear" w:color="auto" w:fill="auto"/>
                  <w:vAlign w:val="center"/>
                </w:tcPr>
                <w:p w14:paraId="618311D2">
                  <w:pPr>
                    <w:keepNext w:val="0"/>
                    <w:keepLines w:val="0"/>
                    <w:pageBreakBefore w:val="0"/>
                    <w:widowControl w:val="0"/>
                    <w:kinsoku/>
                    <w:wordWrap/>
                    <w:overflowPunct/>
                    <w:topLinePunct w:val="0"/>
                    <w:bidi w:val="0"/>
                    <w:adjustRightInd/>
                    <w:snapToGrid/>
                    <w:spacing w:line="240" w:lineRule="auto"/>
                    <w:jc w:val="center"/>
                    <w:textAlignment w:val="auto"/>
                    <w:rPr>
                      <w:color w:val="000000" w:themeColor="text1"/>
                      <w:sz w:val="21"/>
                      <w:szCs w:val="18"/>
                      <w:highlight w:val="none"/>
                      <w14:textFill>
                        <w14:solidFill>
                          <w14:schemeClr w14:val="tx1"/>
                        </w14:solidFill>
                      </w14:textFill>
                    </w:rPr>
                  </w:pPr>
                  <w:r>
                    <w:rPr>
                      <w:rFonts w:hint="eastAsia"/>
                      <w:color w:val="000000" w:themeColor="text1"/>
                      <w:sz w:val="21"/>
                      <w:szCs w:val="18"/>
                      <w:highlight w:val="none"/>
                      <w:lang w:eastAsia="zh-CN"/>
                      <w14:textFill>
                        <w14:solidFill>
                          <w14:schemeClr w14:val="tx1"/>
                        </w14:solidFill>
                      </w14:textFill>
                    </w:rPr>
                    <w:t>空间布局约束</w:t>
                  </w:r>
                </w:p>
              </w:tc>
              <w:tc>
                <w:tcPr>
                  <w:tcW w:w="2950" w:type="dxa"/>
                  <w:shd w:val="clear" w:color="auto" w:fill="auto"/>
                  <w:vAlign w:val="center"/>
                </w:tcPr>
                <w:p w14:paraId="36AE16AF">
                  <w:pPr>
                    <w:keepNext w:val="0"/>
                    <w:keepLines w:val="0"/>
                    <w:pageBreakBefore w:val="0"/>
                    <w:widowControl w:val="0"/>
                    <w:kinsoku/>
                    <w:wordWrap/>
                    <w:overflowPunct/>
                    <w:topLinePunct w:val="0"/>
                    <w:bidi w:val="0"/>
                    <w:adjustRightInd/>
                    <w:snapToGrid/>
                    <w:spacing w:line="240" w:lineRule="auto"/>
                    <w:jc w:val="both"/>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1.除配套的久策气体项目和国电金山分布式能源站项目外，禁止其他化工和能源项目入园。</w:t>
                  </w:r>
                </w:p>
                <w:p w14:paraId="7CCF4CFC">
                  <w:pPr>
                    <w:keepNext w:val="0"/>
                    <w:keepLines w:val="0"/>
                    <w:pageBreakBefore w:val="0"/>
                    <w:widowControl w:val="0"/>
                    <w:kinsoku/>
                    <w:wordWrap/>
                    <w:overflowPunct/>
                    <w:topLinePunct w:val="0"/>
                    <w:bidi w:val="0"/>
                    <w:adjustRightInd/>
                    <w:snapToGrid/>
                    <w:spacing w:line="240" w:lineRule="auto"/>
                    <w:jc w:val="both"/>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2.生物医药产业限制产生恶臭的行业入驻；禁止引入水污染严重型产业。</w:t>
                  </w:r>
                </w:p>
                <w:p w14:paraId="72844BBE">
                  <w:pPr>
                    <w:keepNext w:val="0"/>
                    <w:keepLines w:val="0"/>
                    <w:pageBreakBefore w:val="0"/>
                    <w:widowControl w:val="0"/>
                    <w:kinsoku/>
                    <w:wordWrap/>
                    <w:overflowPunct/>
                    <w:topLinePunct w:val="0"/>
                    <w:bidi w:val="0"/>
                    <w:adjustRightInd/>
                    <w:snapToGrid/>
                    <w:spacing w:line="240" w:lineRule="auto"/>
                    <w:jc w:val="both"/>
                    <w:textAlignment w:val="auto"/>
                    <w:rPr>
                      <w:color w:val="000000" w:themeColor="text1"/>
                      <w:sz w:val="21"/>
                      <w:szCs w:val="18"/>
                      <w:highlight w:val="none"/>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3.居住用地周边禁止布局潜在废气扰民的建设项目。</w:t>
                  </w:r>
                </w:p>
              </w:tc>
              <w:tc>
                <w:tcPr>
                  <w:tcW w:w="3525" w:type="dxa"/>
                  <w:shd w:val="clear" w:color="auto" w:fill="auto"/>
                  <w:vAlign w:val="center"/>
                </w:tcPr>
                <w:p w14:paraId="1F94792F">
                  <w:pPr>
                    <w:keepNext w:val="0"/>
                    <w:keepLines w:val="0"/>
                    <w:pageBreakBefore w:val="0"/>
                    <w:widowControl w:val="0"/>
                    <w:kinsoku/>
                    <w:wordWrap/>
                    <w:overflowPunct/>
                    <w:topLinePunct w:val="0"/>
                    <w:bidi w:val="0"/>
                    <w:adjustRightInd/>
                    <w:snapToGrid/>
                    <w:spacing w:line="240" w:lineRule="auto"/>
                    <w:jc w:val="both"/>
                    <w:textAlignment w:val="auto"/>
                    <w:rPr>
                      <w:color w:val="000000" w:themeColor="text1"/>
                      <w:sz w:val="21"/>
                      <w:szCs w:val="18"/>
                      <w:highlight w:val="none"/>
                      <w14:textFill>
                        <w14:solidFill>
                          <w14:schemeClr w14:val="tx1"/>
                        </w14:solidFill>
                      </w14:textFill>
                    </w:rPr>
                  </w:pPr>
                  <w:r>
                    <w:rPr>
                      <w:rFonts w:hint="eastAsia"/>
                      <w:color w:val="000000" w:themeColor="text1"/>
                      <w:sz w:val="21"/>
                      <w:szCs w:val="18"/>
                      <w:highlight w:val="none"/>
                      <w14:textFill>
                        <w14:solidFill>
                          <w14:schemeClr w14:val="tx1"/>
                        </w14:solidFill>
                      </w14:textFill>
                    </w:rPr>
                    <w:t>本项目从事</w:t>
                  </w:r>
                  <w:r>
                    <w:rPr>
                      <w:rFonts w:hint="eastAsia"/>
                      <w:color w:val="000000" w:themeColor="text1"/>
                      <w:sz w:val="21"/>
                      <w:szCs w:val="18"/>
                      <w:highlight w:val="none"/>
                      <w:lang w:eastAsia="zh-CN"/>
                      <w14:textFill>
                        <w14:solidFill>
                          <w14:schemeClr w14:val="tx1"/>
                        </w14:solidFill>
                      </w14:textFill>
                    </w:rPr>
                    <w:t>光学元器件</w:t>
                  </w:r>
                  <w:r>
                    <w:rPr>
                      <w:rFonts w:hint="eastAsia"/>
                      <w:color w:val="000000" w:themeColor="text1"/>
                      <w:sz w:val="21"/>
                      <w:szCs w:val="18"/>
                      <w:highlight w:val="none"/>
                      <w14:textFill>
                        <w14:solidFill>
                          <w14:schemeClr w14:val="tx1"/>
                        </w14:solidFill>
                      </w14:textFill>
                    </w:rPr>
                    <w:t>生产，不属于化工，能源项目。项目生产过程中无恶臭产生，生产废水</w:t>
                  </w:r>
                  <w:r>
                    <w:rPr>
                      <w:rFonts w:hint="eastAsia"/>
                      <w:color w:val="000000" w:themeColor="text1"/>
                      <w:sz w:val="21"/>
                      <w:szCs w:val="18"/>
                      <w:highlight w:val="none"/>
                      <w:lang w:val="en-US" w:eastAsia="zh-CN"/>
                      <w14:textFill>
                        <w14:solidFill>
                          <w14:schemeClr w14:val="tx1"/>
                        </w14:solidFill>
                      </w14:textFill>
                    </w:rPr>
                    <w:t>排入本次新建污水处理站</w:t>
                  </w:r>
                  <w:r>
                    <w:rPr>
                      <w:rFonts w:hint="eastAsia"/>
                      <w:color w:val="000000" w:themeColor="text1"/>
                      <w:sz w:val="21"/>
                      <w:szCs w:val="18"/>
                      <w:highlight w:val="none"/>
                      <w14:textFill>
                        <w14:solidFill>
                          <w14:schemeClr w14:val="tx1"/>
                        </w14:solidFill>
                      </w14:textFill>
                    </w:rPr>
                    <w:t>处理后纳入福州大学城污水处理厂统一处理</w:t>
                  </w:r>
                  <w:r>
                    <w:rPr>
                      <w:rFonts w:hint="eastAsia"/>
                      <w:color w:val="000000" w:themeColor="text1"/>
                      <w:sz w:val="21"/>
                      <w:szCs w:val="18"/>
                      <w:highlight w:val="none"/>
                      <w:lang w:eastAsia="zh-CN"/>
                      <w14:textFill>
                        <w14:solidFill>
                          <w14:schemeClr w14:val="tx1"/>
                        </w14:solidFill>
                      </w14:textFill>
                    </w:rPr>
                    <w:t>，</w:t>
                  </w:r>
                  <w:r>
                    <w:rPr>
                      <w:rFonts w:hint="eastAsia"/>
                      <w:color w:val="000000" w:themeColor="text1"/>
                      <w:sz w:val="21"/>
                      <w:szCs w:val="18"/>
                      <w:highlight w:val="none"/>
                      <w:lang w:val="en-US" w:eastAsia="zh-CN"/>
                      <w14:textFill>
                        <w14:solidFill>
                          <w14:schemeClr w14:val="tx1"/>
                        </w14:solidFill>
                      </w14:textFill>
                    </w:rPr>
                    <w:t>生活污水通过</w:t>
                  </w:r>
                  <w:r>
                    <w:rPr>
                      <w:rFonts w:hint="eastAsia"/>
                      <w:color w:val="000000" w:themeColor="text1"/>
                      <w:sz w:val="21"/>
                      <w:szCs w:val="18"/>
                      <w:highlight w:val="none"/>
                      <w14:textFill>
                        <w14:solidFill>
                          <w14:schemeClr w14:val="tx1"/>
                        </w14:solidFill>
                      </w14:textFill>
                    </w:rPr>
                    <w:t>市政污水管网</w:t>
                  </w:r>
                  <w:r>
                    <w:rPr>
                      <w:rFonts w:hint="eastAsia"/>
                      <w:color w:val="000000" w:themeColor="text1"/>
                      <w:sz w:val="21"/>
                      <w:szCs w:val="18"/>
                      <w:highlight w:val="none"/>
                      <w:lang w:val="en-US" w:eastAsia="zh-CN"/>
                      <w14:textFill>
                        <w14:solidFill>
                          <w14:schemeClr w14:val="tx1"/>
                        </w14:solidFill>
                      </w14:textFill>
                    </w:rPr>
                    <w:t>也</w:t>
                  </w:r>
                  <w:r>
                    <w:rPr>
                      <w:rFonts w:hint="eastAsia"/>
                      <w:color w:val="000000" w:themeColor="text1"/>
                      <w:sz w:val="21"/>
                      <w:szCs w:val="18"/>
                      <w:highlight w:val="none"/>
                      <w14:textFill>
                        <w14:solidFill>
                          <w14:schemeClr w14:val="tx1"/>
                        </w14:solidFill>
                      </w14:textFill>
                    </w:rPr>
                    <w:t>纳入福州大学城污水处理厂统一处理，不属于水污染严重产业。项目用地属于工业用地。</w:t>
                  </w:r>
                </w:p>
              </w:tc>
              <w:tc>
                <w:tcPr>
                  <w:tcW w:w="708" w:type="dxa"/>
                  <w:shd w:val="clear" w:color="auto" w:fill="auto"/>
                  <w:vAlign w:val="center"/>
                </w:tcPr>
                <w:p w14:paraId="15DF401A">
                  <w:pPr>
                    <w:keepNext w:val="0"/>
                    <w:keepLines w:val="0"/>
                    <w:pageBreakBefore w:val="0"/>
                    <w:widowControl w:val="0"/>
                    <w:kinsoku/>
                    <w:wordWrap/>
                    <w:overflowPunct/>
                    <w:topLinePunct w:val="0"/>
                    <w:bidi w:val="0"/>
                    <w:adjustRightInd/>
                    <w:snapToGrid/>
                    <w:spacing w:line="240" w:lineRule="auto"/>
                    <w:jc w:val="center"/>
                    <w:textAlignment w:val="auto"/>
                    <w:rPr>
                      <w:color w:val="000000" w:themeColor="text1"/>
                      <w:sz w:val="21"/>
                      <w:szCs w:val="18"/>
                      <w:highlight w:val="none"/>
                      <w14:textFill>
                        <w14:solidFill>
                          <w14:schemeClr w14:val="tx1"/>
                        </w14:solidFill>
                      </w14:textFill>
                    </w:rPr>
                  </w:pPr>
                  <w:r>
                    <w:rPr>
                      <w:rFonts w:hint="eastAsia"/>
                      <w:color w:val="000000" w:themeColor="text1"/>
                      <w:sz w:val="21"/>
                      <w:szCs w:val="18"/>
                      <w:highlight w:val="none"/>
                      <w14:textFill>
                        <w14:solidFill>
                          <w14:schemeClr w14:val="tx1"/>
                        </w14:solidFill>
                      </w14:textFill>
                    </w:rPr>
                    <w:t>符合</w:t>
                  </w:r>
                </w:p>
              </w:tc>
            </w:tr>
            <w:tr w14:paraId="4B5FF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739" w:type="dxa"/>
                  <w:shd w:val="clear" w:color="auto" w:fill="auto"/>
                  <w:vAlign w:val="center"/>
                </w:tcPr>
                <w:p w14:paraId="454AFF95">
                  <w:pPr>
                    <w:keepNext w:val="0"/>
                    <w:keepLines w:val="0"/>
                    <w:pageBreakBefore w:val="0"/>
                    <w:widowControl w:val="0"/>
                    <w:kinsoku/>
                    <w:wordWrap/>
                    <w:overflowPunct/>
                    <w:topLinePunct w:val="0"/>
                    <w:bidi w:val="0"/>
                    <w:adjustRightInd/>
                    <w:snapToGrid/>
                    <w:spacing w:line="240" w:lineRule="auto"/>
                    <w:jc w:val="center"/>
                    <w:textAlignment w:val="auto"/>
                    <w:rPr>
                      <w:color w:val="000000" w:themeColor="text1"/>
                      <w:sz w:val="21"/>
                      <w:szCs w:val="18"/>
                      <w:highlight w:val="none"/>
                      <w14:textFill>
                        <w14:solidFill>
                          <w14:schemeClr w14:val="tx1"/>
                        </w14:solidFill>
                      </w14:textFill>
                    </w:rPr>
                  </w:pPr>
                  <w:r>
                    <w:rPr>
                      <w:rFonts w:hint="eastAsia"/>
                      <w:color w:val="000000" w:themeColor="text1"/>
                      <w:sz w:val="21"/>
                      <w:szCs w:val="18"/>
                      <w:highlight w:val="none"/>
                      <w:lang w:eastAsia="zh-CN"/>
                      <w14:textFill>
                        <w14:solidFill>
                          <w14:schemeClr w14:val="tx1"/>
                        </w14:solidFill>
                      </w14:textFill>
                    </w:rPr>
                    <w:t>污染物排放管控</w:t>
                  </w:r>
                </w:p>
              </w:tc>
              <w:tc>
                <w:tcPr>
                  <w:tcW w:w="2950" w:type="dxa"/>
                  <w:shd w:val="clear" w:color="auto" w:fill="auto"/>
                  <w:vAlign w:val="center"/>
                </w:tcPr>
                <w:p w14:paraId="53B91F6C">
                  <w:pPr>
                    <w:keepNext w:val="0"/>
                    <w:keepLines w:val="0"/>
                    <w:pageBreakBefore w:val="0"/>
                    <w:widowControl w:val="0"/>
                    <w:kinsoku/>
                    <w:wordWrap/>
                    <w:overflowPunct/>
                    <w:topLinePunct w:val="0"/>
                    <w:bidi w:val="0"/>
                    <w:adjustRightInd/>
                    <w:snapToGrid/>
                    <w:spacing w:line="240" w:lineRule="auto"/>
                    <w:textAlignment w:val="auto"/>
                    <w:rPr>
                      <w:rFonts w:ascii="宋体" w:cs="宋体"/>
                      <w:color w:val="000000" w:themeColor="text1"/>
                      <w:kern w:val="0"/>
                      <w:sz w:val="21"/>
                      <w:szCs w:val="18"/>
                      <w:highlight w:val="none"/>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落实新增VOCs排放总量控制要求</w:t>
                  </w:r>
                  <w:r>
                    <w:rPr>
                      <w:rFonts w:hint="eastAsia"/>
                      <w:color w:val="000000" w:themeColor="text1"/>
                      <w:sz w:val="21"/>
                      <w:szCs w:val="18"/>
                      <w:highlight w:val="none"/>
                      <w:lang w:eastAsia="zh-CN"/>
                      <w14:textFill>
                        <w14:solidFill>
                          <w14:schemeClr w14:val="tx1"/>
                        </w14:solidFill>
                      </w14:textFill>
                    </w:rPr>
                    <w:t>。</w:t>
                  </w:r>
                </w:p>
              </w:tc>
              <w:tc>
                <w:tcPr>
                  <w:tcW w:w="3525" w:type="dxa"/>
                  <w:shd w:val="clear" w:color="auto" w:fill="auto"/>
                  <w:vAlign w:val="center"/>
                </w:tcPr>
                <w:p w14:paraId="3C05B61C">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ascii="宋体" w:cs="宋体"/>
                      <w:color w:val="000000" w:themeColor="text1"/>
                      <w:kern w:val="0"/>
                      <w:sz w:val="21"/>
                      <w:szCs w:val="18"/>
                      <w:highlight w:val="none"/>
                      <w14:textFill>
                        <w14:solidFill>
                          <w14:schemeClr w14:val="tx1"/>
                        </w14:solidFill>
                      </w14:textFill>
                    </w:rPr>
                  </w:pPr>
                  <w:r>
                    <w:rPr>
                      <w:rFonts w:hint="default" w:ascii="Times New Roman" w:hAnsi="Times New Roman" w:cs="Times New Roman"/>
                      <w:color w:val="000000" w:themeColor="text1"/>
                      <w:kern w:val="0"/>
                      <w:sz w:val="21"/>
                      <w:szCs w:val="18"/>
                      <w:highlight w:val="none"/>
                      <w14:textFill>
                        <w14:solidFill>
                          <w14:schemeClr w14:val="tx1"/>
                        </w14:solidFill>
                      </w14:textFill>
                    </w:rPr>
                    <w:t>.项目涉新增VOCs排放，</w:t>
                  </w:r>
                  <w:r>
                    <w:rPr>
                      <w:rFonts w:hint="eastAsia" w:cs="Times New Roman"/>
                      <w:color w:val="000000" w:themeColor="text1"/>
                      <w:kern w:val="0"/>
                      <w:sz w:val="21"/>
                      <w:szCs w:val="18"/>
                      <w:highlight w:val="none"/>
                      <w:lang w:val="en-US" w:eastAsia="zh-CN"/>
                      <w14:textFill>
                        <w14:solidFill>
                          <w14:schemeClr w14:val="tx1"/>
                        </w14:solidFill>
                      </w14:textFill>
                    </w:rPr>
                    <w:t>项目新增</w:t>
                  </w:r>
                  <w:r>
                    <w:rPr>
                      <w:rFonts w:hint="default" w:ascii="Times New Roman" w:hAnsi="Times New Roman" w:cs="Times New Roman"/>
                      <w:color w:val="000000" w:themeColor="text1"/>
                      <w:kern w:val="0"/>
                      <w:sz w:val="21"/>
                      <w:szCs w:val="18"/>
                      <w:highlight w:val="none"/>
                      <w14:textFill>
                        <w14:solidFill>
                          <w14:schemeClr w14:val="tx1"/>
                        </w14:solidFill>
                      </w14:textFill>
                    </w:rPr>
                    <w:t>VOCs</w:t>
                  </w:r>
                  <w:r>
                    <w:rPr>
                      <w:rFonts w:hint="eastAsia" w:cs="Times New Roman"/>
                      <w:color w:val="000000" w:themeColor="text1"/>
                      <w:kern w:val="0"/>
                      <w:sz w:val="21"/>
                      <w:szCs w:val="18"/>
                      <w:highlight w:val="none"/>
                      <w:lang w:val="en-US" w:eastAsia="zh-CN"/>
                      <w14:textFill>
                        <w14:solidFill>
                          <w14:schemeClr w14:val="tx1"/>
                        </w14:solidFill>
                      </w14:textFill>
                    </w:rPr>
                    <w:t>落实</w:t>
                  </w:r>
                  <w:r>
                    <w:rPr>
                      <w:rFonts w:hint="default" w:ascii="Times New Roman" w:hAnsi="Times New Roman" w:cs="Times New Roman"/>
                      <w:color w:val="000000" w:themeColor="text1"/>
                      <w:kern w:val="0"/>
                      <w:sz w:val="21"/>
                      <w:szCs w:val="18"/>
                      <w:highlight w:val="none"/>
                      <w:lang w:val="en-US" w:eastAsia="zh-CN"/>
                      <w14:textFill>
                        <w14:solidFill>
                          <w14:schemeClr w14:val="tx1"/>
                        </w14:solidFill>
                      </w14:textFill>
                    </w:rPr>
                    <w:t>排放总量控制要求</w:t>
                  </w:r>
                  <w:r>
                    <w:rPr>
                      <w:rFonts w:hint="default" w:ascii="Times New Roman" w:hAnsi="Times New Roman" w:cs="Times New Roman"/>
                      <w:color w:val="000000" w:themeColor="text1"/>
                      <w:kern w:val="0"/>
                      <w:sz w:val="21"/>
                      <w:szCs w:val="18"/>
                      <w:highlight w:val="none"/>
                      <w14:textFill>
                        <w14:solidFill>
                          <w14:schemeClr w14:val="tx1"/>
                        </w14:solidFill>
                      </w14:textFill>
                    </w:rPr>
                    <w:t>。</w:t>
                  </w:r>
                </w:p>
              </w:tc>
              <w:tc>
                <w:tcPr>
                  <w:tcW w:w="708" w:type="dxa"/>
                  <w:shd w:val="clear" w:color="auto" w:fill="auto"/>
                  <w:vAlign w:val="center"/>
                </w:tcPr>
                <w:p w14:paraId="17F1F892">
                  <w:pPr>
                    <w:keepNext w:val="0"/>
                    <w:keepLines w:val="0"/>
                    <w:pageBreakBefore w:val="0"/>
                    <w:widowControl w:val="0"/>
                    <w:kinsoku/>
                    <w:wordWrap/>
                    <w:overflowPunct/>
                    <w:topLinePunct w:val="0"/>
                    <w:bidi w:val="0"/>
                    <w:adjustRightInd/>
                    <w:snapToGrid/>
                    <w:spacing w:line="240" w:lineRule="auto"/>
                    <w:jc w:val="center"/>
                    <w:textAlignment w:val="auto"/>
                    <w:rPr>
                      <w:color w:val="000000" w:themeColor="text1"/>
                      <w:sz w:val="21"/>
                      <w:szCs w:val="18"/>
                      <w:highlight w:val="none"/>
                      <w14:textFill>
                        <w14:solidFill>
                          <w14:schemeClr w14:val="tx1"/>
                        </w14:solidFill>
                      </w14:textFill>
                    </w:rPr>
                  </w:pPr>
                  <w:r>
                    <w:rPr>
                      <w:rFonts w:hint="eastAsia"/>
                      <w:color w:val="000000" w:themeColor="text1"/>
                      <w:sz w:val="21"/>
                      <w:szCs w:val="18"/>
                      <w:highlight w:val="none"/>
                      <w14:textFill>
                        <w14:solidFill>
                          <w14:schemeClr w14:val="tx1"/>
                        </w14:solidFill>
                      </w14:textFill>
                    </w:rPr>
                    <w:t>符合</w:t>
                  </w:r>
                </w:p>
              </w:tc>
            </w:tr>
            <w:tr w14:paraId="4D0E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739" w:type="dxa"/>
                  <w:shd w:val="clear" w:color="auto" w:fill="auto"/>
                  <w:vAlign w:val="center"/>
                </w:tcPr>
                <w:p w14:paraId="124A7A20">
                  <w:pPr>
                    <w:keepNext w:val="0"/>
                    <w:keepLines w:val="0"/>
                    <w:pageBreakBefore w:val="0"/>
                    <w:widowControl w:val="0"/>
                    <w:kinsoku/>
                    <w:wordWrap/>
                    <w:overflowPunct/>
                    <w:topLinePunct w:val="0"/>
                    <w:bidi w:val="0"/>
                    <w:adjustRightInd/>
                    <w:snapToGrid/>
                    <w:spacing w:line="240" w:lineRule="auto"/>
                    <w:jc w:val="center"/>
                    <w:textAlignment w:val="auto"/>
                    <w:rPr>
                      <w:color w:val="000000" w:themeColor="text1"/>
                      <w:sz w:val="21"/>
                      <w:szCs w:val="18"/>
                      <w:highlight w:val="none"/>
                      <w14:textFill>
                        <w14:solidFill>
                          <w14:schemeClr w14:val="tx1"/>
                        </w14:solidFill>
                      </w14:textFill>
                    </w:rPr>
                  </w:pPr>
                  <w:r>
                    <w:rPr>
                      <w:rFonts w:hint="eastAsia"/>
                      <w:color w:val="000000" w:themeColor="text1"/>
                      <w:sz w:val="21"/>
                      <w:szCs w:val="18"/>
                      <w:highlight w:val="none"/>
                      <w:lang w:eastAsia="zh-CN"/>
                      <w14:textFill>
                        <w14:solidFill>
                          <w14:schemeClr w14:val="tx1"/>
                        </w14:solidFill>
                      </w14:textFill>
                    </w:rPr>
                    <w:t>环境风险防控</w:t>
                  </w:r>
                </w:p>
              </w:tc>
              <w:tc>
                <w:tcPr>
                  <w:tcW w:w="2950" w:type="dxa"/>
                  <w:shd w:val="clear" w:color="auto" w:fill="auto"/>
                  <w:vAlign w:val="center"/>
                </w:tcPr>
                <w:p w14:paraId="3E6BA29B">
                  <w:pPr>
                    <w:keepNext w:val="0"/>
                    <w:keepLines w:val="0"/>
                    <w:pageBreakBefore w:val="0"/>
                    <w:widowControl w:val="0"/>
                    <w:kinsoku/>
                    <w:wordWrap/>
                    <w:overflowPunct/>
                    <w:topLinePunct w:val="0"/>
                    <w:bidi w:val="0"/>
                    <w:adjustRightInd/>
                    <w:snapToGrid/>
                    <w:spacing w:line="240" w:lineRule="auto"/>
                    <w:textAlignment w:val="auto"/>
                    <w:rPr>
                      <w:color w:val="000000" w:themeColor="text1"/>
                      <w:sz w:val="21"/>
                      <w:szCs w:val="18"/>
                      <w:highlight w:val="none"/>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1.建立健全环境风险防控体系，制定环境风险应急预案，建设事故应急池，成立应急组织机构，防止在处理安全生产事故过程中产生的可能严重污染水体的消防废水、废液直接排入水体。2.应采取有效措施防止园区建设对区域地下水、土壤造成污染</w:t>
                  </w:r>
                  <w:r>
                    <w:rPr>
                      <w:rFonts w:hint="eastAsia"/>
                      <w:color w:val="000000" w:themeColor="text1"/>
                      <w:sz w:val="21"/>
                      <w:szCs w:val="18"/>
                      <w:highlight w:val="none"/>
                      <w:lang w:eastAsia="zh-CN"/>
                      <w14:textFill>
                        <w14:solidFill>
                          <w14:schemeClr w14:val="tx1"/>
                        </w14:solidFill>
                      </w14:textFill>
                    </w:rPr>
                    <w:t>。</w:t>
                  </w:r>
                </w:p>
              </w:tc>
              <w:tc>
                <w:tcPr>
                  <w:tcW w:w="3525" w:type="dxa"/>
                  <w:shd w:val="clear" w:color="auto" w:fill="auto"/>
                  <w:vAlign w:val="center"/>
                </w:tcPr>
                <w:p w14:paraId="0E9FDF46">
                  <w:pPr>
                    <w:keepNext w:val="0"/>
                    <w:keepLines w:val="0"/>
                    <w:pageBreakBefore w:val="0"/>
                    <w:widowControl w:val="0"/>
                    <w:kinsoku/>
                    <w:wordWrap/>
                    <w:overflowPunct/>
                    <w:topLinePunct w:val="0"/>
                    <w:bidi w:val="0"/>
                    <w:adjustRightInd/>
                    <w:snapToGrid/>
                    <w:spacing w:line="240" w:lineRule="auto"/>
                    <w:textAlignment w:val="auto"/>
                    <w:rPr>
                      <w:color w:val="000000" w:themeColor="text1"/>
                      <w:sz w:val="21"/>
                      <w:szCs w:val="18"/>
                      <w:highlight w:val="none"/>
                      <w14:textFill>
                        <w14:solidFill>
                          <w14:schemeClr w14:val="tx1"/>
                        </w14:solidFill>
                      </w14:textFill>
                    </w:rPr>
                  </w:pPr>
                  <w:r>
                    <w:rPr>
                      <w:rFonts w:hint="eastAsia"/>
                      <w:color w:val="000000" w:themeColor="text1"/>
                      <w:sz w:val="21"/>
                      <w:szCs w:val="18"/>
                      <w:highlight w:val="none"/>
                      <w14:textFill>
                        <w14:solidFill>
                          <w14:schemeClr w14:val="tx1"/>
                        </w14:solidFill>
                      </w14:textFill>
                    </w:rPr>
                    <w:t>本项目环境风险较小，建设单位在采取本评价建议的环境风险防范和减缓措施，可杜绝风险事故的发生。本项目的环境风险在可接受范围内。</w:t>
                  </w:r>
                </w:p>
              </w:tc>
              <w:tc>
                <w:tcPr>
                  <w:tcW w:w="708" w:type="dxa"/>
                  <w:shd w:val="clear" w:color="auto" w:fill="auto"/>
                  <w:vAlign w:val="center"/>
                </w:tcPr>
                <w:p w14:paraId="52ACEEF8">
                  <w:pPr>
                    <w:keepNext w:val="0"/>
                    <w:keepLines w:val="0"/>
                    <w:pageBreakBefore w:val="0"/>
                    <w:widowControl w:val="0"/>
                    <w:kinsoku/>
                    <w:wordWrap/>
                    <w:overflowPunct/>
                    <w:topLinePunct w:val="0"/>
                    <w:bidi w:val="0"/>
                    <w:adjustRightInd/>
                    <w:snapToGrid/>
                    <w:spacing w:line="240" w:lineRule="auto"/>
                    <w:jc w:val="center"/>
                    <w:textAlignment w:val="auto"/>
                    <w:rPr>
                      <w:color w:val="000000" w:themeColor="text1"/>
                      <w:sz w:val="21"/>
                      <w:szCs w:val="18"/>
                      <w:highlight w:val="none"/>
                      <w14:textFill>
                        <w14:solidFill>
                          <w14:schemeClr w14:val="tx1"/>
                        </w14:solidFill>
                      </w14:textFill>
                    </w:rPr>
                  </w:pPr>
                  <w:r>
                    <w:rPr>
                      <w:rFonts w:hint="eastAsia"/>
                      <w:color w:val="000000" w:themeColor="text1"/>
                      <w:sz w:val="21"/>
                      <w:szCs w:val="18"/>
                      <w:highlight w:val="none"/>
                      <w14:textFill>
                        <w14:solidFill>
                          <w14:schemeClr w14:val="tx1"/>
                        </w14:solidFill>
                      </w14:textFill>
                    </w:rPr>
                    <w:t>符合</w:t>
                  </w:r>
                </w:p>
              </w:tc>
            </w:tr>
            <w:tr w14:paraId="5E8E2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739" w:type="dxa"/>
                  <w:shd w:val="clear" w:color="auto" w:fill="auto"/>
                  <w:vAlign w:val="center"/>
                </w:tcPr>
                <w:p w14:paraId="04F46CDA">
                  <w:pPr>
                    <w:keepNext w:val="0"/>
                    <w:keepLines w:val="0"/>
                    <w:pageBreakBefore w:val="0"/>
                    <w:widowControl w:val="0"/>
                    <w:kinsoku/>
                    <w:wordWrap/>
                    <w:overflowPunct/>
                    <w:topLinePunct w:val="0"/>
                    <w:bidi w:val="0"/>
                    <w:adjustRightInd/>
                    <w:snapToGrid/>
                    <w:spacing w:line="240" w:lineRule="auto"/>
                    <w:jc w:val="center"/>
                    <w:textAlignment w:val="auto"/>
                    <w:rPr>
                      <w:color w:val="000000" w:themeColor="text1"/>
                      <w:sz w:val="21"/>
                      <w:szCs w:val="18"/>
                      <w:highlight w:val="none"/>
                      <w14:textFill>
                        <w14:solidFill>
                          <w14:schemeClr w14:val="tx1"/>
                        </w14:solidFill>
                      </w14:textFill>
                    </w:rPr>
                  </w:pPr>
                  <w:r>
                    <w:rPr>
                      <w:rFonts w:hint="eastAsia"/>
                      <w:color w:val="000000" w:themeColor="text1"/>
                      <w:sz w:val="21"/>
                      <w:szCs w:val="18"/>
                      <w:highlight w:val="none"/>
                      <w:lang w:eastAsia="zh-CN"/>
                      <w14:textFill>
                        <w14:solidFill>
                          <w14:schemeClr w14:val="tx1"/>
                        </w14:solidFill>
                      </w14:textFill>
                    </w:rPr>
                    <w:t>资源开发效率要求</w:t>
                  </w:r>
                </w:p>
              </w:tc>
              <w:tc>
                <w:tcPr>
                  <w:tcW w:w="2950" w:type="dxa"/>
                  <w:shd w:val="clear" w:color="auto" w:fill="auto"/>
                  <w:vAlign w:val="center"/>
                </w:tcPr>
                <w:p w14:paraId="3B471F79">
                  <w:pPr>
                    <w:keepNext w:val="0"/>
                    <w:keepLines w:val="0"/>
                    <w:pageBreakBefore w:val="0"/>
                    <w:widowControl w:val="0"/>
                    <w:kinsoku/>
                    <w:wordWrap/>
                    <w:overflowPunct/>
                    <w:topLinePunct w:val="0"/>
                    <w:bidi w:val="0"/>
                    <w:adjustRightInd/>
                    <w:snapToGrid/>
                    <w:spacing w:line="240" w:lineRule="auto"/>
                    <w:textAlignment w:val="auto"/>
                    <w:rPr>
                      <w:color w:val="000000" w:themeColor="text1"/>
                      <w:sz w:val="21"/>
                      <w:szCs w:val="18"/>
                      <w:highlight w:val="none"/>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无</w:t>
                  </w:r>
                </w:p>
              </w:tc>
              <w:tc>
                <w:tcPr>
                  <w:tcW w:w="3525" w:type="dxa"/>
                  <w:shd w:val="clear" w:color="auto" w:fill="auto"/>
                  <w:vAlign w:val="center"/>
                </w:tcPr>
                <w:p w14:paraId="3EF95633">
                  <w:pPr>
                    <w:keepNext w:val="0"/>
                    <w:keepLines w:val="0"/>
                    <w:pageBreakBefore w:val="0"/>
                    <w:widowControl w:val="0"/>
                    <w:kinsoku/>
                    <w:wordWrap/>
                    <w:overflowPunct/>
                    <w:topLinePunct w:val="0"/>
                    <w:bidi w:val="0"/>
                    <w:adjustRightInd/>
                    <w:snapToGrid/>
                    <w:spacing w:line="240" w:lineRule="auto"/>
                    <w:textAlignment w:val="auto"/>
                    <w:rPr>
                      <w:rFonts w:hint="eastAsia" w:eastAsia="宋体"/>
                      <w:color w:val="000000" w:themeColor="text1"/>
                      <w:sz w:val="21"/>
                      <w:szCs w:val="18"/>
                      <w:highlight w:val="none"/>
                      <w:lang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w:t>
                  </w:r>
                </w:p>
              </w:tc>
              <w:tc>
                <w:tcPr>
                  <w:tcW w:w="708" w:type="dxa"/>
                  <w:shd w:val="clear" w:color="auto" w:fill="auto"/>
                  <w:vAlign w:val="center"/>
                </w:tcPr>
                <w:p w14:paraId="0D29C131">
                  <w:pPr>
                    <w:keepNext w:val="0"/>
                    <w:keepLines w:val="0"/>
                    <w:pageBreakBefore w:val="0"/>
                    <w:widowControl w:val="0"/>
                    <w:kinsoku/>
                    <w:wordWrap/>
                    <w:overflowPunct/>
                    <w:topLinePunct w:val="0"/>
                    <w:bidi w:val="0"/>
                    <w:adjustRightInd/>
                    <w:snapToGrid/>
                    <w:spacing w:line="240" w:lineRule="auto"/>
                    <w:jc w:val="center"/>
                    <w:textAlignment w:val="auto"/>
                    <w:rPr>
                      <w:rFonts w:hint="default" w:eastAsia="宋体"/>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符合</w:t>
                  </w:r>
                </w:p>
              </w:tc>
            </w:tr>
          </w:tbl>
          <w:p w14:paraId="240638AE">
            <w:pPr>
              <w:pStyle w:val="91"/>
              <w:ind w:firstLine="420"/>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根据</w:t>
            </w:r>
            <w:r>
              <w:rPr>
                <w:rFonts w:hint="default"/>
                <w:color w:val="000000" w:themeColor="text1"/>
                <w:sz w:val="24"/>
                <w:szCs w:val="24"/>
                <w:highlight w:val="none"/>
                <w:lang w:val="en-US"/>
                <w14:textFill>
                  <w14:solidFill>
                    <w14:schemeClr w14:val="tx1"/>
                  </w14:solidFill>
                </w14:textFill>
              </w:rPr>
              <w:t>上表</w:t>
            </w:r>
            <w:r>
              <w:rPr>
                <w:rFonts w:hint="eastAsia"/>
                <w:color w:val="000000" w:themeColor="text1"/>
                <w:sz w:val="24"/>
                <w:szCs w:val="24"/>
                <w:highlight w:val="none"/>
                <w14:textFill>
                  <w14:solidFill>
                    <w14:schemeClr w14:val="tx1"/>
                  </w14:solidFill>
                </w14:textFill>
              </w:rPr>
              <w:t>分析，项目不涉及生态保护红线、符合资源利用上限要求、符合环境质量底线要求</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符合生态环境分区管控单元的管控要求</w:t>
            </w:r>
            <w:r>
              <w:rPr>
                <w:rFonts w:hint="eastAsia"/>
                <w:color w:val="000000" w:themeColor="text1"/>
                <w:sz w:val="24"/>
                <w:szCs w:val="24"/>
                <w:highlight w:val="none"/>
                <w14:textFill>
                  <w14:solidFill>
                    <w14:schemeClr w14:val="tx1"/>
                  </w14:solidFill>
                </w14:textFill>
              </w:rPr>
              <w:t>。</w:t>
            </w:r>
          </w:p>
          <w:p w14:paraId="63420A1F">
            <w:pPr>
              <w:pStyle w:val="37"/>
              <w:rPr>
                <w:rFonts w:hint="eastAsia"/>
                <w:color w:val="000000" w:themeColor="text1"/>
                <w:sz w:val="24"/>
                <w:szCs w:val="21"/>
                <w:highlight w:val="none"/>
                <w14:textFill>
                  <w14:solidFill>
                    <w14:schemeClr w14:val="tx1"/>
                  </w14:solidFill>
                </w14:textFill>
              </w:rPr>
            </w:pPr>
            <w:r>
              <w:rPr>
                <w:color w:val="000000" w:themeColor="text1"/>
                <w:sz w:val="24"/>
                <w:szCs w:val="21"/>
                <w:highlight w:val="none"/>
                <w14:textFill>
                  <w14:solidFill>
                    <w14:schemeClr w14:val="tx1"/>
                  </w14:solidFill>
                </w14:textFill>
              </w:rPr>
              <w:t>1.</w:t>
            </w:r>
            <w:r>
              <w:rPr>
                <w:rFonts w:hint="eastAsia"/>
                <w:color w:val="000000" w:themeColor="text1"/>
                <w:sz w:val="24"/>
                <w:szCs w:val="21"/>
                <w:highlight w:val="none"/>
                <w:lang w:val="en-US" w:eastAsia="zh-CN"/>
                <w14:textFill>
                  <w14:solidFill>
                    <w14:schemeClr w14:val="tx1"/>
                  </w14:solidFill>
                </w14:textFill>
              </w:rPr>
              <w:t>7</w:t>
            </w:r>
            <w:r>
              <w:rPr>
                <w:rFonts w:hint="eastAsia" w:ascii="黑体" w:hAnsi="黑体"/>
                <w:color w:val="000000" w:themeColor="text1"/>
                <w:sz w:val="24"/>
                <w:szCs w:val="21"/>
                <w:highlight w:val="none"/>
                <w14:textFill>
                  <w14:solidFill>
                    <w14:schemeClr w14:val="tx1"/>
                  </w14:solidFill>
                </w14:textFill>
              </w:rPr>
              <w:t>与</w:t>
            </w:r>
            <w:r>
              <w:rPr>
                <w:rFonts w:hint="eastAsia" w:ascii="黑体" w:hAnsi="黑体"/>
                <w:color w:val="000000" w:themeColor="text1"/>
                <w:sz w:val="24"/>
                <w:szCs w:val="21"/>
                <w:highlight w:val="none"/>
                <w:lang w:val="en-US" w:eastAsia="zh-CN"/>
                <w14:textFill>
                  <w14:solidFill>
                    <w14:schemeClr w14:val="tx1"/>
                  </w14:solidFill>
                </w14:textFill>
              </w:rPr>
              <w:t>挥发性有机物污染防治相关政策的</w:t>
            </w:r>
            <w:r>
              <w:rPr>
                <w:rFonts w:hint="eastAsia"/>
                <w:color w:val="000000" w:themeColor="text1"/>
                <w:sz w:val="24"/>
                <w:szCs w:val="21"/>
                <w:highlight w:val="none"/>
                <w14:textFill>
                  <w14:solidFill>
                    <w14:schemeClr w14:val="tx1"/>
                  </w14:solidFill>
                </w14:textFill>
              </w:rPr>
              <w:t>符合性分析</w:t>
            </w:r>
          </w:p>
          <w:p w14:paraId="7FB6095D">
            <w:pPr>
              <w:pStyle w:val="37"/>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1.7.1与《福建省重点行业挥发性有机物污染防治工作方案》(闽环保大气〔2017〕6号)的符合性分析</w:t>
            </w:r>
          </w:p>
          <w:p w14:paraId="3686707B">
            <w:pPr>
              <w:pStyle w:val="91"/>
              <w:ind w:firstLine="42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eastAsia="zh-CN"/>
                <w14:textFill>
                  <w14:solidFill>
                    <w14:schemeClr w14:val="tx1"/>
                  </w14:solidFill>
                </w14:textFill>
              </w:rPr>
              <w:t>（</w:t>
            </w:r>
            <w:r>
              <w:rPr>
                <w:rFonts w:hint="eastAsia"/>
                <w:color w:val="000000" w:themeColor="text1"/>
                <w:sz w:val="24"/>
                <w:szCs w:val="21"/>
                <w:highlight w:val="none"/>
                <w:lang w:val="en-US" w:eastAsia="zh-CN"/>
                <w14:textFill>
                  <w14:solidFill>
                    <w14:schemeClr w14:val="tx1"/>
                  </w14:solidFill>
                </w14:textFill>
              </w:rPr>
              <w:t>1</w:t>
            </w:r>
            <w:r>
              <w:rPr>
                <w:rFonts w:hint="eastAsia"/>
                <w:color w:val="000000" w:themeColor="text1"/>
                <w:sz w:val="24"/>
                <w:szCs w:val="21"/>
                <w:highlight w:val="none"/>
                <w:lang w:eastAsia="zh-CN"/>
                <w14:textFill>
                  <w14:solidFill>
                    <w14:schemeClr w14:val="tx1"/>
                  </w14:solidFill>
                </w14:textFill>
              </w:rPr>
              <w:t>）</w:t>
            </w:r>
            <w:r>
              <w:rPr>
                <w:rFonts w:hint="eastAsia"/>
                <w:color w:val="000000" w:themeColor="text1"/>
                <w:sz w:val="24"/>
                <w:szCs w:val="21"/>
                <w:highlight w:val="none"/>
                <w:lang w:val="en-US" w:eastAsia="zh-CN"/>
                <w14:textFill>
                  <w14:solidFill>
                    <w14:schemeClr w14:val="tx1"/>
                  </w14:solidFill>
                </w14:textFill>
              </w:rPr>
              <w:t>相关内容</w:t>
            </w:r>
          </w:p>
          <w:p w14:paraId="7692586B">
            <w:pPr>
              <w:pStyle w:val="91"/>
              <w:ind w:firstLine="42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严格环境准入：进一步提高行业准入门槛，严格控制新增污染物排放量。严格限制石化、化工、包装印刷、工业涂装等高VOCs排放建设项目。新改扩建项目要使用低VOCs含量原辅材料，采取密闭措施，加强废气收集，配套安装高效治理设施，减少污染排放。淘汰国家及地方明令禁止的落后工艺和设备。</w:t>
            </w:r>
          </w:p>
          <w:p w14:paraId="24AE4E53">
            <w:pPr>
              <w:pStyle w:val="91"/>
              <w:ind w:firstLine="420"/>
              <w:rPr>
                <w:rFonts w:hint="default"/>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（2）符合性分析</w:t>
            </w:r>
          </w:p>
          <w:p w14:paraId="3BE623C4">
            <w:pPr>
              <w:pStyle w:val="91"/>
              <w:ind w:firstLine="420"/>
              <w:rPr>
                <w:rFonts w:hint="default"/>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本项目使用低VOCs含量原辅材料，且使用量较少，项目VOCs通过采取“集气罩+二级活性炭吸附装置”处理后达标后经30m排气筒排放，符合文件要求。</w:t>
            </w:r>
          </w:p>
          <w:p w14:paraId="13E76625">
            <w:pPr>
              <w:pStyle w:val="37"/>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1.7.2与《福建省重点行业挥发性有机物排放控制要求(试行)的通知》(闽环保大气〔2017〕9号)的符合性分析</w:t>
            </w:r>
          </w:p>
          <w:p w14:paraId="13044578">
            <w:pPr>
              <w:pStyle w:val="91"/>
              <w:ind w:firstLine="42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eastAsia="zh-CN"/>
                <w14:textFill>
                  <w14:solidFill>
                    <w14:schemeClr w14:val="tx1"/>
                  </w14:solidFill>
                </w14:textFill>
              </w:rPr>
              <w:t>（</w:t>
            </w:r>
            <w:r>
              <w:rPr>
                <w:rFonts w:hint="eastAsia"/>
                <w:color w:val="000000" w:themeColor="text1"/>
                <w:sz w:val="24"/>
                <w:szCs w:val="21"/>
                <w:highlight w:val="none"/>
                <w:lang w:val="en-US" w:eastAsia="zh-CN"/>
                <w14:textFill>
                  <w14:solidFill>
                    <w14:schemeClr w14:val="tx1"/>
                  </w14:solidFill>
                </w14:textFill>
              </w:rPr>
              <w:t>1</w:t>
            </w:r>
            <w:r>
              <w:rPr>
                <w:rFonts w:hint="eastAsia"/>
                <w:color w:val="000000" w:themeColor="text1"/>
                <w:sz w:val="24"/>
                <w:szCs w:val="21"/>
                <w:highlight w:val="none"/>
                <w:lang w:eastAsia="zh-CN"/>
                <w14:textFill>
                  <w14:solidFill>
                    <w14:schemeClr w14:val="tx1"/>
                  </w14:solidFill>
                </w14:textFill>
              </w:rPr>
              <w:t>）</w:t>
            </w:r>
            <w:r>
              <w:rPr>
                <w:rFonts w:hint="eastAsia"/>
                <w:color w:val="000000" w:themeColor="text1"/>
                <w:sz w:val="24"/>
                <w:szCs w:val="21"/>
                <w:highlight w:val="none"/>
                <w:lang w:val="en-US" w:eastAsia="zh-CN"/>
                <w14:textFill>
                  <w14:solidFill>
                    <w14:schemeClr w14:val="tx1"/>
                  </w14:solidFill>
                </w14:textFill>
              </w:rPr>
              <w:t>相关内容</w:t>
            </w:r>
          </w:p>
          <w:p w14:paraId="76E4EA4C">
            <w:pPr>
              <w:pStyle w:val="91"/>
              <w:ind w:firstLine="42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产生有机废气的生产工艺和装置均设有收集系统和净化处理装置；所有产生VOCs的生产车间(或生产设施)均进行密闭，无露天和敞开式涂装、流平、干燥作业；不能完全密闭的部位设置软帘阻隔设施，减少废气排放；更换的VOCs吸附剂的废弃物等，产生后马上密闭，存放在不透气的容器内，贮存、转移期间保持密闭。</w:t>
            </w:r>
          </w:p>
          <w:p w14:paraId="4C69F0FE">
            <w:pPr>
              <w:pStyle w:val="91"/>
              <w:ind w:firstLine="42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（2）符合性分析</w:t>
            </w:r>
          </w:p>
          <w:p w14:paraId="23B74CA4">
            <w:pPr>
              <w:pStyle w:val="91"/>
              <w:ind w:firstLine="420"/>
              <w:rPr>
                <w:rFonts w:hint="default"/>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本项目为光学元器件生产项目，项目原辅材料均采用密闭桶装暂存，并存放于室内仓库；产生废气的生产工艺和装置均在密闭的车间内进行，且车间内设有收集系统和净化处理装置，无露天作业；密闭式负压收集的逸散的VOCs废气收集率达到90%以上；项目有机废气经“集气罩收集+二级活性炭吸附”处理后排放，符合文件要求。</w:t>
            </w:r>
          </w:p>
          <w:p w14:paraId="22D1C138">
            <w:pPr>
              <w:pStyle w:val="37"/>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1.7.3与《福建省臭氧污染防治工作方案》（闽环保大气〔2018〕8号）的符合性分析</w:t>
            </w:r>
          </w:p>
          <w:p w14:paraId="285868D0">
            <w:pPr>
              <w:pStyle w:val="91"/>
              <w:ind w:firstLine="42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eastAsia="zh-CN"/>
                <w14:textFill>
                  <w14:solidFill>
                    <w14:schemeClr w14:val="tx1"/>
                  </w14:solidFill>
                </w14:textFill>
              </w:rPr>
              <w:t>（</w:t>
            </w:r>
            <w:r>
              <w:rPr>
                <w:rFonts w:hint="eastAsia"/>
                <w:color w:val="000000" w:themeColor="text1"/>
                <w:sz w:val="24"/>
                <w:szCs w:val="21"/>
                <w:highlight w:val="none"/>
                <w:lang w:val="en-US" w:eastAsia="zh-CN"/>
                <w14:textFill>
                  <w14:solidFill>
                    <w14:schemeClr w14:val="tx1"/>
                  </w14:solidFill>
                </w14:textFill>
              </w:rPr>
              <w:t>1</w:t>
            </w:r>
            <w:r>
              <w:rPr>
                <w:rFonts w:hint="eastAsia"/>
                <w:color w:val="000000" w:themeColor="text1"/>
                <w:sz w:val="24"/>
                <w:szCs w:val="21"/>
                <w:highlight w:val="none"/>
                <w:lang w:eastAsia="zh-CN"/>
                <w14:textFill>
                  <w14:solidFill>
                    <w14:schemeClr w14:val="tx1"/>
                  </w14:solidFill>
                </w14:textFill>
              </w:rPr>
              <w:t>）</w:t>
            </w:r>
            <w:r>
              <w:rPr>
                <w:rFonts w:hint="eastAsia"/>
                <w:color w:val="000000" w:themeColor="text1"/>
                <w:sz w:val="24"/>
                <w:szCs w:val="21"/>
                <w:highlight w:val="none"/>
                <w:lang w:val="en-US" w:eastAsia="zh-CN"/>
                <w14:textFill>
                  <w14:solidFill>
                    <w14:schemeClr w14:val="tx1"/>
                  </w14:solidFill>
                </w14:textFill>
              </w:rPr>
              <w:t>相关内容</w:t>
            </w:r>
          </w:p>
          <w:p w14:paraId="0A4DEAB4">
            <w:pPr>
              <w:pStyle w:val="91"/>
              <w:ind w:firstLine="42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工业源治理：加强对重点行业的监管，推广低VOCs含量的原辅材料使用，提升末端治理水平。</w:t>
            </w:r>
          </w:p>
          <w:p w14:paraId="78AD25AF">
            <w:pPr>
              <w:pStyle w:val="91"/>
              <w:ind w:firstLine="42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（2）符合性分析</w:t>
            </w:r>
          </w:p>
          <w:p w14:paraId="41942EAA">
            <w:pPr>
              <w:pStyle w:val="91"/>
              <w:ind w:firstLine="42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本项目为光学元器件生产项目，项目使用的原辅材料属低VOCs含量材料，有机废气经“集气罩收集+二级活性炭吸附”处理后排放，符合文件要求。</w:t>
            </w:r>
          </w:p>
          <w:p w14:paraId="53B61A6D">
            <w:pPr>
              <w:pStyle w:val="37"/>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1.7.4与《福建省2020年挥发性有机物治理攻坚实施方案》的通知（闽环保大气〔2020〕6号）的符合性分析</w:t>
            </w:r>
          </w:p>
          <w:p w14:paraId="5298D3C0">
            <w:pPr>
              <w:pStyle w:val="91"/>
              <w:ind w:firstLine="42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eastAsia="zh-CN"/>
                <w14:textFill>
                  <w14:solidFill>
                    <w14:schemeClr w14:val="tx1"/>
                  </w14:solidFill>
                </w14:textFill>
              </w:rPr>
              <w:t>（</w:t>
            </w:r>
            <w:r>
              <w:rPr>
                <w:rFonts w:hint="eastAsia"/>
                <w:color w:val="000000" w:themeColor="text1"/>
                <w:sz w:val="24"/>
                <w:szCs w:val="21"/>
                <w:highlight w:val="none"/>
                <w:lang w:val="en-US" w:eastAsia="zh-CN"/>
                <w14:textFill>
                  <w14:solidFill>
                    <w14:schemeClr w14:val="tx1"/>
                  </w14:solidFill>
                </w14:textFill>
              </w:rPr>
              <w:t>1</w:t>
            </w:r>
            <w:r>
              <w:rPr>
                <w:rFonts w:hint="eastAsia"/>
                <w:color w:val="000000" w:themeColor="text1"/>
                <w:sz w:val="24"/>
                <w:szCs w:val="21"/>
                <w:highlight w:val="none"/>
                <w:lang w:eastAsia="zh-CN"/>
                <w14:textFill>
                  <w14:solidFill>
                    <w14:schemeClr w14:val="tx1"/>
                  </w14:solidFill>
                </w14:textFill>
              </w:rPr>
              <w:t>）</w:t>
            </w:r>
            <w:r>
              <w:rPr>
                <w:rFonts w:hint="eastAsia"/>
                <w:color w:val="000000" w:themeColor="text1"/>
                <w:sz w:val="24"/>
                <w:szCs w:val="21"/>
                <w:highlight w:val="none"/>
                <w:lang w:val="en-US" w:eastAsia="zh-CN"/>
                <w14:textFill>
                  <w14:solidFill>
                    <w14:schemeClr w14:val="tx1"/>
                  </w14:solidFill>
                </w14:textFill>
              </w:rPr>
              <w:t>相关内容</w:t>
            </w:r>
          </w:p>
          <w:p w14:paraId="1C0C0919">
            <w:pPr>
              <w:pStyle w:val="91"/>
              <w:ind w:firstLine="42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大力推进源头替代，有效减少VOCs产生：大力推进低(无)VOCs含量原辅材料替代。聚焦治污设施“三率”，提升综合治理效率：行业排放标准中规定特别排放限值和控制要求的，应按相关规定执行；按照“应收尽收”的原则提高废气收集率；按照“适宜高效”的原则提高治理设施去除率，不得释排放。</w:t>
            </w:r>
          </w:p>
          <w:p w14:paraId="14CBDC0B">
            <w:pPr>
              <w:pStyle w:val="91"/>
              <w:ind w:firstLine="42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（2）符合性分析</w:t>
            </w:r>
          </w:p>
          <w:p w14:paraId="3FE4CA48">
            <w:pPr>
              <w:pStyle w:val="91"/>
              <w:ind w:firstLine="42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本项目使用的原辅材料属低VOCs含量材料，有机废气经“集气罩收集+二级活性炭吸附”处理后排放，参照执行《工业企业挥发性有机物排放标准》（DB35/1782-2018）中排放限值要求，符合文件要求。</w:t>
            </w:r>
          </w:p>
          <w:p w14:paraId="01C3EEDF">
            <w:pPr>
              <w:pStyle w:val="37"/>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1.7.5与《福建省“十四五”空气质量改善规划》的符合性分析</w:t>
            </w:r>
          </w:p>
          <w:p w14:paraId="0F7E7686">
            <w:pPr>
              <w:pStyle w:val="91"/>
              <w:ind w:firstLine="42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eastAsia="zh-CN"/>
                <w14:textFill>
                  <w14:solidFill>
                    <w14:schemeClr w14:val="tx1"/>
                  </w14:solidFill>
                </w14:textFill>
              </w:rPr>
              <w:t>（</w:t>
            </w:r>
            <w:r>
              <w:rPr>
                <w:rFonts w:hint="eastAsia"/>
                <w:color w:val="000000" w:themeColor="text1"/>
                <w:sz w:val="24"/>
                <w:szCs w:val="21"/>
                <w:highlight w:val="none"/>
                <w:lang w:val="en-US" w:eastAsia="zh-CN"/>
                <w14:textFill>
                  <w14:solidFill>
                    <w14:schemeClr w14:val="tx1"/>
                  </w14:solidFill>
                </w14:textFill>
              </w:rPr>
              <w:t>1</w:t>
            </w:r>
            <w:r>
              <w:rPr>
                <w:rFonts w:hint="eastAsia"/>
                <w:color w:val="000000" w:themeColor="text1"/>
                <w:sz w:val="24"/>
                <w:szCs w:val="21"/>
                <w:highlight w:val="none"/>
                <w:lang w:eastAsia="zh-CN"/>
                <w14:textFill>
                  <w14:solidFill>
                    <w14:schemeClr w14:val="tx1"/>
                  </w14:solidFill>
                </w14:textFill>
              </w:rPr>
              <w:t>）</w:t>
            </w:r>
            <w:r>
              <w:rPr>
                <w:rFonts w:hint="eastAsia"/>
                <w:color w:val="000000" w:themeColor="text1"/>
                <w:sz w:val="24"/>
                <w:szCs w:val="21"/>
                <w:highlight w:val="none"/>
                <w:lang w:val="en-US" w:eastAsia="zh-CN"/>
                <w14:textFill>
                  <w14:solidFill>
                    <w14:schemeClr w14:val="tx1"/>
                  </w14:solidFill>
                </w14:textFill>
              </w:rPr>
              <w:t>相关内容</w:t>
            </w:r>
          </w:p>
          <w:p w14:paraId="6CB07EFA">
            <w:pPr>
              <w:pStyle w:val="91"/>
              <w:ind w:firstLine="42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深化VOCs末端治理。按照“应收尽收、分质收集”原则，将无组织排放转变为有组织排放，进行集中处理，选择适宜高效治理技术，对治理难度大、单一治理工艺难以稳定达标的，要采用多种技术的组合工艺，重点行业末端治理一般不使用等离子、光催化氧化等单级治理技术，全面提升治理设施“三率”，加强运行维护管理，治理设施及生产设备要做到“先启后停”。</w:t>
            </w:r>
          </w:p>
          <w:p w14:paraId="47D96A1E">
            <w:pPr>
              <w:pStyle w:val="91"/>
              <w:ind w:firstLine="42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（2）符合性分析</w:t>
            </w:r>
          </w:p>
          <w:p w14:paraId="2CAC4A3A">
            <w:pPr>
              <w:pStyle w:val="91"/>
              <w:ind w:firstLine="42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项目使用低VOCs含量的原辅材料，使用量较少并配备有机废气收集处理装置；项目产生的VOCs通过采取“集气罩+二级活性炭吸附装置”处理后达标后经30m排气筒排放，符合文件要求。</w:t>
            </w:r>
          </w:p>
          <w:p w14:paraId="724B4E72">
            <w:pPr>
              <w:pStyle w:val="37"/>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1.7.6与《福建省空气质量持续改善实施方案》(闽政文〔2024〕361号)的符合性分析</w:t>
            </w:r>
          </w:p>
          <w:p w14:paraId="1F026477">
            <w:pPr>
              <w:pStyle w:val="91"/>
              <w:ind w:firstLine="42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eastAsia="zh-CN"/>
                <w14:textFill>
                  <w14:solidFill>
                    <w14:schemeClr w14:val="tx1"/>
                  </w14:solidFill>
                </w14:textFill>
              </w:rPr>
              <w:t>（</w:t>
            </w:r>
            <w:r>
              <w:rPr>
                <w:rFonts w:hint="eastAsia"/>
                <w:color w:val="000000" w:themeColor="text1"/>
                <w:sz w:val="24"/>
                <w:szCs w:val="21"/>
                <w:highlight w:val="none"/>
                <w:lang w:val="en-US" w:eastAsia="zh-CN"/>
                <w14:textFill>
                  <w14:solidFill>
                    <w14:schemeClr w14:val="tx1"/>
                  </w14:solidFill>
                </w14:textFill>
              </w:rPr>
              <w:t>1</w:t>
            </w:r>
            <w:r>
              <w:rPr>
                <w:rFonts w:hint="eastAsia"/>
                <w:color w:val="000000" w:themeColor="text1"/>
                <w:sz w:val="24"/>
                <w:szCs w:val="21"/>
                <w:highlight w:val="none"/>
                <w:lang w:eastAsia="zh-CN"/>
                <w14:textFill>
                  <w14:solidFill>
                    <w14:schemeClr w14:val="tx1"/>
                  </w14:solidFill>
                </w14:textFill>
              </w:rPr>
              <w:t>）</w:t>
            </w:r>
            <w:r>
              <w:rPr>
                <w:rFonts w:hint="eastAsia"/>
                <w:color w:val="000000" w:themeColor="text1"/>
                <w:sz w:val="24"/>
                <w:szCs w:val="21"/>
                <w:highlight w:val="none"/>
                <w:lang w:val="en-US" w:eastAsia="zh-CN"/>
                <w14:textFill>
                  <w14:solidFill>
                    <w14:schemeClr w14:val="tx1"/>
                  </w14:solidFill>
                </w14:textFill>
              </w:rPr>
              <w:t>相关内容</w:t>
            </w:r>
          </w:p>
          <w:p w14:paraId="6A1A392B">
            <w:pPr>
              <w:pStyle w:val="91"/>
              <w:ind w:firstLine="42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优化含VOCs原辅材料和产品结构 ：严格控制生产和使用高VOCs含量涂料、油墨、胶粘剂、清洗剂等建设项目。加大工业涂装、包装印刷和电子行业低（无）VOCs含量原辅材料替代力度。鼓励制鞋行业推广使用无溶剂聚氨酯热熔胶、水性聚氨酯等低（无）VOCs含量的胶粘剂。</w:t>
            </w:r>
          </w:p>
          <w:p w14:paraId="40F302B7">
            <w:pPr>
              <w:pStyle w:val="91"/>
              <w:ind w:firstLine="42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推动绿色环保产业健康发展：在低（无）VOCs含量原辅材料生产和使用、VOCs污染治理、超低排放、环境和大气成分监测等领域支持培育一批龙头企业。</w:t>
            </w:r>
          </w:p>
          <w:p w14:paraId="56F462BA">
            <w:pPr>
              <w:pStyle w:val="91"/>
              <w:ind w:firstLine="42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（2）符合性分析</w:t>
            </w:r>
          </w:p>
          <w:p w14:paraId="4DB53C99">
            <w:pPr>
              <w:pStyle w:val="91"/>
              <w:ind w:firstLine="42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本项目为光学元器件生产项目，不属于涂料、油墨、胶粘剂、清洗剂等建设项目；项目有机废气经“集气罩收集+二级活性炭吸附”处理后排放，符合文件要求。</w:t>
            </w:r>
          </w:p>
          <w:p w14:paraId="245FD469">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1.7.7与《福州市挥发性有机物污染整治工作方案》的符合性分析</w:t>
            </w:r>
          </w:p>
          <w:p w14:paraId="2EC9ECA4">
            <w:pPr>
              <w:pStyle w:val="91"/>
              <w:ind w:firstLine="42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eastAsia="zh-CN"/>
                <w14:textFill>
                  <w14:solidFill>
                    <w14:schemeClr w14:val="tx1"/>
                  </w14:solidFill>
                </w14:textFill>
              </w:rPr>
              <w:t>（</w:t>
            </w:r>
            <w:r>
              <w:rPr>
                <w:rFonts w:hint="eastAsia"/>
                <w:color w:val="000000" w:themeColor="text1"/>
                <w:sz w:val="24"/>
                <w:szCs w:val="21"/>
                <w:highlight w:val="none"/>
                <w:lang w:val="en-US" w:eastAsia="zh-CN"/>
                <w14:textFill>
                  <w14:solidFill>
                    <w14:schemeClr w14:val="tx1"/>
                  </w14:solidFill>
                </w14:textFill>
              </w:rPr>
              <w:t>1</w:t>
            </w:r>
            <w:r>
              <w:rPr>
                <w:rFonts w:hint="eastAsia"/>
                <w:color w:val="000000" w:themeColor="text1"/>
                <w:sz w:val="24"/>
                <w:szCs w:val="21"/>
                <w:highlight w:val="none"/>
                <w:lang w:eastAsia="zh-CN"/>
                <w14:textFill>
                  <w14:solidFill>
                    <w14:schemeClr w14:val="tx1"/>
                  </w14:solidFill>
                </w14:textFill>
              </w:rPr>
              <w:t>）</w:t>
            </w:r>
            <w:r>
              <w:rPr>
                <w:rFonts w:hint="eastAsia"/>
                <w:color w:val="000000" w:themeColor="text1"/>
                <w:sz w:val="24"/>
                <w:szCs w:val="21"/>
                <w:highlight w:val="none"/>
                <w:lang w:val="en-US" w:eastAsia="zh-CN"/>
                <w14:textFill>
                  <w14:solidFill>
                    <w14:schemeClr w14:val="tx1"/>
                  </w14:solidFill>
                </w14:textFill>
              </w:rPr>
              <w:t>相关内容</w:t>
            </w:r>
          </w:p>
          <w:p w14:paraId="03C67835">
            <w:pPr>
              <w:pStyle w:val="91"/>
              <w:ind w:firstLine="420"/>
              <w:rPr>
                <w:rFonts w:hint="default"/>
                <w:color w:val="000000" w:themeColor="text1"/>
                <w:sz w:val="24"/>
                <w:szCs w:val="21"/>
                <w:highlight w:val="none"/>
                <w:lang w:val="en-US" w:eastAsia="zh-CN"/>
                <w14:textFill>
                  <w14:solidFill>
                    <w14:schemeClr w14:val="tx1"/>
                  </w14:solidFill>
                </w14:textFill>
              </w:rPr>
            </w:pPr>
            <w:r>
              <w:rPr>
                <w:rFonts w:hint="default"/>
                <w:color w:val="000000" w:themeColor="text1"/>
                <w:sz w:val="24"/>
                <w:szCs w:val="21"/>
                <w:highlight w:val="none"/>
                <w:lang w:val="en-US" w:eastAsia="zh-CN"/>
                <w14:textFill>
                  <w14:solidFill>
                    <w14:schemeClr w14:val="tx1"/>
                  </w14:solidFill>
                </w14:textFill>
              </w:rPr>
              <w:t>严格VOCs项目环境准入提高行业准入门槛，鼓励支持企业通过技改减少挥发性有机物排放，严格控制新增污染物排放量，对挥发性有机物新增排放量实行现役源2倍削减量替代。</w:t>
            </w:r>
          </w:p>
          <w:p w14:paraId="3C864023">
            <w:pPr>
              <w:pStyle w:val="91"/>
              <w:ind w:firstLine="420"/>
              <w:rPr>
                <w:rFonts w:hint="default"/>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（2）符合性分析</w:t>
            </w:r>
          </w:p>
          <w:p w14:paraId="6D9C9162">
            <w:pPr>
              <w:pStyle w:val="91"/>
              <w:ind w:firstLine="480" w:firstLineChars="20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14:textFill>
                  <w14:solidFill>
                    <w14:schemeClr w14:val="tx1"/>
                  </w14:solidFill>
                </w14:textFill>
              </w:rPr>
              <w:t>本项目使用低VOCs含量的原辅材料，使用量较少并配备有机废气收集处理装置；项目产生的VOCs通过采取“集气罩+二级活性炭吸附装置”处理后达标后经25m排气筒排放，</w:t>
            </w:r>
            <w:r>
              <w:rPr>
                <w:rFonts w:hint="eastAsia"/>
                <w:color w:val="000000" w:themeColor="text1"/>
                <w:sz w:val="24"/>
                <w:szCs w:val="21"/>
                <w:highlight w:val="none"/>
                <w:lang w:val="en-US" w:eastAsia="zh-CN"/>
                <w14:textFill>
                  <w14:solidFill>
                    <w14:schemeClr w14:val="tx1"/>
                  </w14:solidFill>
                </w14:textFill>
              </w:rPr>
              <w:t>项目新增</w:t>
            </w:r>
            <w:r>
              <w:rPr>
                <w:rFonts w:hint="eastAsia"/>
                <w:color w:val="000000" w:themeColor="text1"/>
                <w:sz w:val="24"/>
                <w:szCs w:val="21"/>
                <w:highlight w:val="none"/>
                <w14:textFill>
                  <w14:solidFill>
                    <w14:schemeClr w14:val="tx1"/>
                  </w14:solidFill>
                </w14:textFill>
              </w:rPr>
              <w:t>VOCs</w:t>
            </w:r>
            <w:r>
              <w:rPr>
                <w:rFonts w:hint="eastAsia"/>
                <w:color w:val="000000" w:themeColor="text1"/>
                <w:sz w:val="24"/>
                <w:szCs w:val="21"/>
                <w:highlight w:val="none"/>
                <w:lang w:val="en-US" w:eastAsia="zh-CN"/>
                <w14:textFill>
                  <w14:solidFill>
                    <w14:schemeClr w14:val="tx1"/>
                  </w14:solidFill>
                </w14:textFill>
              </w:rPr>
              <w:t>落实排放总量控制要求</w:t>
            </w:r>
            <w:r>
              <w:rPr>
                <w:rFonts w:hint="eastAsia"/>
                <w:color w:val="000000" w:themeColor="text1"/>
                <w:sz w:val="24"/>
                <w:szCs w:val="21"/>
                <w:highlight w:val="none"/>
                <w:lang w:eastAsia="zh-CN"/>
                <w14:textFill>
                  <w14:solidFill>
                    <w14:schemeClr w14:val="tx1"/>
                  </w14:solidFill>
                </w14:textFill>
              </w:rPr>
              <w:t>，</w:t>
            </w:r>
            <w:r>
              <w:rPr>
                <w:rFonts w:hint="eastAsia"/>
                <w:color w:val="000000" w:themeColor="text1"/>
                <w:sz w:val="24"/>
                <w:szCs w:val="21"/>
                <w:highlight w:val="none"/>
                <w:lang w:val="en-US" w:eastAsia="zh-CN"/>
                <w14:textFill>
                  <w14:solidFill>
                    <w14:schemeClr w14:val="tx1"/>
                  </w14:solidFill>
                </w14:textFill>
              </w:rPr>
              <w:t>符合文件要求。</w:t>
            </w:r>
          </w:p>
          <w:p w14:paraId="72BC7866">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1.7.8与《福州市生态环境局关于开展福州市重点行业挥发性有机物综合治理工作(VOCs2.0)的通知》的符合性分析</w:t>
            </w:r>
          </w:p>
          <w:p w14:paraId="15F7355B">
            <w:pPr>
              <w:pStyle w:val="91"/>
              <w:ind w:firstLine="42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eastAsia="zh-CN"/>
                <w14:textFill>
                  <w14:solidFill>
                    <w14:schemeClr w14:val="tx1"/>
                  </w14:solidFill>
                </w14:textFill>
              </w:rPr>
              <w:t>（</w:t>
            </w:r>
            <w:r>
              <w:rPr>
                <w:rFonts w:hint="eastAsia"/>
                <w:color w:val="000000" w:themeColor="text1"/>
                <w:sz w:val="24"/>
                <w:szCs w:val="21"/>
                <w:highlight w:val="none"/>
                <w:lang w:val="en-US" w:eastAsia="zh-CN"/>
                <w14:textFill>
                  <w14:solidFill>
                    <w14:schemeClr w14:val="tx1"/>
                  </w14:solidFill>
                </w14:textFill>
              </w:rPr>
              <w:t>1</w:t>
            </w:r>
            <w:r>
              <w:rPr>
                <w:rFonts w:hint="eastAsia"/>
                <w:color w:val="000000" w:themeColor="text1"/>
                <w:sz w:val="24"/>
                <w:szCs w:val="21"/>
                <w:highlight w:val="none"/>
                <w:lang w:eastAsia="zh-CN"/>
                <w14:textFill>
                  <w14:solidFill>
                    <w14:schemeClr w14:val="tx1"/>
                  </w14:solidFill>
                </w14:textFill>
              </w:rPr>
              <w:t>）</w:t>
            </w:r>
            <w:r>
              <w:rPr>
                <w:rFonts w:hint="eastAsia"/>
                <w:color w:val="000000" w:themeColor="text1"/>
                <w:sz w:val="24"/>
                <w:szCs w:val="21"/>
                <w:highlight w:val="none"/>
                <w:lang w:val="en-US" w:eastAsia="zh-CN"/>
                <w14:textFill>
                  <w14:solidFill>
                    <w14:schemeClr w14:val="tx1"/>
                  </w14:solidFill>
                </w14:textFill>
              </w:rPr>
              <w:t>相关内容</w:t>
            </w:r>
          </w:p>
          <w:p w14:paraId="010E8694">
            <w:pPr>
              <w:pStyle w:val="91"/>
              <w:ind w:firstLine="480" w:firstLineChars="200"/>
              <w:rPr>
                <w:rFonts w:hint="eastAsia"/>
                <w:color w:val="000000" w:themeColor="text1"/>
                <w:sz w:val="24"/>
                <w:szCs w:val="21"/>
                <w:highlight w:val="none"/>
                <w:lang w:eastAsia="zh-CN"/>
                <w14:textFill>
                  <w14:solidFill>
                    <w14:schemeClr w14:val="tx1"/>
                  </w14:solidFill>
                </w14:textFill>
              </w:rPr>
            </w:pPr>
            <w:r>
              <w:rPr>
                <w:rFonts w:hint="eastAsia"/>
                <w:color w:val="000000" w:themeColor="text1"/>
                <w:sz w:val="24"/>
                <w:szCs w:val="21"/>
                <w:highlight w:val="none"/>
                <w14:textFill>
                  <w14:solidFill>
                    <w14:schemeClr w14:val="tx1"/>
                  </w14:solidFill>
                </w14:textFill>
              </w:rPr>
              <w:t>严格审批，加强管控</w:t>
            </w:r>
            <w:r>
              <w:rPr>
                <w:rFonts w:hint="eastAsia"/>
                <w:color w:val="000000" w:themeColor="text1"/>
                <w:sz w:val="24"/>
                <w:szCs w:val="21"/>
                <w:highlight w:val="none"/>
                <w:lang w:eastAsia="zh-CN"/>
                <w14:textFill>
                  <w14:solidFill>
                    <w14:schemeClr w14:val="tx1"/>
                  </w14:solidFill>
                </w14:textFill>
              </w:rPr>
              <w:t>。</w:t>
            </w:r>
            <w:r>
              <w:rPr>
                <w:rFonts w:hint="eastAsia"/>
                <w:color w:val="000000" w:themeColor="text1"/>
                <w:sz w:val="24"/>
                <w:szCs w:val="21"/>
                <w:highlight w:val="none"/>
                <w14:textFill>
                  <w14:solidFill>
                    <w14:schemeClr w14:val="tx1"/>
                  </w14:solidFill>
                </w14:textFill>
              </w:rPr>
              <w:t>严格涉挥发性有机物建设项目环境影响评价审批。新、改、扩建排放挥发性有机物的建设项目实行倍量替代。鼓励使用低(无)挥发性有机物含量的原辅材料</w:t>
            </w:r>
            <w:r>
              <w:rPr>
                <w:rFonts w:hint="eastAsia"/>
                <w:color w:val="000000" w:themeColor="text1"/>
                <w:sz w:val="24"/>
                <w:szCs w:val="21"/>
                <w:highlight w:val="none"/>
                <w:lang w:eastAsia="zh-CN"/>
                <w14:textFill>
                  <w14:solidFill>
                    <w14:schemeClr w14:val="tx1"/>
                  </w14:solidFill>
                </w14:textFill>
              </w:rPr>
              <w:t>。</w:t>
            </w:r>
          </w:p>
          <w:p w14:paraId="6173FEA6">
            <w:pPr>
              <w:pStyle w:val="91"/>
              <w:ind w:firstLine="420"/>
              <w:rPr>
                <w:rFonts w:hint="default"/>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（2）符合性分析</w:t>
            </w:r>
          </w:p>
          <w:p w14:paraId="0F3A2383">
            <w:pPr>
              <w:pStyle w:val="91"/>
              <w:ind w:firstLine="480" w:firstLineChars="20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本</w:t>
            </w:r>
            <w:r>
              <w:rPr>
                <w:rFonts w:hint="eastAsia" w:ascii="Times New Roman" w:eastAsia="宋体"/>
                <w:color w:val="000000" w:themeColor="text1"/>
                <w:sz w:val="24"/>
                <w:szCs w:val="21"/>
                <w:highlight w:val="none"/>
                <w:lang w:val="en-US" w:eastAsia="zh-CN"/>
                <w14:textFill>
                  <w14:solidFill>
                    <w14:schemeClr w14:val="tx1"/>
                  </w14:solidFill>
                </w14:textFill>
              </w:rPr>
              <w:t>项目新增</w:t>
            </w:r>
            <w:r>
              <w:rPr>
                <w:rFonts w:hint="eastAsia"/>
                <w:color w:val="000000" w:themeColor="text1"/>
                <w:sz w:val="24"/>
                <w:szCs w:val="21"/>
                <w:highlight w:val="none"/>
                <w14:textFill>
                  <w14:solidFill>
                    <w14:schemeClr w14:val="tx1"/>
                  </w14:solidFill>
                </w14:textFill>
              </w:rPr>
              <w:t>VOCs</w:t>
            </w:r>
            <w:r>
              <w:rPr>
                <w:rFonts w:hint="eastAsia" w:ascii="Times New Roman" w:eastAsia="宋体"/>
                <w:color w:val="000000" w:themeColor="text1"/>
                <w:sz w:val="24"/>
                <w:szCs w:val="21"/>
                <w:highlight w:val="none"/>
                <w:lang w:val="en-US" w:eastAsia="zh-CN"/>
                <w14:textFill>
                  <w14:solidFill>
                    <w14:schemeClr w14:val="tx1"/>
                  </w14:solidFill>
                </w14:textFill>
              </w:rPr>
              <w:t>落实排放总量控制要求</w:t>
            </w:r>
            <w:r>
              <w:rPr>
                <w:rFonts w:hint="eastAsia"/>
                <w:color w:val="000000" w:themeColor="text1"/>
                <w:sz w:val="24"/>
                <w:szCs w:val="21"/>
                <w:highlight w:val="none"/>
                <w:lang w:eastAsia="zh-CN"/>
                <w14:textFill>
                  <w14:solidFill>
                    <w14:schemeClr w14:val="tx1"/>
                  </w14:solidFill>
                </w14:textFill>
              </w:rPr>
              <w:t>，项目拟使用的原料为低VOCs原料，</w:t>
            </w:r>
            <w:r>
              <w:rPr>
                <w:rFonts w:hint="eastAsia"/>
                <w:color w:val="000000" w:themeColor="text1"/>
                <w:sz w:val="24"/>
                <w:szCs w:val="21"/>
                <w:highlight w:val="none"/>
                <w:lang w:val="en-US" w:eastAsia="zh-CN"/>
                <w14:textFill>
                  <w14:solidFill>
                    <w14:schemeClr w14:val="tx1"/>
                  </w14:solidFill>
                </w14:textFill>
              </w:rPr>
              <w:t>符合文件要求。</w:t>
            </w:r>
          </w:p>
          <w:p w14:paraId="56C632A5">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1.7.9与《挥发性有机物（VOCs）污染防治技术政策》的符合性分析</w:t>
            </w:r>
          </w:p>
          <w:p w14:paraId="2F239717">
            <w:pPr>
              <w:pStyle w:val="91"/>
              <w:ind w:firstLine="42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eastAsia="zh-CN"/>
                <w14:textFill>
                  <w14:solidFill>
                    <w14:schemeClr w14:val="tx1"/>
                  </w14:solidFill>
                </w14:textFill>
              </w:rPr>
              <w:t>（</w:t>
            </w:r>
            <w:r>
              <w:rPr>
                <w:rFonts w:hint="eastAsia"/>
                <w:color w:val="000000" w:themeColor="text1"/>
                <w:sz w:val="24"/>
                <w:szCs w:val="21"/>
                <w:highlight w:val="none"/>
                <w:lang w:val="en-US" w:eastAsia="zh-CN"/>
                <w14:textFill>
                  <w14:solidFill>
                    <w14:schemeClr w14:val="tx1"/>
                  </w14:solidFill>
                </w14:textFill>
              </w:rPr>
              <w:t>1</w:t>
            </w:r>
            <w:r>
              <w:rPr>
                <w:rFonts w:hint="eastAsia"/>
                <w:color w:val="000000" w:themeColor="text1"/>
                <w:sz w:val="24"/>
                <w:szCs w:val="21"/>
                <w:highlight w:val="none"/>
                <w:lang w:eastAsia="zh-CN"/>
                <w14:textFill>
                  <w14:solidFill>
                    <w14:schemeClr w14:val="tx1"/>
                  </w14:solidFill>
                </w14:textFill>
              </w:rPr>
              <w:t>）</w:t>
            </w:r>
            <w:r>
              <w:rPr>
                <w:rFonts w:hint="eastAsia"/>
                <w:color w:val="000000" w:themeColor="text1"/>
                <w:sz w:val="24"/>
                <w:szCs w:val="21"/>
                <w:highlight w:val="none"/>
                <w:lang w:val="en-US" w:eastAsia="zh-CN"/>
                <w14:textFill>
                  <w14:solidFill>
                    <w14:schemeClr w14:val="tx1"/>
                  </w14:solidFill>
                </w14:textFill>
              </w:rPr>
              <w:t>相关内容</w:t>
            </w:r>
          </w:p>
          <w:p w14:paraId="3989B608">
            <w:pPr>
              <w:pStyle w:val="91"/>
              <w:ind w:firstLine="480" w:firstLineChars="20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含VOCs产品的使用过程中，应采取废气收集措施，提高废气收集效率，减少废气的无组织排放与逸散，并对收集后的废气进行回收或处理后达标排放。</w:t>
            </w:r>
          </w:p>
          <w:p w14:paraId="37EF0841">
            <w:pPr>
              <w:pStyle w:val="91"/>
              <w:ind w:firstLine="420"/>
              <w:rPr>
                <w:rFonts w:hint="default"/>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（2）符合性分析</w:t>
            </w:r>
          </w:p>
          <w:p w14:paraId="520F9A0E">
            <w:pPr>
              <w:pStyle w:val="91"/>
              <w:ind w:firstLine="480" w:firstLineChars="200"/>
              <w:rPr>
                <w:rFonts w:hint="default"/>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本</w:t>
            </w:r>
            <w:r>
              <w:rPr>
                <w:rFonts w:hint="eastAsia"/>
                <w:color w:val="000000" w:themeColor="text1"/>
                <w:sz w:val="24"/>
                <w:szCs w:val="21"/>
                <w:highlight w:val="none"/>
                <w:lang w:eastAsia="zh-CN"/>
                <w14:textFill>
                  <w14:solidFill>
                    <w14:schemeClr w14:val="tx1"/>
                  </w14:solidFill>
                </w14:textFill>
              </w:rPr>
              <w:t>项目</w:t>
            </w:r>
            <w:r>
              <w:rPr>
                <w:rFonts w:hint="eastAsia"/>
                <w:color w:val="000000" w:themeColor="text1"/>
                <w:sz w:val="24"/>
                <w:szCs w:val="21"/>
                <w:highlight w:val="none"/>
                <w:lang w:val="en-US" w:eastAsia="zh-CN"/>
                <w14:textFill>
                  <w14:solidFill>
                    <w14:schemeClr w14:val="tx1"/>
                  </w14:solidFill>
                </w14:textFill>
              </w:rPr>
              <w:t>含VOCs产品的使用过程中，采取了废气收集措施，提高了废气收集效率，减少了废气的无组织排放与逸散，并对收集后的废气进行了处理后达标排放。符合文件要求。</w:t>
            </w:r>
          </w:p>
          <w:p w14:paraId="4C5B94F1">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1.8与《市场准入负面清单》(2025年版)的符合性分析</w:t>
            </w:r>
          </w:p>
          <w:p w14:paraId="711C067F">
            <w:pPr>
              <w:pStyle w:val="91"/>
              <w:ind w:firstLine="480" w:firstLineChars="20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14:textFill>
                  <w14:solidFill>
                    <w14:schemeClr w14:val="tx1"/>
                  </w14:solidFill>
                </w14:textFill>
              </w:rPr>
              <w:t>本项目</w:t>
            </w:r>
            <w:r>
              <w:rPr>
                <w:rFonts w:hint="eastAsia"/>
                <w:color w:val="000000" w:themeColor="text1"/>
                <w:sz w:val="24"/>
                <w:szCs w:val="21"/>
                <w:highlight w:val="none"/>
                <w:lang w:val="en-US" w:eastAsia="zh-CN"/>
                <w14:textFill>
                  <w14:solidFill>
                    <w14:schemeClr w14:val="tx1"/>
                  </w14:solidFill>
                </w14:textFill>
              </w:rPr>
              <w:t>为光学元器件生产项目</w:t>
            </w:r>
            <w:r>
              <w:rPr>
                <w:rFonts w:hint="eastAsia"/>
                <w:color w:val="000000" w:themeColor="text1"/>
                <w:sz w:val="24"/>
                <w:szCs w:val="21"/>
                <w:highlight w:val="none"/>
                <w14:textFill>
                  <w14:solidFill>
                    <w14:schemeClr w14:val="tx1"/>
                  </w14:solidFill>
                </w14:textFill>
              </w:rPr>
              <w:t>，属于</w:t>
            </w:r>
            <w:r>
              <w:rPr>
                <w:rFonts w:hint="eastAsia"/>
                <w:color w:val="000000" w:themeColor="text1"/>
                <w:sz w:val="24"/>
                <w:szCs w:val="21"/>
                <w:highlight w:val="none"/>
                <w:lang w:val="en-US" w:eastAsia="zh-CN"/>
                <w14:textFill>
                  <w14:solidFill>
                    <w14:schemeClr w14:val="tx1"/>
                  </w14:solidFill>
                </w14:textFill>
              </w:rPr>
              <w:t>C3989 其他电子元件制造</w:t>
            </w:r>
            <w:r>
              <w:rPr>
                <w:rFonts w:hint="eastAsia"/>
                <w:color w:val="000000" w:themeColor="text1"/>
                <w:sz w:val="24"/>
                <w:szCs w:val="21"/>
                <w:highlight w:val="none"/>
                <w14:textFill>
                  <w14:solidFill>
                    <w14:schemeClr w14:val="tx1"/>
                  </w14:solidFill>
                </w14:textFill>
              </w:rPr>
              <w:t>。经查阅《市场准入负面清单》(2025年版)，本项目不属于禁止或限制准入类行业，且已通过</w:t>
            </w:r>
            <w:r>
              <w:rPr>
                <w:rFonts w:hint="eastAsia"/>
                <w:color w:val="000000" w:themeColor="text1"/>
                <w:sz w:val="24"/>
                <w:szCs w:val="21"/>
                <w:highlight w:val="none"/>
                <w:lang w:eastAsia="zh-CN"/>
                <w14:textFill>
                  <w14:solidFill>
                    <w14:schemeClr w14:val="tx1"/>
                  </w14:solidFill>
                </w14:textFill>
              </w:rPr>
              <w:t>福州高新区经济发展局</w:t>
            </w:r>
            <w:r>
              <w:rPr>
                <w:rFonts w:hint="eastAsia"/>
                <w:color w:val="000000" w:themeColor="text1"/>
                <w:sz w:val="24"/>
                <w:szCs w:val="21"/>
                <w:highlight w:val="none"/>
                <w14:textFill>
                  <w14:solidFill>
                    <w14:schemeClr w14:val="tx1"/>
                  </w14:solidFill>
                </w14:textFill>
              </w:rPr>
              <w:t>备案（</w:t>
            </w:r>
            <w:r>
              <w:rPr>
                <w:rFonts w:hint="eastAsia"/>
                <w:color w:val="000000" w:themeColor="text1"/>
                <w:sz w:val="24"/>
                <w:szCs w:val="21"/>
                <w:highlight w:val="none"/>
                <w:lang w:eastAsia="zh-CN"/>
                <w14:textFill>
                  <w14:solidFill>
                    <w14:schemeClr w14:val="tx1"/>
                  </w14:solidFill>
                </w14:textFill>
              </w:rPr>
              <w:t>闽工信备[2025]A140209号</w:t>
            </w:r>
            <w:r>
              <w:rPr>
                <w:rFonts w:hint="eastAsia"/>
                <w:color w:val="000000" w:themeColor="text1"/>
                <w:sz w:val="24"/>
                <w:szCs w:val="21"/>
                <w:highlight w:val="none"/>
                <w14:textFill>
                  <w14:solidFill>
                    <w14:schemeClr w14:val="tx1"/>
                  </w14:solidFill>
                </w14:textFill>
              </w:rPr>
              <w:t>），符合市场准入要求</w:t>
            </w:r>
            <w:r>
              <w:rPr>
                <w:rFonts w:hint="eastAsia"/>
                <w:color w:val="000000" w:themeColor="text1"/>
                <w:sz w:val="24"/>
                <w:szCs w:val="21"/>
                <w:highlight w:val="none"/>
                <w:lang w:eastAsia="zh-CN"/>
                <w14:textFill>
                  <w14:solidFill>
                    <w14:schemeClr w14:val="tx1"/>
                  </w14:solidFill>
                </w14:textFill>
              </w:rPr>
              <w:t>，</w:t>
            </w:r>
            <w:r>
              <w:rPr>
                <w:rFonts w:hint="eastAsia"/>
                <w:color w:val="000000" w:themeColor="text1"/>
                <w:sz w:val="24"/>
                <w:szCs w:val="21"/>
                <w:highlight w:val="none"/>
                <w:lang w:val="en-US" w:eastAsia="zh-CN"/>
                <w14:textFill>
                  <w14:solidFill>
                    <w14:schemeClr w14:val="tx1"/>
                  </w14:solidFill>
                </w14:textFill>
              </w:rPr>
              <w:t>因此符合《市场准入负面清单》(2025年版)文件要求。</w:t>
            </w:r>
          </w:p>
          <w:p w14:paraId="48E19E20">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1.9与《“十四五”节能减排综合工作方案》（国发〔2021〕33号）的符合性分析</w:t>
            </w:r>
          </w:p>
          <w:p w14:paraId="1B09906F">
            <w:pPr>
              <w:pStyle w:val="91"/>
              <w:ind w:firstLine="480" w:firstLineChars="200"/>
              <w:rPr>
                <w:rFonts w:hint="eastAsia"/>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本项目采用电能作为能源，无燃煤锅炉，符合“推动能源清洁低碳化”要求；项目新增</w:t>
            </w:r>
            <w:r>
              <w:rPr>
                <w:rFonts w:hint="eastAsia"/>
                <w:color w:val="000000" w:themeColor="text1"/>
                <w:sz w:val="24"/>
                <w:szCs w:val="21"/>
                <w:highlight w:val="none"/>
                <w14:textFill>
                  <w14:solidFill>
                    <w14:schemeClr w14:val="tx1"/>
                  </w14:solidFill>
                </w14:textFill>
              </w:rPr>
              <w:t>VOCs</w:t>
            </w:r>
            <w:r>
              <w:rPr>
                <w:rFonts w:hint="eastAsia"/>
                <w:color w:val="000000" w:themeColor="text1"/>
                <w:sz w:val="24"/>
                <w:szCs w:val="21"/>
                <w:highlight w:val="none"/>
                <w:lang w:val="en-US" w:eastAsia="zh-CN"/>
                <w14:textFill>
                  <w14:solidFill>
                    <w14:schemeClr w14:val="tx1"/>
                  </w14:solidFill>
                </w14:textFill>
              </w:rPr>
              <w:t>落实排放总量控制要求，符合“挥发性有机物减排”要求。因此本项目符合《“十四五”节能减排综合工作方案》（国发〔2021〕33号）文件要求。</w:t>
            </w:r>
          </w:p>
          <w:p w14:paraId="1098BB2A">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1.10与《国家污染防治技术指导目录》（环办科财函〔2025〕197号）、《国家先进污染防治技术目录》的符合性分析</w:t>
            </w:r>
          </w:p>
          <w:p w14:paraId="15D7E4F4">
            <w:pPr>
              <w:pStyle w:val="91"/>
              <w:ind w:firstLine="480" w:firstLineChars="200"/>
              <w:rPr>
                <w:rFonts w:hint="default"/>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本项目采用的“集气罩+二级活性炭吸附”技术属于《国家污染防治技术指导目录》推荐的可行技术，不属于低效类技术；项目废气治理技术（活性炭吸附）与《目录》中“有机废气吸附净化技术”一致，技术成熟、运行稳定。因此本项目符合《国家污染防治技术指导目录》（环办科财函〔2025〕197号）、《国家先进污染防治技术目录》的文件要求。</w:t>
            </w:r>
          </w:p>
          <w:p w14:paraId="52D38B99">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1.11与建设用地控制相关文件的符合性分析</w:t>
            </w:r>
          </w:p>
          <w:p w14:paraId="49FA0B80">
            <w:pPr>
              <w:pStyle w:val="91"/>
              <w:ind w:firstLine="480" w:firstLineChars="200"/>
              <w:rPr>
                <w:rFonts w:hint="eastAsia"/>
                <w:color w:val="000000" w:themeColor="text1"/>
                <w:sz w:val="24"/>
                <w:szCs w:val="21"/>
                <w:highlight w:val="none"/>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本项目</w:t>
            </w:r>
            <w:r>
              <w:rPr>
                <w:rFonts w:hint="eastAsia"/>
                <w:bCs/>
                <w:color w:val="000000" w:themeColor="text1"/>
                <w:sz w:val="24"/>
                <w:szCs w:val="32"/>
                <w:highlight w:val="none"/>
                <w14:textFill>
                  <w14:solidFill>
                    <w14:schemeClr w14:val="tx1"/>
                  </w14:solidFill>
                </w14:textFill>
              </w:rPr>
              <w:t>租用已建厂房，不新增用地</w:t>
            </w:r>
            <w:r>
              <w:rPr>
                <w:rFonts w:hint="eastAsia"/>
                <w:color w:val="000000" w:themeColor="text1"/>
                <w:sz w:val="24"/>
                <w:szCs w:val="21"/>
                <w:highlight w:val="none"/>
                <w:lang w:val="en-US" w:eastAsia="zh-CN"/>
                <w14:textFill>
                  <w14:solidFill>
                    <w14:schemeClr w14:val="tx1"/>
                  </w14:solidFill>
                </w14:textFill>
              </w:rPr>
              <w:t>，容积率、建筑密度等指标符合福建省工业用地控制要求。因此本项目符合《自然资源要素支撑产业高质量发展指导目录（2024年本）》《工业项目建设用地控制指标》（自然资发〔2023〕72号）、《福建省工业项目建设用地控制指标》（闽自然资发〔2024〕31号）文件要求。</w:t>
            </w:r>
          </w:p>
          <w:p w14:paraId="388C4FB9">
            <w:pPr>
              <w:pStyle w:val="91"/>
              <w:ind w:firstLine="480" w:firstLineChars="200"/>
              <w:rPr>
                <w:rFonts w:hint="eastAsia"/>
                <w:color w:val="000000" w:themeColor="text1"/>
                <w:sz w:val="24"/>
                <w:szCs w:val="21"/>
                <w:highlight w:val="none"/>
                <w14:textFill>
                  <w14:solidFill>
                    <w14:schemeClr w14:val="tx1"/>
                  </w14:solidFill>
                </w14:textFill>
              </w:rPr>
            </w:pPr>
          </w:p>
          <w:p w14:paraId="72C6F29E">
            <w:pPr>
              <w:pStyle w:val="91"/>
              <w:ind w:firstLine="480" w:firstLineChars="200"/>
              <w:rPr>
                <w:rFonts w:hint="eastAsia"/>
                <w:color w:val="000000" w:themeColor="text1"/>
                <w:sz w:val="24"/>
                <w:szCs w:val="21"/>
                <w:highlight w:val="none"/>
                <w14:textFill>
                  <w14:solidFill>
                    <w14:schemeClr w14:val="tx1"/>
                  </w14:solidFill>
                </w14:textFill>
              </w:rPr>
            </w:pPr>
          </w:p>
          <w:p w14:paraId="2ACFDE92">
            <w:pPr>
              <w:pStyle w:val="91"/>
              <w:ind w:firstLine="480" w:firstLineChars="200"/>
              <w:rPr>
                <w:rFonts w:hint="eastAsia"/>
                <w:color w:val="000000" w:themeColor="text1"/>
                <w:sz w:val="24"/>
                <w:szCs w:val="21"/>
                <w:highlight w:val="none"/>
                <w14:textFill>
                  <w14:solidFill>
                    <w14:schemeClr w14:val="tx1"/>
                  </w14:solidFill>
                </w14:textFill>
              </w:rPr>
            </w:pPr>
          </w:p>
          <w:p w14:paraId="59CBB4D0">
            <w:pPr>
              <w:pStyle w:val="91"/>
              <w:ind w:firstLine="480" w:firstLineChars="200"/>
              <w:rPr>
                <w:rFonts w:hint="eastAsia"/>
                <w:color w:val="000000" w:themeColor="text1"/>
                <w:sz w:val="24"/>
                <w:szCs w:val="21"/>
                <w:highlight w:val="none"/>
                <w14:textFill>
                  <w14:solidFill>
                    <w14:schemeClr w14:val="tx1"/>
                  </w14:solidFill>
                </w14:textFill>
              </w:rPr>
            </w:pPr>
          </w:p>
          <w:p w14:paraId="37377F3F">
            <w:pPr>
              <w:pStyle w:val="91"/>
              <w:ind w:firstLine="480" w:firstLineChars="200"/>
              <w:rPr>
                <w:rFonts w:hint="eastAsia"/>
                <w:color w:val="000000" w:themeColor="text1"/>
                <w:sz w:val="24"/>
                <w:szCs w:val="21"/>
                <w:highlight w:val="none"/>
                <w14:textFill>
                  <w14:solidFill>
                    <w14:schemeClr w14:val="tx1"/>
                  </w14:solidFill>
                </w14:textFill>
              </w:rPr>
            </w:pPr>
          </w:p>
          <w:p w14:paraId="6C776F1F">
            <w:pPr>
              <w:pStyle w:val="91"/>
              <w:ind w:firstLine="480" w:firstLineChars="200"/>
              <w:rPr>
                <w:rFonts w:hint="eastAsia"/>
                <w:color w:val="000000" w:themeColor="text1"/>
                <w:sz w:val="24"/>
                <w:szCs w:val="21"/>
                <w:highlight w:val="none"/>
                <w14:textFill>
                  <w14:solidFill>
                    <w14:schemeClr w14:val="tx1"/>
                  </w14:solidFill>
                </w14:textFill>
              </w:rPr>
            </w:pPr>
          </w:p>
          <w:p w14:paraId="20774093">
            <w:pPr>
              <w:pStyle w:val="91"/>
              <w:ind w:firstLine="480" w:firstLineChars="200"/>
              <w:rPr>
                <w:rFonts w:hint="eastAsia"/>
                <w:color w:val="000000" w:themeColor="text1"/>
                <w:sz w:val="24"/>
                <w:szCs w:val="21"/>
                <w:highlight w:val="none"/>
                <w14:textFill>
                  <w14:solidFill>
                    <w14:schemeClr w14:val="tx1"/>
                  </w14:solidFill>
                </w14:textFill>
              </w:rPr>
            </w:pPr>
          </w:p>
          <w:p w14:paraId="0AF5542D">
            <w:pPr>
              <w:pStyle w:val="91"/>
              <w:ind w:firstLine="480" w:firstLineChars="200"/>
              <w:rPr>
                <w:rFonts w:hint="eastAsia"/>
                <w:color w:val="000000" w:themeColor="text1"/>
                <w:sz w:val="24"/>
                <w:szCs w:val="21"/>
                <w:highlight w:val="none"/>
                <w14:textFill>
                  <w14:solidFill>
                    <w14:schemeClr w14:val="tx1"/>
                  </w14:solidFill>
                </w14:textFill>
              </w:rPr>
            </w:pPr>
          </w:p>
          <w:p w14:paraId="52D19A41">
            <w:pPr>
              <w:pStyle w:val="91"/>
              <w:ind w:firstLine="480" w:firstLineChars="200"/>
              <w:rPr>
                <w:rFonts w:hint="eastAsia"/>
                <w:color w:val="000000" w:themeColor="text1"/>
                <w:sz w:val="24"/>
                <w:szCs w:val="21"/>
                <w:highlight w:val="none"/>
                <w14:textFill>
                  <w14:solidFill>
                    <w14:schemeClr w14:val="tx1"/>
                  </w14:solidFill>
                </w14:textFill>
              </w:rPr>
            </w:pPr>
          </w:p>
          <w:p w14:paraId="1A8F016D">
            <w:pPr>
              <w:pStyle w:val="91"/>
              <w:ind w:firstLine="480" w:firstLineChars="200"/>
              <w:rPr>
                <w:rFonts w:hint="eastAsia"/>
                <w:color w:val="000000" w:themeColor="text1"/>
                <w:sz w:val="24"/>
                <w:szCs w:val="21"/>
                <w:highlight w:val="none"/>
                <w14:textFill>
                  <w14:solidFill>
                    <w14:schemeClr w14:val="tx1"/>
                  </w14:solidFill>
                </w14:textFill>
              </w:rPr>
            </w:pPr>
          </w:p>
          <w:p w14:paraId="06954127">
            <w:pPr>
              <w:pStyle w:val="91"/>
              <w:ind w:firstLine="480" w:firstLineChars="200"/>
              <w:rPr>
                <w:rFonts w:hint="eastAsia"/>
                <w:color w:val="000000" w:themeColor="text1"/>
                <w:sz w:val="24"/>
                <w:szCs w:val="21"/>
                <w:highlight w:val="none"/>
                <w14:textFill>
                  <w14:solidFill>
                    <w14:schemeClr w14:val="tx1"/>
                  </w14:solidFill>
                </w14:textFill>
              </w:rPr>
            </w:pPr>
          </w:p>
          <w:p w14:paraId="2796FC45">
            <w:pPr>
              <w:pStyle w:val="91"/>
              <w:ind w:firstLine="480" w:firstLineChars="200"/>
              <w:rPr>
                <w:rFonts w:hint="eastAsia"/>
                <w:color w:val="000000" w:themeColor="text1"/>
                <w:sz w:val="24"/>
                <w:szCs w:val="21"/>
                <w:highlight w:val="none"/>
                <w14:textFill>
                  <w14:solidFill>
                    <w14:schemeClr w14:val="tx1"/>
                  </w14:solidFill>
                </w14:textFill>
              </w:rPr>
            </w:pPr>
          </w:p>
          <w:p w14:paraId="0EC1090B">
            <w:pPr>
              <w:pStyle w:val="91"/>
              <w:ind w:firstLine="480" w:firstLineChars="200"/>
              <w:rPr>
                <w:rFonts w:hint="eastAsia"/>
                <w:color w:val="000000" w:themeColor="text1"/>
                <w:sz w:val="24"/>
                <w:szCs w:val="21"/>
                <w:highlight w:val="none"/>
                <w14:textFill>
                  <w14:solidFill>
                    <w14:schemeClr w14:val="tx1"/>
                  </w14:solidFill>
                </w14:textFill>
              </w:rPr>
            </w:pPr>
          </w:p>
          <w:p w14:paraId="40918C7E">
            <w:pPr>
              <w:pStyle w:val="91"/>
              <w:ind w:firstLine="480" w:firstLineChars="200"/>
              <w:rPr>
                <w:rFonts w:hint="eastAsia"/>
                <w:color w:val="000000" w:themeColor="text1"/>
                <w:sz w:val="24"/>
                <w:szCs w:val="21"/>
                <w:highlight w:val="none"/>
                <w14:textFill>
                  <w14:solidFill>
                    <w14:schemeClr w14:val="tx1"/>
                  </w14:solidFill>
                </w14:textFill>
              </w:rPr>
            </w:pPr>
          </w:p>
          <w:p w14:paraId="40C73D67">
            <w:pPr>
              <w:pStyle w:val="91"/>
              <w:ind w:firstLine="480" w:firstLineChars="200"/>
              <w:rPr>
                <w:rFonts w:hint="eastAsia"/>
                <w:color w:val="000000" w:themeColor="text1"/>
                <w:sz w:val="24"/>
                <w:szCs w:val="21"/>
                <w:highlight w:val="none"/>
                <w14:textFill>
                  <w14:solidFill>
                    <w14:schemeClr w14:val="tx1"/>
                  </w14:solidFill>
                </w14:textFill>
              </w:rPr>
            </w:pPr>
          </w:p>
          <w:p w14:paraId="0527E5CB">
            <w:pPr>
              <w:pStyle w:val="91"/>
              <w:ind w:firstLine="480" w:firstLineChars="200"/>
              <w:rPr>
                <w:rFonts w:hint="eastAsia"/>
                <w:color w:val="000000" w:themeColor="text1"/>
                <w:sz w:val="24"/>
                <w:szCs w:val="21"/>
                <w:highlight w:val="none"/>
                <w14:textFill>
                  <w14:solidFill>
                    <w14:schemeClr w14:val="tx1"/>
                  </w14:solidFill>
                </w14:textFill>
              </w:rPr>
            </w:pPr>
          </w:p>
          <w:p w14:paraId="074923D2">
            <w:pPr>
              <w:pStyle w:val="91"/>
              <w:ind w:firstLine="480" w:firstLineChars="200"/>
              <w:rPr>
                <w:rFonts w:hint="eastAsia"/>
                <w:color w:val="000000" w:themeColor="text1"/>
                <w:sz w:val="24"/>
                <w:szCs w:val="21"/>
                <w:highlight w:val="none"/>
                <w14:textFill>
                  <w14:solidFill>
                    <w14:schemeClr w14:val="tx1"/>
                  </w14:solidFill>
                </w14:textFill>
              </w:rPr>
            </w:pPr>
          </w:p>
          <w:p w14:paraId="4CF9D4C1">
            <w:pPr>
              <w:pStyle w:val="91"/>
              <w:ind w:firstLine="480" w:firstLineChars="200"/>
              <w:rPr>
                <w:rFonts w:hint="eastAsia"/>
                <w:color w:val="000000" w:themeColor="text1"/>
                <w:sz w:val="24"/>
                <w:szCs w:val="21"/>
                <w:highlight w:val="none"/>
                <w14:textFill>
                  <w14:solidFill>
                    <w14:schemeClr w14:val="tx1"/>
                  </w14:solidFill>
                </w14:textFill>
              </w:rPr>
            </w:pPr>
          </w:p>
          <w:p w14:paraId="2E758823">
            <w:pPr>
              <w:pStyle w:val="91"/>
              <w:ind w:firstLine="480" w:firstLineChars="200"/>
              <w:rPr>
                <w:rFonts w:hint="eastAsia"/>
                <w:color w:val="000000" w:themeColor="text1"/>
                <w:sz w:val="24"/>
                <w:szCs w:val="21"/>
                <w:highlight w:val="none"/>
                <w14:textFill>
                  <w14:solidFill>
                    <w14:schemeClr w14:val="tx1"/>
                  </w14:solidFill>
                </w14:textFill>
              </w:rPr>
            </w:pPr>
          </w:p>
          <w:p w14:paraId="2342F44D">
            <w:pPr>
              <w:pStyle w:val="91"/>
              <w:ind w:firstLine="480" w:firstLineChars="200"/>
              <w:rPr>
                <w:rFonts w:hint="eastAsia"/>
                <w:color w:val="000000" w:themeColor="text1"/>
                <w:sz w:val="24"/>
                <w:szCs w:val="21"/>
                <w:highlight w:val="none"/>
                <w14:textFill>
                  <w14:solidFill>
                    <w14:schemeClr w14:val="tx1"/>
                  </w14:solidFill>
                </w14:textFill>
              </w:rPr>
            </w:pPr>
          </w:p>
          <w:p w14:paraId="030462B3">
            <w:pPr>
              <w:pStyle w:val="91"/>
              <w:ind w:firstLine="480" w:firstLineChars="200"/>
              <w:rPr>
                <w:rFonts w:hint="eastAsia"/>
                <w:color w:val="000000" w:themeColor="text1"/>
                <w:sz w:val="24"/>
                <w:szCs w:val="21"/>
                <w:highlight w:val="none"/>
                <w14:textFill>
                  <w14:solidFill>
                    <w14:schemeClr w14:val="tx1"/>
                  </w14:solidFill>
                </w14:textFill>
              </w:rPr>
            </w:pPr>
          </w:p>
          <w:p w14:paraId="7419048A">
            <w:pPr>
              <w:pStyle w:val="91"/>
              <w:ind w:firstLine="480" w:firstLineChars="200"/>
              <w:rPr>
                <w:rFonts w:hint="eastAsia"/>
                <w:color w:val="000000" w:themeColor="text1"/>
                <w:sz w:val="24"/>
                <w:szCs w:val="21"/>
                <w:highlight w:val="none"/>
                <w14:textFill>
                  <w14:solidFill>
                    <w14:schemeClr w14:val="tx1"/>
                  </w14:solidFill>
                </w14:textFill>
              </w:rPr>
            </w:pPr>
          </w:p>
          <w:p w14:paraId="3034DD3A">
            <w:pPr>
              <w:pStyle w:val="91"/>
              <w:ind w:firstLine="480" w:firstLineChars="200"/>
              <w:rPr>
                <w:rFonts w:hint="eastAsia"/>
                <w:color w:val="000000" w:themeColor="text1"/>
                <w:sz w:val="24"/>
                <w:szCs w:val="21"/>
                <w:highlight w:val="none"/>
                <w14:textFill>
                  <w14:solidFill>
                    <w14:schemeClr w14:val="tx1"/>
                  </w14:solidFill>
                </w14:textFill>
              </w:rPr>
            </w:pPr>
          </w:p>
          <w:p w14:paraId="1B2762EC">
            <w:pPr>
              <w:pStyle w:val="91"/>
              <w:ind w:firstLine="480" w:firstLineChars="200"/>
              <w:rPr>
                <w:rFonts w:hint="eastAsia"/>
                <w:color w:val="000000" w:themeColor="text1"/>
                <w:sz w:val="24"/>
                <w:szCs w:val="21"/>
                <w:highlight w:val="none"/>
                <w14:textFill>
                  <w14:solidFill>
                    <w14:schemeClr w14:val="tx1"/>
                  </w14:solidFill>
                </w14:textFill>
              </w:rPr>
            </w:pPr>
          </w:p>
          <w:p w14:paraId="5BD8BF54">
            <w:pPr>
              <w:pStyle w:val="91"/>
              <w:ind w:firstLine="480" w:firstLineChars="200"/>
              <w:rPr>
                <w:rFonts w:hint="eastAsia"/>
                <w:color w:val="000000" w:themeColor="text1"/>
                <w:sz w:val="24"/>
                <w:szCs w:val="21"/>
                <w:highlight w:val="none"/>
                <w14:textFill>
                  <w14:solidFill>
                    <w14:schemeClr w14:val="tx1"/>
                  </w14:solidFill>
                </w14:textFill>
              </w:rPr>
            </w:pPr>
          </w:p>
        </w:tc>
      </w:tr>
    </w:tbl>
    <w:p w14:paraId="26901827">
      <w:pPr>
        <w:rPr>
          <w:rFonts w:hint="eastAsia" w:ascii="黑体" w:hAnsi="黑体" w:eastAsia="黑体"/>
          <w:snapToGrid w:val="0"/>
          <w:color w:val="000000" w:themeColor="text1"/>
          <w:sz w:val="30"/>
          <w:szCs w:val="30"/>
          <w:highlight w:val="none"/>
          <w14:textFill>
            <w14:solidFill>
              <w14:schemeClr w14:val="tx1"/>
            </w14:solidFill>
          </w14:textFill>
        </w:rPr>
      </w:pPr>
      <w:r>
        <w:rPr>
          <w:rFonts w:hint="eastAsia" w:ascii="黑体" w:hAnsi="黑体" w:eastAsia="黑体"/>
          <w:snapToGrid w:val="0"/>
          <w:color w:val="000000" w:themeColor="text1"/>
          <w:sz w:val="30"/>
          <w:szCs w:val="30"/>
          <w:highlight w:val="none"/>
          <w14:textFill>
            <w14:solidFill>
              <w14:schemeClr w14:val="tx1"/>
            </w14:solidFill>
          </w14:textFill>
        </w:rPr>
        <w:br w:type="page"/>
      </w:r>
    </w:p>
    <w:p w14:paraId="180FBB2B">
      <w:pPr>
        <w:pStyle w:val="26"/>
        <w:jc w:val="center"/>
        <w:outlineLvl w:val="0"/>
        <w:rPr>
          <w:rFonts w:ascii="黑体" w:hAnsi="黑体" w:eastAsia="黑体"/>
          <w:snapToGrid w:val="0"/>
          <w:color w:val="000000" w:themeColor="text1"/>
          <w:sz w:val="30"/>
          <w:szCs w:val="30"/>
          <w:highlight w:val="none"/>
          <w14:textFill>
            <w14:solidFill>
              <w14:schemeClr w14:val="tx1"/>
            </w14:solidFill>
          </w14:textFill>
        </w:rPr>
      </w:pPr>
      <w:bookmarkStart w:id="7" w:name="_Toc12109"/>
      <w:r>
        <w:rPr>
          <w:rFonts w:hint="eastAsia" w:ascii="黑体" w:hAnsi="黑体" w:eastAsia="黑体"/>
          <w:snapToGrid w:val="0"/>
          <w:color w:val="000000" w:themeColor="text1"/>
          <w:sz w:val="30"/>
          <w:szCs w:val="30"/>
          <w:highlight w:val="none"/>
          <w14:textFill>
            <w14:solidFill>
              <w14:schemeClr w14:val="tx1"/>
            </w14:solidFill>
          </w14:textFill>
        </w:rPr>
        <w:t>二、建设项目工程分析</w:t>
      </w:r>
      <w:bookmarkEnd w:id="7"/>
    </w:p>
    <w:tbl>
      <w:tblPr>
        <w:tblStyle w:val="3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8498"/>
      </w:tblGrid>
      <w:tr w14:paraId="2BA145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92" w:hRule="atLeast"/>
          <w:jc w:val="center"/>
        </w:trPr>
        <w:tc>
          <w:tcPr>
            <w:tcW w:w="310" w:type="pct"/>
            <w:vAlign w:val="center"/>
          </w:tcPr>
          <w:p w14:paraId="09F8E2CF">
            <w:pPr>
              <w:pStyle w:val="26"/>
              <w:adjustRightInd w:val="0"/>
              <w:snapToGrid w:val="0"/>
              <w:spacing w:before="0" w:beforeAutospacing="0" w:after="0" w:afterAutospacing="0"/>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建设内容</w:t>
            </w:r>
          </w:p>
        </w:tc>
        <w:tc>
          <w:tcPr>
            <w:tcW w:w="4690" w:type="pct"/>
          </w:tcPr>
          <w:p w14:paraId="4F24ECDB">
            <w:pPr>
              <w:pStyle w:val="37"/>
              <w:rPr>
                <w:b w:val="0"/>
                <w:color w:val="000000" w:themeColor="text1"/>
                <w:sz w:val="24"/>
                <w:szCs w:val="21"/>
                <w:highlight w:val="none"/>
                <w14:textFill>
                  <w14:solidFill>
                    <w14:schemeClr w14:val="tx1"/>
                  </w14:solidFill>
                </w14:textFill>
              </w:rPr>
            </w:pPr>
            <w:r>
              <w:rPr>
                <w:b w:val="0"/>
                <w:color w:val="000000" w:themeColor="text1"/>
                <w:sz w:val="24"/>
                <w:szCs w:val="21"/>
                <w:highlight w:val="none"/>
                <w14:textFill>
                  <w14:solidFill>
                    <w14:schemeClr w14:val="tx1"/>
                  </w14:solidFill>
                </w14:textFill>
              </w:rPr>
              <w:t>2.1 项目情况</w:t>
            </w:r>
          </w:p>
          <w:p w14:paraId="569F691F">
            <w:pPr>
              <w:spacing w:line="360" w:lineRule="auto"/>
              <w:ind w:firstLine="480" w:firstLineChars="200"/>
              <w:rPr>
                <w:bCs/>
                <w:color w:val="000000" w:themeColor="text1"/>
                <w:sz w:val="24"/>
                <w:szCs w:val="24"/>
                <w:highlight w:val="none"/>
                <w14:textFill>
                  <w14:solidFill>
                    <w14:schemeClr w14:val="tx1"/>
                  </w14:solidFill>
                </w14:textFill>
              </w:rPr>
            </w:pPr>
            <w:r>
              <w:rPr>
                <w:rFonts w:hint="eastAsia"/>
                <w:bCs/>
                <w:color w:val="000000" w:themeColor="text1"/>
                <w:sz w:val="24"/>
                <w:szCs w:val="24"/>
                <w:highlight w:val="none"/>
                <w14:textFill>
                  <w14:solidFill>
                    <w14:schemeClr w14:val="tx1"/>
                  </w14:solidFill>
                </w14:textFill>
              </w:rPr>
              <w:t>1、项目由来</w:t>
            </w:r>
          </w:p>
          <w:p w14:paraId="37FF8E34">
            <w:pPr>
              <w:spacing w:line="360" w:lineRule="auto"/>
              <w:ind w:firstLine="480" w:firstLineChars="200"/>
              <w:rPr>
                <w:rFonts w:hint="eastAsia"/>
                <w:color w:val="000000" w:themeColor="text1"/>
                <w:sz w:val="24"/>
                <w:szCs w:val="32"/>
                <w:highlight w:val="none"/>
                <w:lang w:eastAsia="zh-CN"/>
                <w14:textFill>
                  <w14:solidFill>
                    <w14:schemeClr w14:val="tx1"/>
                  </w14:solidFill>
                </w14:textFill>
              </w:rPr>
            </w:pPr>
            <w:r>
              <w:rPr>
                <w:rFonts w:hint="eastAsia"/>
                <w:color w:val="000000" w:themeColor="text1"/>
                <w:sz w:val="24"/>
                <w:szCs w:val="32"/>
                <w:highlight w:val="none"/>
                <w:lang w:eastAsia="zh-CN"/>
                <w14:textFill>
                  <w14:solidFill>
                    <w14:schemeClr w14:val="tx1"/>
                  </w14:solidFill>
                </w14:textFill>
              </w:rPr>
              <w:t>福建至期光子科技有限公司（</w:t>
            </w:r>
            <w:r>
              <w:rPr>
                <w:rFonts w:hint="eastAsia"/>
                <w:color w:val="000000" w:themeColor="text1"/>
                <w:sz w:val="24"/>
                <w:szCs w:val="32"/>
                <w:highlight w:val="none"/>
                <w:lang w:val="en-US" w:eastAsia="zh-CN"/>
                <w14:textFill>
                  <w14:solidFill>
                    <w14:schemeClr w14:val="tx1"/>
                  </w14:solidFill>
                </w14:textFill>
              </w:rPr>
              <w:t>以下简称“</w:t>
            </w:r>
            <w:r>
              <w:rPr>
                <w:rFonts w:hint="eastAsia"/>
                <w:color w:val="000000" w:themeColor="text1"/>
                <w:sz w:val="24"/>
                <w:szCs w:val="32"/>
                <w:highlight w:val="none"/>
                <w:lang w:eastAsia="zh-CN"/>
                <w14:textFill>
                  <w14:solidFill>
                    <w14:schemeClr w14:val="tx1"/>
                  </w14:solidFill>
                </w14:textFill>
              </w:rPr>
              <w:t>至期光子</w:t>
            </w:r>
            <w:r>
              <w:rPr>
                <w:rFonts w:hint="eastAsia"/>
                <w:color w:val="000000" w:themeColor="text1"/>
                <w:sz w:val="24"/>
                <w:szCs w:val="32"/>
                <w:highlight w:val="none"/>
                <w:lang w:val="en-US" w:eastAsia="zh-CN"/>
                <w14:textFill>
                  <w14:solidFill>
                    <w14:schemeClr w14:val="tx1"/>
                  </w14:solidFill>
                </w14:textFill>
              </w:rPr>
              <w:t>”</w:t>
            </w:r>
            <w:r>
              <w:rPr>
                <w:rFonts w:hint="eastAsia"/>
                <w:color w:val="000000" w:themeColor="text1"/>
                <w:sz w:val="24"/>
                <w:szCs w:val="32"/>
                <w:highlight w:val="none"/>
                <w:lang w:eastAsia="zh-CN"/>
                <w14:textFill>
                  <w14:solidFill>
                    <w14:schemeClr w14:val="tx1"/>
                  </w14:solidFill>
                </w14:textFill>
              </w:rPr>
              <w:t>）成立于2022年12月，</w:t>
            </w:r>
            <w:r>
              <w:rPr>
                <w:rFonts w:hint="eastAsia"/>
                <w:color w:val="000000" w:themeColor="text1"/>
                <w:sz w:val="24"/>
                <w:szCs w:val="32"/>
                <w:highlight w:val="none"/>
                <w:lang w:val="en-US" w:eastAsia="zh-CN"/>
                <w14:textFill>
                  <w14:solidFill>
                    <w14:schemeClr w14:val="tx1"/>
                  </w14:solidFill>
                </w14:textFill>
              </w:rPr>
              <w:t>现有项目</w:t>
            </w:r>
            <w:r>
              <w:rPr>
                <w:rFonts w:hint="eastAsia"/>
                <w:color w:val="000000" w:themeColor="text1"/>
                <w:sz w:val="24"/>
                <w:szCs w:val="32"/>
                <w:highlight w:val="none"/>
                <w:lang w:eastAsia="zh-CN"/>
                <w14:textFill>
                  <w14:solidFill>
                    <w14:schemeClr w14:val="tx1"/>
                  </w14:solidFill>
                </w14:textFill>
              </w:rPr>
              <w:t>生产厂址位于福州市高新区南屿镇窗厦村尧溪路3号2#厂房，主要从事超精密核心光学及晶体元器件生产制造。</w:t>
            </w:r>
          </w:p>
          <w:p w14:paraId="700F6DB8">
            <w:pPr>
              <w:spacing w:line="360" w:lineRule="auto"/>
              <w:ind w:firstLine="480" w:firstLineChars="200"/>
              <w:rPr>
                <w:rFonts w:hint="eastAsia"/>
                <w:color w:val="000000" w:themeColor="text1"/>
                <w:sz w:val="24"/>
                <w:szCs w:val="32"/>
                <w:highlight w:val="none"/>
                <w:lang w:eastAsia="zh-CN"/>
                <w14:textFill>
                  <w14:solidFill>
                    <w14:schemeClr w14:val="tx1"/>
                  </w14:solidFill>
                </w14:textFill>
              </w:rPr>
            </w:pPr>
            <w:r>
              <w:rPr>
                <w:rFonts w:hint="eastAsia"/>
                <w:color w:val="000000" w:themeColor="text1"/>
                <w:sz w:val="24"/>
                <w:szCs w:val="32"/>
                <w:highlight w:val="none"/>
                <w:lang w:eastAsia="zh-CN"/>
                <w14:textFill>
                  <w14:solidFill>
                    <w14:schemeClr w14:val="tx1"/>
                  </w14:solidFill>
                </w14:textFill>
              </w:rPr>
              <w:t>2023年2月，至期光子委托厦门正诺达环保科技有限公司编制《福建至期光子科技有限公司超精密核心光学及晶体元器件生产项目建设环境影响评价报告表》，于2023年3月31日取得福州高新技术产业开发区生态环境局批复（榕高新区环评〔2023〕6号）。2023年12月3日企业完成排污登记（91350102MAC6AQCU19001X）。2024年10月，至期光子委托福建创投环保科技有限公司编制《福建至期光子科技有限公司超精密核心光学及晶体元器件生产项目建设竣工环境保护验收监测</w:t>
            </w:r>
            <w:r>
              <w:rPr>
                <w:rFonts w:hint="eastAsia"/>
                <w:color w:val="000000" w:themeColor="text1"/>
                <w:sz w:val="24"/>
                <w:szCs w:val="32"/>
                <w:highlight w:val="none"/>
                <w:lang w:val="en-US" w:eastAsia="zh-CN"/>
                <w14:textFill>
                  <w14:solidFill>
                    <w14:schemeClr w14:val="tx1"/>
                  </w14:solidFill>
                </w14:textFill>
              </w:rPr>
              <w:t>报告</w:t>
            </w:r>
            <w:r>
              <w:rPr>
                <w:rFonts w:hint="eastAsia"/>
                <w:color w:val="000000" w:themeColor="text1"/>
                <w:sz w:val="24"/>
                <w:szCs w:val="32"/>
                <w:highlight w:val="none"/>
                <w:lang w:eastAsia="zh-CN"/>
                <w14:textFill>
                  <w14:solidFill>
                    <w14:schemeClr w14:val="tx1"/>
                  </w14:solidFill>
                </w14:textFill>
              </w:rPr>
              <w:t>表》；2024年10月12日，该项目通过验收组验收。</w:t>
            </w:r>
          </w:p>
          <w:p w14:paraId="1E7D9531">
            <w:pPr>
              <w:spacing w:line="360" w:lineRule="auto"/>
              <w:ind w:firstLine="480" w:firstLineChars="200"/>
              <w:rPr>
                <w:rFonts w:hint="default"/>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2025年，</w:t>
            </w:r>
            <w:r>
              <w:rPr>
                <w:rFonts w:hint="eastAsia"/>
                <w:color w:val="000000" w:themeColor="text1"/>
                <w:sz w:val="24"/>
                <w:szCs w:val="32"/>
                <w:highlight w:val="none"/>
                <w:lang w:eastAsia="zh-CN"/>
                <w14:textFill>
                  <w14:solidFill>
                    <w14:schemeClr w14:val="tx1"/>
                  </w14:solidFill>
                </w14:textFill>
              </w:rPr>
              <w:t>至期光子租赁福建省菲格园区开发管理有限公司2#厂房2层，</w:t>
            </w:r>
            <w:r>
              <w:rPr>
                <w:rFonts w:hint="eastAsia"/>
                <w:color w:val="000000" w:themeColor="text1"/>
                <w:sz w:val="24"/>
                <w:szCs w:val="32"/>
                <w:highlight w:val="none"/>
                <w:lang w:val="en-US" w:eastAsia="zh-CN"/>
                <w14:textFill>
                  <w14:solidFill>
                    <w14:schemeClr w14:val="tx1"/>
                  </w14:solidFill>
                </w14:textFill>
              </w:rPr>
              <w:t>拟</w:t>
            </w:r>
            <w:r>
              <w:rPr>
                <w:rFonts w:hint="eastAsia"/>
                <w:color w:val="000000" w:themeColor="text1"/>
                <w:sz w:val="24"/>
                <w:szCs w:val="32"/>
                <w:highlight w:val="none"/>
                <w:lang w:eastAsia="zh-CN"/>
                <w14:textFill>
                  <w14:solidFill>
                    <w14:schemeClr w14:val="tx1"/>
                  </w14:solidFill>
                </w14:textFill>
              </w:rPr>
              <w:t>建设GE项目改造工程。至期光子委托福建环诺科技有限公司</w:t>
            </w:r>
            <w:r>
              <w:rPr>
                <w:rFonts w:hint="eastAsia"/>
                <w:color w:val="000000" w:themeColor="text1"/>
                <w:sz w:val="24"/>
                <w:szCs w:val="32"/>
                <w:highlight w:val="none"/>
                <w:lang w:val="en-US" w:eastAsia="zh-CN"/>
                <w14:textFill>
                  <w14:solidFill>
                    <w14:schemeClr w14:val="tx1"/>
                  </w14:solidFill>
                </w14:textFill>
              </w:rPr>
              <w:t>于2025年9月</w:t>
            </w:r>
            <w:r>
              <w:rPr>
                <w:rFonts w:hint="eastAsia"/>
                <w:color w:val="000000" w:themeColor="text1"/>
                <w:sz w:val="24"/>
                <w:szCs w:val="32"/>
                <w:highlight w:val="none"/>
                <w:lang w:eastAsia="zh-CN"/>
                <w14:textFill>
                  <w14:solidFill>
                    <w14:schemeClr w14:val="tx1"/>
                  </w14:solidFill>
                </w14:textFill>
              </w:rPr>
              <w:t>编制</w:t>
            </w:r>
            <w:r>
              <w:rPr>
                <w:rFonts w:hint="eastAsia"/>
                <w:color w:val="000000" w:themeColor="text1"/>
                <w:sz w:val="24"/>
                <w:szCs w:val="32"/>
                <w:highlight w:val="none"/>
                <w:lang w:val="en-US" w:eastAsia="zh-CN"/>
                <w14:textFill>
                  <w14:solidFill>
                    <w14:schemeClr w14:val="tx1"/>
                  </w14:solidFill>
                </w14:textFill>
              </w:rPr>
              <w:t>完成</w:t>
            </w:r>
            <w:r>
              <w:rPr>
                <w:rFonts w:hint="eastAsia"/>
                <w:color w:val="000000" w:themeColor="text1"/>
                <w:sz w:val="24"/>
                <w:szCs w:val="32"/>
                <w:highlight w:val="none"/>
                <w:lang w:eastAsia="zh-CN"/>
                <w14:textFill>
                  <w14:solidFill>
                    <w14:schemeClr w14:val="tx1"/>
                  </w14:solidFill>
                </w14:textFill>
              </w:rPr>
              <w:t>《GE项目改造工程环境影响报告表》，并于2025年9月25日取得福州高新技术产业开发区生态环境局的批复(榕高新区环评〔202</w:t>
            </w:r>
            <w:r>
              <w:rPr>
                <w:rFonts w:hint="eastAsia"/>
                <w:color w:val="000000" w:themeColor="text1"/>
                <w:sz w:val="24"/>
                <w:szCs w:val="32"/>
                <w:highlight w:val="none"/>
                <w:lang w:val="en-US" w:eastAsia="zh-CN"/>
                <w14:textFill>
                  <w14:solidFill>
                    <w14:schemeClr w14:val="tx1"/>
                  </w14:solidFill>
                </w14:textFill>
              </w:rPr>
              <w:t>5</w:t>
            </w:r>
            <w:r>
              <w:rPr>
                <w:rFonts w:hint="eastAsia"/>
                <w:color w:val="000000" w:themeColor="text1"/>
                <w:sz w:val="24"/>
                <w:szCs w:val="32"/>
                <w:highlight w:val="none"/>
                <w:lang w:eastAsia="zh-CN"/>
                <w14:textFill>
                  <w14:solidFill>
                    <w14:schemeClr w14:val="tx1"/>
                  </w14:solidFill>
                </w14:textFill>
              </w:rPr>
              <w:t>〕21号)。20</w:t>
            </w:r>
            <w:r>
              <w:rPr>
                <w:rFonts w:hint="eastAsia"/>
                <w:color w:val="000000" w:themeColor="text1"/>
                <w:sz w:val="24"/>
                <w:szCs w:val="32"/>
                <w:highlight w:val="none"/>
                <w:lang w:val="en-US" w:eastAsia="zh-CN"/>
                <w14:textFill>
                  <w14:solidFill>
                    <w14:schemeClr w14:val="tx1"/>
                  </w14:solidFill>
                </w14:textFill>
              </w:rPr>
              <w:t>25</w:t>
            </w:r>
            <w:r>
              <w:rPr>
                <w:rFonts w:hint="eastAsia"/>
                <w:color w:val="000000" w:themeColor="text1"/>
                <w:sz w:val="24"/>
                <w:szCs w:val="32"/>
                <w:highlight w:val="none"/>
                <w:lang w:eastAsia="zh-CN"/>
                <w14:textFill>
                  <w14:solidFill>
                    <w14:schemeClr w14:val="tx1"/>
                  </w14:solidFill>
                </w14:textFill>
              </w:rPr>
              <w:t>年</w:t>
            </w:r>
            <w:r>
              <w:rPr>
                <w:rFonts w:hint="eastAsia"/>
                <w:color w:val="000000" w:themeColor="text1"/>
                <w:sz w:val="24"/>
                <w:szCs w:val="32"/>
                <w:highlight w:val="none"/>
                <w:lang w:val="en-US" w:eastAsia="zh-CN"/>
                <w14:textFill>
                  <w14:solidFill>
                    <w14:schemeClr w14:val="tx1"/>
                  </w14:solidFill>
                </w14:textFill>
              </w:rPr>
              <w:t>9</w:t>
            </w:r>
            <w:r>
              <w:rPr>
                <w:rFonts w:hint="eastAsia"/>
                <w:color w:val="000000" w:themeColor="text1"/>
                <w:sz w:val="24"/>
                <w:szCs w:val="32"/>
                <w:highlight w:val="none"/>
                <w:lang w:eastAsia="zh-CN"/>
                <w14:textFill>
                  <w14:solidFill>
                    <w14:schemeClr w14:val="tx1"/>
                  </w14:solidFill>
                </w14:textFill>
              </w:rPr>
              <w:t>月</w:t>
            </w:r>
            <w:r>
              <w:rPr>
                <w:rFonts w:hint="eastAsia"/>
                <w:color w:val="000000" w:themeColor="text1"/>
                <w:sz w:val="24"/>
                <w:szCs w:val="32"/>
                <w:highlight w:val="none"/>
                <w:lang w:val="en-US" w:eastAsia="zh-CN"/>
                <w14:textFill>
                  <w14:solidFill>
                    <w14:schemeClr w14:val="tx1"/>
                  </w14:solidFill>
                </w14:textFill>
              </w:rPr>
              <w:t>28</w:t>
            </w:r>
            <w:r>
              <w:rPr>
                <w:rFonts w:hint="eastAsia"/>
                <w:color w:val="000000" w:themeColor="text1"/>
                <w:sz w:val="24"/>
                <w:szCs w:val="32"/>
                <w:highlight w:val="none"/>
                <w:lang w:eastAsia="zh-CN"/>
                <w14:textFill>
                  <w14:solidFill>
                    <w14:schemeClr w14:val="tx1"/>
                  </w14:solidFill>
                </w14:textFill>
              </w:rPr>
              <w:t>日</w:t>
            </w:r>
            <w:r>
              <w:rPr>
                <w:rFonts w:hint="eastAsia"/>
                <w:color w:val="000000" w:themeColor="text1"/>
                <w:sz w:val="24"/>
                <w:szCs w:val="32"/>
                <w:highlight w:val="none"/>
                <w:lang w:val="en-US" w:eastAsia="zh-CN"/>
                <w14:textFill>
                  <w14:solidFill>
                    <w14:schemeClr w14:val="tx1"/>
                  </w14:solidFill>
                </w14:textFill>
              </w:rPr>
              <w:t>企业重新进行了</w:t>
            </w:r>
            <w:r>
              <w:rPr>
                <w:rFonts w:hint="eastAsia"/>
                <w:color w:val="000000" w:themeColor="text1"/>
                <w:sz w:val="24"/>
                <w:szCs w:val="32"/>
                <w:highlight w:val="none"/>
                <w:lang w:eastAsia="zh-CN"/>
                <w14:textFill>
                  <w14:solidFill>
                    <w14:schemeClr w14:val="tx1"/>
                  </w14:solidFill>
                </w14:textFill>
              </w:rPr>
              <w:t>排污登记（91350102MAC6AQCU19001X）。202</w:t>
            </w:r>
            <w:r>
              <w:rPr>
                <w:rFonts w:hint="eastAsia"/>
                <w:color w:val="000000" w:themeColor="text1"/>
                <w:sz w:val="24"/>
                <w:szCs w:val="32"/>
                <w:highlight w:val="none"/>
                <w:lang w:val="en-US" w:eastAsia="zh-CN"/>
                <w14:textFill>
                  <w14:solidFill>
                    <w14:schemeClr w14:val="tx1"/>
                  </w14:solidFill>
                </w14:textFill>
              </w:rPr>
              <w:t>5</w:t>
            </w:r>
            <w:r>
              <w:rPr>
                <w:rFonts w:hint="eastAsia"/>
                <w:color w:val="000000" w:themeColor="text1"/>
                <w:sz w:val="24"/>
                <w:szCs w:val="32"/>
                <w:highlight w:val="none"/>
                <w:lang w:eastAsia="zh-CN"/>
                <w14:textFill>
                  <w14:solidFill>
                    <w14:schemeClr w14:val="tx1"/>
                  </w14:solidFill>
                </w14:textFill>
              </w:rPr>
              <w:t>年1</w:t>
            </w:r>
            <w:r>
              <w:rPr>
                <w:rFonts w:hint="eastAsia"/>
                <w:color w:val="000000" w:themeColor="text1"/>
                <w:sz w:val="24"/>
                <w:szCs w:val="32"/>
                <w:highlight w:val="none"/>
                <w:lang w:val="en-US" w:eastAsia="zh-CN"/>
                <w14:textFill>
                  <w14:solidFill>
                    <w14:schemeClr w14:val="tx1"/>
                  </w14:solidFill>
                </w14:textFill>
              </w:rPr>
              <w:t>1</w:t>
            </w:r>
            <w:r>
              <w:rPr>
                <w:rFonts w:hint="eastAsia"/>
                <w:color w:val="000000" w:themeColor="text1"/>
                <w:sz w:val="24"/>
                <w:szCs w:val="32"/>
                <w:highlight w:val="none"/>
                <w:lang w:eastAsia="zh-CN"/>
                <w14:textFill>
                  <w14:solidFill>
                    <w14:schemeClr w14:val="tx1"/>
                  </w14:solidFill>
                </w14:textFill>
              </w:rPr>
              <w:t>月，至期光子委托福建兴顺达环保科技有限公司编制</w:t>
            </w:r>
            <w:r>
              <w:rPr>
                <w:rFonts w:hint="eastAsia"/>
                <w:color w:val="000000" w:themeColor="text1"/>
                <w:sz w:val="24"/>
                <w:szCs w:val="32"/>
                <w:highlight w:val="none"/>
                <w:lang w:val="en-US" w:eastAsia="zh-CN"/>
                <w14:textFill>
                  <w14:solidFill>
                    <w14:schemeClr w14:val="tx1"/>
                  </w14:solidFill>
                </w14:textFill>
              </w:rPr>
              <w:t>完成</w:t>
            </w:r>
            <w:r>
              <w:rPr>
                <w:rFonts w:hint="eastAsia"/>
                <w:color w:val="000000" w:themeColor="text1"/>
                <w:sz w:val="24"/>
                <w:szCs w:val="32"/>
                <w:highlight w:val="none"/>
                <w:lang w:eastAsia="zh-CN"/>
                <w14:textFill>
                  <w14:solidFill>
                    <w14:schemeClr w14:val="tx1"/>
                  </w14:solidFill>
                </w14:textFill>
              </w:rPr>
              <w:t>《福建至期光子科技有限公司GE项目改造工程竣工环境保护验收监测</w:t>
            </w:r>
            <w:r>
              <w:rPr>
                <w:rFonts w:hint="eastAsia"/>
                <w:color w:val="000000" w:themeColor="text1"/>
                <w:sz w:val="24"/>
                <w:szCs w:val="32"/>
                <w:highlight w:val="none"/>
                <w:lang w:val="en-US" w:eastAsia="zh-CN"/>
                <w14:textFill>
                  <w14:solidFill>
                    <w14:schemeClr w14:val="tx1"/>
                  </w14:solidFill>
                </w14:textFill>
              </w:rPr>
              <w:t>报告</w:t>
            </w:r>
            <w:r>
              <w:rPr>
                <w:rFonts w:hint="eastAsia"/>
                <w:color w:val="000000" w:themeColor="text1"/>
                <w:sz w:val="24"/>
                <w:szCs w:val="32"/>
                <w:highlight w:val="none"/>
                <w:lang w:eastAsia="zh-CN"/>
                <w14:textFill>
                  <w14:solidFill>
                    <w14:schemeClr w14:val="tx1"/>
                  </w14:solidFill>
                </w14:textFill>
              </w:rPr>
              <w:t>表》；202</w:t>
            </w:r>
            <w:r>
              <w:rPr>
                <w:rFonts w:hint="eastAsia"/>
                <w:color w:val="000000" w:themeColor="text1"/>
                <w:sz w:val="24"/>
                <w:szCs w:val="32"/>
                <w:highlight w:val="none"/>
                <w:lang w:val="en-US" w:eastAsia="zh-CN"/>
                <w14:textFill>
                  <w14:solidFill>
                    <w14:schemeClr w14:val="tx1"/>
                  </w14:solidFill>
                </w14:textFill>
              </w:rPr>
              <w:t>5</w:t>
            </w:r>
            <w:r>
              <w:rPr>
                <w:rFonts w:hint="eastAsia"/>
                <w:color w:val="000000" w:themeColor="text1"/>
                <w:sz w:val="24"/>
                <w:szCs w:val="32"/>
                <w:highlight w:val="none"/>
                <w:lang w:eastAsia="zh-CN"/>
                <w14:textFill>
                  <w14:solidFill>
                    <w14:schemeClr w14:val="tx1"/>
                  </w14:solidFill>
                </w14:textFill>
              </w:rPr>
              <w:t>年</w:t>
            </w:r>
            <w:r>
              <w:rPr>
                <w:rFonts w:hint="eastAsia"/>
                <w:color w:val="000000" w:themeColor="text1"/>
                <w:sz w:val="24"/>
                <w:szCs w:val="32"/>
                <w:highlight w:val="none"/>
                <w:lang w:val="en-US" w:eastAsia="zh-CN"/>
                <w14:textFill>
                  <w14:solidFill>
                    <w14:schemeClr w14:val="tx1"/>
                  </w14:solidFill>
                </w14:textFill>
              </w:rPr>
              <w:t>11</w:t>
            </w:r>
            <w:r>
              <w:rPr>
                <w:rFonts w:hint="eastAsia"/>
                <w:color w:val="000000" w:themeColor="text1"/>
                <w:sz w:val="24"/>
                <w:szCs w:val="32"/>
                <w:highlight w:val="none"/>
                <w:lang w:eastAsia="zh-CN"/>
                <w14:textFill>
                  <w14:solidFill>
                    <w14:schemeClr w14:val="tx1"/>
                  </w14:solidFill>
                </w14:textFill>
              </w:rPr>
              <w:t>月</w:t>
            </w:r>
            <w:r>
              <w:rPr>
                <w:rFonts w:hint="eastAsia"/>
                <w:color w:val="000000" w:themeColor="text1"/>
                <w:sz w:val="24"/>
                <w:szCs w:val="32"/>
                <w:highlight w:val="none"/>
                <w:lang w:val="en-US" w:eastAsia="zh-CN"/>
                <w14:textFill>
                  <w14:solidFill>
                    <w14:schemeClr w14:val="tx1"/>
                  </w14:solidFill>
                </w14:textFill>
              </w:rPr>
              <w:t>15</w:t>
            </w:r>
            <w:r>
              <w:rPr>
                <w:rFonts w:hint="eastAsia"/>
                <w:color w:val="000000" w:themeColor="text1"/>
                <w:sz w:val="24"/>
                <w:szCs w:val="32"/>
                <w:highlight w:val="none"/>
                <w:lang w:eastAsia="zh-CN"/>
                <w14:textFill>
                  <w14:solidFill>
                    <w14:schemeClr w14:val="tx1"/>
                  </w14:solidFill>
                </w14:textFill>
              </w:rPr>
              <w:t>日，该项目通过验收组验收。</w:t>
            </w:r>
          </w:p>
          <w:p w14:paraId="7EBD3933">
            <w:pPr>
              <w:spacing w:line="360" w:lineRule="auto"/>
              <w:ind w:firstLine="480" w:firstLineChars="200"/>
              <w:rPr>
                <w:rFonts w:hint="default"/>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eastAsia="zh-CN"/>
                <w14:textFill>
                  <w14:solidFill>
                    <w14:schemeClr w14:val="tx1"/>
                  </w14:solidFill>
                </w14:textFill>
              </w:rPr>
              <w:t>由于公司战略规划发展需求，至期光子拟投资2</w:t>
            </w:r>
            <w:r>
              <w:rPr>
                <w:rFonts w:hint="eastAsia"/>
                <w:color w:val="000000" w:themeColor="text1"/>
                <w:sz w:val="24"/>
                <w:szCs w:val="32"/>
                <w:highlight w:val="none"/>
                <w:lang w:val="en-US" w:eastAsia="zh-CN"/>
                <w14:textFill>
                  <w14:solidFill>
                    <w14:schemeClr w14:val="tx1"/>
                  </w14:solidFill>
                </w14:textFill>
              </w:rPr>
              <w:t>0000</w:t>
            </w:r>
            <w:r>
              <w:rPr>
                <w:rFonts w:hint="eastAsia"/>
                <w:color w:val="000000" w:themeColor="text1"/>
                <w:sz w:val="24"/>
                <w:szCs w:val="32"/>
                <w:highlight w:val="none"/>
                <w:lang w:eastAsia="zh-CN"/>
                <w14:textFill>
                  <w14:solidFill>
                    <w14:schemeClr w14:val="tx1"/>
                  </w14:solidFill>
                </w14:textFill>
              </w:rPr>
              <w:t>万元，租赁福建省菲格园区开发管理有限公司</w:t>
            </w:r>
            <w:r>
              <w:rPr>
                <w:rFonts w:hint="eastAsia"/>
                <w:color w:val="000000" w:themeColor="text1"/>
                <w:sz w:val="24"/>
                <w:szCs w:val="32"/>
                <w:highlight w:val="none"/>
                <w:lang w:val="en-US" w:eastAsia="zh-CN"/>
                <w14:textFill>
                  <w14:solidFill>
                    <w14:schemeClr w14:val="tx1"/>
                  </w14:solidFill>
                </w14:textFill>
              </w:rPr>
              <w:t>1</w:t>
            </w:r>
            <w:r>
              <w:rPr>
                <w:rFonts w:hint="eastAsia"/>
                <w:color w:val="000000" w:themeColor="text1"/>
                <w:sz w:val="24"/>
                <w:szCs w:val="32"/>
                <w:highlight w:val="none"/>
                <w:lang w:eastAsia="zh-CN"/>
                <w14:textFill>
                  <w14:solidFill>
                    <w14:schemeClr w14:val="tx1"/>
                  </w14:solidFill>
                </w14:textFill>
              </w:rPr>
              <w:t>#厂房</w:t>
            </w:r>
            <w:r>
              <w:rPr>
                <w:rFonts w:hint="eastAsia"/>
                <w:color w:val="000000" w:themeColor="text1"/>
                <w:sz w:val="24"/>
                <w:szCs w:val="32"/>
                <w:highlight w:val="none"/>
                <w:lang w:val="en-US" w:eastAsia="zh-CN"/>
                <w14:textFill>
                  <w14:solidFill>
                    <w14:schemeClr w14:val="tx1"/>
                  </w14:solidFill>
                </w14:textFill>
              </w:rPr>
              <w:t>1</w:t>
            </w:r>
            <w:r>
              <w:rPr>
                <w:rFonts w:hint="eastAsia"/>
                <w:color w:val="000000" w:themeColor="text1"/>
                <w:sz w:val="24"/>
                <w:szCs w:val="32"/>
                <w:highlight w:val="none"/>
                <w:lang w:eastAsia="zh-CN"/>
                <w14:textFill>
                  <w14:solidFill>
                    <w14:schemeClr w14:val="tx1"/>
                  </w14:solidFill>
                </w14:textFill>
              </w:rPr>
              <w:t>层，建筑面积</w:t>
            </w:r>
            <w:r>
              <w:rPr>
                <w:rFonts w:hint="eastAsia"/>
                <w:color w:val="000000" w:themeColor="text1"/>
                <w:sz w:val="24"/>
                <w:szCs w:val="32"/>
                <w:highlight w:val="none"/>
                <w:lang w:val="en-US" w:eastAsia="zh-CN"/>
                <w14:textFill>
                  <w14:solidFill>
                    <w14:schemeClr w14:val="tx1"/>
                  </w14:solidFill>
                </w14:textFill>
              </w:rPr>
              <w:t>11858.28</w:t>
            </w:r>
            <w:r>
              <w:rPr>
                <w:rFonts w:hint="eastAsia"/>
                <w:color w:val="000000" w:themeColor="text1"/>
                <w:sz w:val="24"/>
                <w:szCs w:val="32"/>
                <w:highlight w:val="none"/>
                <w:lang w:eastAsia="zh-CN"/>
                <w14:textFill>
                  <w14:solidFill>
                    <w14:schemeClr w14:val="tx1"/>
                  </w14:solidFill>
                </w14:textFill>
              </w:rPr>
              <w:t>平方米，扩建</w:t>
            </w:r>
            <w:r>
              <w:rPr>
                <w:rFonts w:hint="eastAsia"/>
                <w:color w:val="000000" w:themeColor="text1"/>
                <w:sz w:val="24"/>
                <w:szCs w:val="32"/>
                <w:highlight w:val="none"/>
                <w:lang w:val="en-US" w:eastAsia="zh-CN"/>
                <w14:textFill>
                  <w14:solidFill>
                    <w14:schemeClr w14:val="tx1"/>
                  </w14:solidFill>
                </w14:textFill>
              </w:rPr>
              <w:t>超精密光学元器件生产线</w:t>
            </w:r>
            <w:r>
              <w:rPr>
                <w:rFonts w:hint="eastAsia"/>
                <w:color w:val="000000" w:themeColor="text1"/>
                <w:sz w:val="24"/>
                <w:szCs w:val="32"/>
                <w:highlight w:val="none"/>
                <w:lang w:eastAsia="zh-CN"/>
                <w14:textFill>
                  <w14:solidFill>
                    <w14:schemeClr w14:val="tx1"/>
                  </w14:solidFill>
                </w14:textFill>
              </w:rPr>
              <w:t>，年新增超精密光学元器件</w:t>
            </w:r>
            <w:r>
              <w:rPr>
                <w:rFonts w:hint="eastAsia"/>
                <w:color w:val="000000" w:themeColor="text1"/>
                <w:sz w:val="24"/>
                <w:szCs w:val="32"/>
                <w:highlight w:val="none"/>
                <w:lang w:val="en-US" w:eastAsia="zh-CN"/>
                <w14:textFill>
                  <w14:solidFill>
                    <w14:schemeClr w14:val="tx1"/>
                  </w14:solidFill>
                </w14:textFill>
              </w:rPr>
              <w:t>产能</w:t>
            </w:r>
            <w:r>
              <w:rPr>
                <w:rFonts w:hint="eastAsia"/>
                <w:color w:val="000000" w:themeColor="text1"/>
                <w:sz w:val="24"/>
                <w:szCs w:val="32"/>
                <w:highlight w:val="none"/>
                <w:lang w:eastAsia="zh-CN"/>
                <w14:textFill>
                  <w14:solidFill>
                    <w14:schemeClr w14:val="tx1"/>
                  </w14:solidFill>
                </w14:textFill>
              </w:rPr>
              <w:t>3万片。福建省菲格园区开发管理有限公司</w:t>
            </w:r>
            <w:r>
              <w:rPr>
                <w:rFonts w:hint="eastAsia"/>
                <w:color w:val="000000" w:themeColor="text1"/>
                <w:sz w:val="24"/>
                <w:szCs w:val="32"/>
                <w:highlight w:val="none"/>
                <w:lang w:val="en-US" w:eastAsia="zh-CN"/>
                <w14:textFill>
                  <w14:solidFill>
                    <w14:schemeClr w14:val="tx1"/>
                  </w14:solidFill>
                </w14:textFill>
              </w:rPr>
              <w:t>1</w:t>
            </w:r>
            <w:r>
              <w:rPr>
                <w:rFonts w:hint="eastAsia"/>
                <w:color w:val="000000" w:themeColor="text1"/>
                <w:sz w:val="24"/>
                <w:szCs w:val="32"/>
                <w:highlight w:val="none"/>
                <w:lang w:eastAsia="zh-CN"/>
                <w14:textFill>
                  <w14:solidFill>
                    <w14:schemeClr w14:val="tx1"/>
                  </w14:solidFill>
                </w14:textFill>
              </w:rPr>
              <w:t>#厂房主体均已建成，</w:t>
            </w:r>
            <w:r>
              <w:rPr>
                <w:rFonts w:hint="eastAsia"/>
                <w:color w:val="000000" w:themeColor="text1"/>
                <w:sz w:val="24"/>
                <w:szCs w:val="32"/>
                <w:highlight w:val="none"/>
                <w:lang w:val="en-US" w:eastAsia="zh-CN"/>
                <w14:textFill>
                  <w14:solidFill>
                    <w14:schemeClr w14:val="tx1"/>
                  </w14:solidFill>
                </w14:textFill>
              </w:rPr>
              <w:t>整栋现状为空置状态，无企业入驻。</w:t>
            </w:r>
          </w:p>
          <w:p w14:paraId="4D619948">
            <w:pPr>
              <w:spacing w:line="360" w:lineRule="auto"/>
              <w:ind w:firstLine="480" w:firstLineChars="200"/>
              <w:rPr>
                <w:color w:val="000000" w:themeColor="text1"/>
                <w:sz w:val="24"/>
                <w:szCs w:val="32"/>
                <w:highlight w:val="none"/>
                <w14:textFill>
                  <w14:solidFill>
                    <w14:schemeClr w14:val="tx1"/>
                  </w14:solidFill>
                </w14:textFill>
              </w:rPr>
            </w:pPr>
            <w:r>
              <w:rPr>
                <w:rFonts w:hint="eastAsia"/>
                <w:color w:val="000000" w:themeColor="text1"/>
                <w:sz w:val="24"/>
                <w:szCs w:val="32"/>
                <w:highlight w:val="none"/>
                <w14:textFill>
                  <w14:solidFill>
                    <w14:schemeClr w14:val="tx1"/>
                  </w14:solidFill>
                </w14:textFill>
              </w:rPr>
              <w:t>根据《建设项目环境保护管理条例》（国令第682号，2017年修订）、《建设项目环境影响评价分类管理名录（2021年版）》（生态环境部令第16号）等有关法律法规的规定，该项目属于《建设项目环境影响评价分类管理名录（2021年版）》中“三十六、计算机、通信和其他电子设备制造39</w:t>
            </w:r>
            <w:r>
              <w:rPr>
                <w:rFonts w:hint="eastAsia"/>
                <w:color w:val="000000" w:themeColor="text1"/>
                <w:sz w:val="24"/>
                <w:szCs w:val="32"/>
                <w:highlight w:val="none"/>
                <w:lang w:eastAsia="zh-CN"/>
                <w14:textFill>
                  <w14:solidFill>
                    <w14:schemeClr w14:val="tx1"/>
                  </w14:solidFill>
                </w14:textFill>
              </w:rPr>
              <w:t>”</w:t>
            </w:r>
            <w:r>
              <w:rPr>
                <w:rFonts w:hint="eastAsia"/>
                <w:color w:val="000000" w:themeColor="text1"/>
                <w:sz w:val="24"/>
                <w:szCs w:val="32"/>
                <w:highlight w:val="none"/>
                <w:lang w:val="en-US" w:eastAsia="zh-CN"/>
                <w14:textFill>
                  <w14:solidFill>
                    <w14:schemeClr w14:val="tx1"/>
                  </w14:solidFill>
                </w14:textFill>
              </w:rPr>
              <w:t>-“</w:t>
            </w:r>
            <w:r>
              <w:rPr>
                <w:rFonts w:hint="eastAsia"/>
                <w:color w:val="000000" w:themeColor="text1"/>
                <w:sz w:val="24"/>
                <w:szCs w:val="32"/>
                <w:highlight w:val="none"/>
                <w14:textFill>
                  <w14:solidFill>
                    <w14:schemeClr w14:val="tx1"/>
                  </w14:solidFill>
                </w14:textFill>
              </w:rPr>
              <w:t>81电子元件及电子专用材料制造398”，本项目主要从事</w:t>
            </w:r>
            <w:r>
              <w:rPr>
                <w:rFonts w:hint="eastAsia"/>
                <w:color w:val="000000" w:themeColor="text1"/>
                <w:sz w:val="24"/>
                <w:szCs w:val="32"/>
                <w:highlight w:val="none"/>
                <w:lang w:eastAsia="zh-CN"/>
                <w14:textFill>
                  <w14:solidFill>
                    <w14:schemeClr w14:val="tx1"/>
                  </w14:solidFill>
                </w14:textFill>
              </w:rPr>
              <w:t>光学元器件</w:t>
            </w:r>
            <w:r>
              <w:rPr>
                <w:rFonts w:hint="eastAsia"/>
                <w:color w:val="000000" w:themeColor="text1"/>
                <w:sz w:val="24"/>
                <w:szCs w:val="32"/>
                <w:highlight w:val="none"/>
                <w14:textFill>
                  <w14:solidFill>
                    <w14:schemeClr w14:val="tx1"/>
                  </w14:solidFill>
                </w14:textFill>
              </w:rPr>
              <w:t>生产，属于“电子专用材料制造（电子化工材料制造除外）”，</w:t>
            </w:r>
            <w:r>
              <w:rPr>
                <w:rFonts w:hint="eastAsia"/>
                <w:color w:val="000000" w:themeColor="text1"/>
                <w:sz w:val="24"/>
                <w:szCs w:val="32"/>
                <w:highlight w:val="none"/>
                <w:lang w:val="en-US" w:eastAsia="zh-CN"/>
                <w14:textFill>
                  <w14:solidFill>
                    <w14:schemeClr w14:val="tx1"/>
                  </w14:solidFill>
                </w14:textFill>
              </w:rPr>
              <w:t>应</w:t>
            </w:r>
            <w:r>
              <w:rPr>
                <w:rFonts w:hint="eastAsia"/>
                <w:color w:val="000000" w:themeColor="text1"/>
                <w:sz w:val="24"/>
                <w:szCs w:val="32"/>
                <w:highlight w:val="none"/>
                <w14:textFill>
                  <w14:solidFill>
                    <w14:schemeClr w14:val="tx1"/>
                  </w14:solidFill>
                </w14:textFill>
              </w:rPr>
              <w:t>编制环境影响报告表</w:t>
            </w:r>
            <w:r>
              <w:rPr>
                <w:rFonts w:hint="eastAsia"/>
                <w:color w:val="000000" w:themeColor="text1"/>
                <w:sz w:val="24"/>
                <w:szCs w:val="32"/>
                <w:highlight w:val="none"/>
                <w:lang w:eastAsia="zh-CN"/>
                <w14:textFill>
                  <w14:solidFill>
                    <w14:schemeClr w14:val="tx1"/>
                  </w14:solidFill>
                </w14:textFill>
              </w:rPr>
              <w:t>，</w:t>
            </w:r>
            <w:r>
              <w:rPr>
                <w:rFonts w:hint="eastAsia"/>
                <w:color w:val="000000" w:themeColor="text1"/>
                <w:sz w:val="24"/>
                <w:szCs w:val="32"/>
                <w:highlight w:val="none"/>
                <w14:textFill>
                  <w14:solidFill>
                    <w14:schemeClr w14:val="tx1"/>
                  </w14:solidFill>
                </w14:textFill>
              </w:rPr>
              <w:t>见下表。因此，</w:t>
            </w:r>
            <w:r>
              <w:rPr>
                <w:rFonts w:hint="eastAsia"/>
                <w:color w:val="000000" w:themeColor="text1"/>
                <w:sz w:val="24"/>
                <w:szCs w:val="32"/>
                <w:highlight w:val="none"/>
                <w:lang w:eastAsia="zh-CN"/>
                <w14:textFill>
                  <w14:solidFill>
                    <w14:schemeClr w14:val="tx1"/>
                  </w14:solidFill>
                </w14:textFill>
              </w:rPr>
              <w:t>福建至期光子科技有限公司</w:t>
            </w:r>
            <w:r>
              <w:rPr>
                <w:rFonts w:hint="eastAsia"/>
                <w:color w:val="000000" w:themeColor="text1"/>
                <w:sz w:val="24"/>
                <w:szCs w:val="32"/>
                <w:highlight w:val="none"/>
                <w14:textFill>
                  <w14:solidFill>
                    <w14:schemeClr w14:val="tx1"/>
                  </w14:solidFill>
                </w14:textFill>
              </w:rPr>
              <w:t>于202</w:t>
            </w:r>
            <w:r>
              <w:rPr>
                <w:rFonts w:hint="eastAsia"/>
                <w:color w:val="000000" w:themeColor="text1"/>
                <w:sz w:val="24"/>
                <w:szCs w:val="32"/>
                <w:highlight w:val="none"/>
                <w:lang w:val="en-US" w:eastAsia="zh-CN"/>
                <w14:textFill>
                  <w14:solidFill>
                    <w14:schemeClr w14:val="tx1"/>
                  </w14:solidFill>
                </w14:textFill>
              </w:rPr>
              <w:t>6</w:t>
            </w:r>
            <w:r>
              <w:rPr>
                <w:rFonts w:hint="eastAsia"/>
                <w:color w:val="000000" w:themeColor="text1"/>
                <w:sz w:val="24"/>
                <w:szCs w:val="32"/>
                <w:highlight w:val="none"/>
                <w14:textFill>
                  <w14:solidFill>
                    <w14:schemeClr w14:val="tx1"/>
                  </w14:solidFill>
                </w14:textFill>
              </w:rPr>
              <w:t>年</w:t>
            </w:r>
            <w:r>
              <w:rPr>
                <w:rFonts w:hint="eastAsia"/>
                <w:color w:val="000000" w:themeColor="text1"/>
                <w:sz w:val="24"/>
                <w:szCs w:val="32"/>
                <w:highlight w:val="none"/>
                <w:lang w:val="en-US" w:eastAsia="zh-CN"/>
                <w14:textFill>
                  <w14:solidFill>
                    <w14:schemeClr w14:val="tx1"/>
                  </w14:solidFill>
                </w14:textFill>
              </w:rPr>
              <w:t>3</w:t>
            </w:r>
            <w:r>
              <w:rPr>
                <w:rFonts w:hint="eastAsia"/>
                <w:color w:val="000000" w:themeColor="text1"/>
                <w:sz w:val="24"/>
                <w:szCs w:val="32"/>
                <w:highlight w:val="none"/>
                <w14:textFill>
                  <w14:solidFill>
                    <w14:schemeClr w14:val="tx1"/>
                  </w14:solidFill>
                </w14:textFill>
              </w:rPr>
              <w:t>月委托我司编制</w:t>
            </w:r>
            <w:r>
              <w:rPr>
                <w:rFonts w:hint="eastAsia"/>
                <w:color w:val="000000" w:themeColor="text1"/>
                <w:sz w:val="24"/>
                <w:szCs w:val="32"/>
                <w:highlight w:val="none"/>
                <w:lang w:eastAsia="zh-CN"/>
                <w14:textFill>
                  <w14:solidFill>
                    <w14:schemeClr w14:val="tx1"/>
                  </w14:solidFill>
                </w14:textFill>
              </w:rPr>
              <w:t>该</w:t>
            </w:r>
            <w:r>
              <w:rPr>
                <w:rFonts w:hint="eastAsia"/>
                <w:color w:val="000000" w:themeColor="text1"/>
                <w:sz w:val="24"/>
                <w:szCs w:val="32"/>
                <w:highlight w:val="none"/>
                <w14:textFill>
                  <w14:solidFill>
                    <w14:schemeClr w14:val="tx1"/>
                  </w14:solidFill>
                </w14:textFill>
              </w:rPr>
              <w:t>环境影响报告表</w:t>
            </w:r>
            <w:r>
              <w:rPr>
                <w:color w:val="000000" w:themeColor="text1"/>
                <w:sz w:val="24"/>
                <w:szCs w:val="32"/>
                <w:highlight w:val="none"/>
                <w14:textFill>
                  <w14:solidFill>
                    <w14:schemeClr w14:val="tx1"/>
                  </w14:solidFill>
                </w14:textFill>
              </w:rPr>
              <w:t>（委托书见附件</w:t>
            </w:r>
            <w:r>
              <w:rPr>
                <w:rFonts w:hint="eastAsia"/>
                <w:color w:val="000000" w:themeColor="text1"/>
                <w:sz w:val="24"/>
                <w:szCs w:val="32"/>
                <w:highlight w:val="none"/>
                <w:lang w:val="en-US" w:eastAsia="zh-CN"/>
                <w14:textFill>
                  <w14:solidFill>
                    <w14:schemeClr w14:val="tx1"/>
                  </w14:solidFill>
                </w14:textFill>
              </w:rPr>
              <w:t>1</w:t>
            </w:r>
            <w:r>
              <w:rPr>
                <w:color w:val="000000" w:themeColor="text1"/>
                <w:sz w:val="24"/>
                <w:szCs w:val="32"/>
                <w:highlight w:val="none"/>
                <w14:textFill>
                  <w14:solidFill>
                    <w14:schemeClr w14:val="tx1"/>
                  </w14:solidFill>
                </w14:textFill>
              </w:rPr>
              <w:t>）</w:t>
            </w:r>
            <w:r>
              <w:rPr>
                <w:rFonts w:hint="eastAsia"/>
                <w:color w:val="000000" w:themeColor="text1"/>
                <w:sz w:val="24"/>
                <w:szCs w:val="32"/>
                <w:highlight w:val="none"/>
                <w14:textFill>
                  <w14:solidFill>
                    <w14:schemeClr w14:val="tx1"/>
                  </w14:solidFill>
                </w14:textFill>
              </w:rPr>
              <w:t>。我司接受委托后，立即派技术人员踏勘现场，经资料收集与调研后，按照《建设项目环境影响报告表编制技术指南（污染影响类）（试行）》有关要求，编制了该项目环境影响报告表，供建设单位上报生态环境主管部门审批。</w:t>
            </w:r>
          </w:p>
          <w:p w14:paraId="344244C3">
            <w:pPr>
              <w:spacing w:line="360" w:lineRule="auto"/>
              <w:jc w:val="center"/>
              <w:rPr>
                <w:b/>
                <w:bCs/>
                <w:color w:val="000000" w:themeColor="text1"/>
                <w:sz w:val="32"/>
                <w:szCs w:val="24"/>
                <w:highlight w:val="none"/>
                <w14:textFill>
                  <w14:solidFill>
                    <w14:schemeClr w14:val="tx1"/>
                  </w14:solidFill>
                </w14:textFill>
              </w:rPr>
            </w:pPr>
            <w:r>
              <w:rPr>
                <w:b/>
                <w:bCs/>
                <w:color w:val="000000" w:themeColor="text1"/>
                <w:sz w:val="24"/>
                <w:szCs w:val="24"/>
                <w:highlight w:val="none"/>
                <w14:textFill>
                  <w14:solidFill>
                    <w14:schemeClr w14:val="tx1"/>
                  </w14:solidFill>
                </w14:textFill>
              </w:rPr>
              <w:t>表2</w:t>
            </w:r>
            <w:r>
              <w:rPr>
                <w:rFonts w:hint="eastAsia"/>
                <w:b/>
                <w:bCs/>
                <w:color w:val="000000" w:themeColor="text1"/>
                <w:sz w:val="24"/>
                <w:szCs w:val="24"/>
                <w:highlight w:val="none"/>
                <w:lang w:val="en-US" w:eastAsia="zh-CN"/>
                <w14:textFill>
                  <w14:solidFill>
                    <w14:schemeClr w14:val="tx1"/>
                  </w14:solidFill>
                </w14:textFill>
              </w:rPr>
              <w:t>.1</w:t>
            </w:r>
            <w:r>
              <w:rPr>
                <w:rFonts w:hint="eastAsia"/>
                <w:b/>
                <w:bCs/>
                <w:color w:val="000000" w:themeColor="text1"/>
                <w:sz w:val="24"/>
                <w:szCs w:val="24"/>
                <w:highlight w:val="none"/>
                <w14:textFill>
                  <w14:solidFill>
                    <w14:schemeClr w14:val="tx1"/>
                  </w14:solidFill>
                </w14:textFill>
              </w:rPr>
              <w:t>-1</w:t>
            </w:r>
            <w:r>
              <w:rPr>
                <w:b/>
                <w:bCs/>
                <w:color w:val="000000" w:themeColor="text1"/>
                <w:sz w:val="24"/>
                <w:szCs w:val="24"/>
                <w:highlight w:val="none"/>
                <w14:textFill>
                  <w14:solidFill>
                    <w14:schemeClr w14:val="tx1"/>
                  </w14:solidFill>
                </w14:textFill>
              </w:rPr>
              <w:t xml:space="preserve">  项目类别表</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8"/>
              <w:gridCol w:w="1246"/>
              <w:gridCol w:w="2137"/>
              <w:gridCol w:w="3393"/>
              <w:gridCol w:w="978"/>
            </w:tblGrid>
            <w:tr w14:paraId="67674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66" w:type="pct"/>
                  <w:gridSpan w:val="2"/>
                  <w:tcBorders>
                    <w:tl2br w:val="single" w:color="auto" w:sz="4" w:space="0"/>
                  </w:tcBorders>
                  <w:shd w:val="clear" w:color="auto" w:fill="auto"/>
                  <w:vAlign w:val="center"/>
                </w:tcPr>
                <w:p w14:paraId="6D54AC01">
                  <w:pPr>
                    <w:jc w:val="right"/>
                    <w:rPr>
                      <w:color w:val="000000" w:themeColor="text1"/>
                      <w:sz w:val="21"/>
                      <w:szCs w:val="32"/>
                      <w:highlight w:val="none"/>
                      <w14:textFill>
                        <w14:solidFill>
                          <w14:schemeClr w14:val="tx1"/>
                        </w14:solidFill>
                      </w14:textFill>
                    </w:rPr>
                  </w:pPr>
                  <w:r>
                    <w:rPr>
                      <w:color w:val="000000" w:themeColor="text1"/>
                      <w:sz w:val="21"/>
                      <w:szCs w:val="32"/>
                      <w:highlight w:val="none"/>
                      <w14:textFill>
                        <w14:solidFill>
                          <w14:schemeClr w14:val="tx1"/>
                        </w14:solidFill>
                      </w14:textFill>
                    </w:rPr>
                    <w:t>环评类别</w:t>
                  </w:r>
                </w:p>
                <w:p w14:paraId="645780EC">
                  <w:pPr>
                    <w:rPr>
                      <w:color w:val="000000" w:themeColor="text1"/>
                      <w:sz w:val="21"/>
                      <w:szCs w:val="32"/>
                      <w:highlight w:val="none"/>
                      <w14:textFill>
                        <w14:solidFill>
                          <w14:schemeClr w14:val="tx1"/>
                        </w14:solidFill>
                      </w14:textFill>
                    </w:rPr>
                  </w:pPr>
                  <w:r>
                    <w:rPr>
                      <w:color w:val="000000" w:themeColor="text1"/>
                      <w:sz w:val="21"/>
                      <w:szCs w:val="32"/>
                      <w:highlight w:val="none"/>
                      <w14:textFill>
                        <w14:solidFill>
                          <w14:schemeClr w14:val="tx1"/>
                        </w14:solidFill>
                      </w14:textFill>
                    </w:rPr>
                    <w:t>项目类别</w:t>
                  </w:r>
                </w:p>
              </w:tc>
              <w:tc>
                <w:tcPr>
                  <w:tcW w:w="1292" w:type="pct"/>
                  <w:shd w:val="clear" w:color="auto" w:fill="auto"/>
                  <w:vAlign w:val="center"/>
                </w:tcPr>
                <w:p w14:paraId="0BF9C091">
                  <w:pPr>
                    <w:jc w:val="center"/>
                    <w:rPr>
                      <w:color w:val="000000" w:themeColor="text1"/>
                      <w:sz w:val="21"/>
                      <w:szCs w:val="32"/>
                      <w:highlight w:val="none"/>
                      <w14:textFill>
                        <w14:solidFill>
                          <w14:schemeClr w14:val="tx1"/>
                        </w14:solidFill>
                      </w14:textFill>
                    </w:rPr>
                  </w:pPr>
                  <w:r>
                    <w:rPr>
                      <w:color w:val="000000" w:themeColor="text1"/>
                      <w:sz w:val="21"/>
                      <w:szCs w:val="32"/>
                      <w:highlight w:val="none"/>
                      <w14:textFill>
                        <w14:solidFill>
                          <w14:schemeClr w14:val="tx1"/>
                        </w14:solidFill>
                      </w14:textFill>
                    </w:rPr>
                    <w:t>报告书</w:t>
                  </w:r>
                </w:p>
              </w:tc>
              <w:tc>
                <w:tcPr>
                  <w:tcW w:w="2051" w:type="pct"/>
                  <w:shd w:val="clear" w:color="auto" w:fill="auto"/>
                  <w:vAlign w:val="center"/>
                </w:tcPr>
                <w:p w14:paraId="075D448F">
                  <w:pPr>
                    <w:jc w:val="center"/>
                    <w:rPr>
                      <w:color w:val="000000" w:themeColor="text1"/>
                      <w:sz w:val="21"/>
                      <w:szCs w:val="32"/>
                      <w:highlight w:val="none"/>
                      <w14:textFill>
                        <w14:solidFill>
                          <w14:schemeClr w14:val="tx1"/>
                        </w14:solidFill>
                      </w14:textFill>
                    </w:rPr>
                  </w:pPr>
                  <w:r>
                    <w:rPr>
                      <w:b/>
                      <w:bCs/>
                      <w:color w:val="000000" w:themeColor="text1"/>
                      <w:sz w:val="21"/>
                      <w:szCs w:val="32"/>
                      <w:highlight w:val="none"/>
                      <w14:textFill>
                        <w14:solidFill>
                          <w14:schemeClr w14:val="tx1"/>
                        </w14:solidFill>
                      </w14:textFill>
                    </w:rPr>
                    <w:t>报告表</w:t>
                  </w:r>
                </w:p>
              </w:tc>
              <w:tc>
                <w:tcPr>
                  <w:tcW w:w="588" w:type="pct"/>
                  <w:shd w:val="clear" w:color="auto" w:fill="auto"/>
                  <w:vAlign w:val="center"/>
                </w:tcPr>
                <w:p w14:paraId="201BD92C">
                  <w:pPr>
                    <w:jc w:val="center"/>
                    <w:rPr>
                      <w:color w:val="000000" w:themeColor="text1"/>
                      <w:sz w:val="21"/>
                      <w:szCs w:val="32"/>
                      <w:highlight w:val="none"/>
                      <w14:textFill>
                        <w14:solidFill>
                          <w14:schemeClr w14:val="tx1"/>
                        </w14:solidFill>
                      </w14:textFill>
                    </w:rPr>
                  </w:pPr>
                  <w:r>
                    <w:rPr>
                      <w:color w:val="000000" w:themeColor="text1"/>
                      <w:sz w:val="21"/>
                      <w:szCs w:val="32"/>
                      <w:highlight w:val="none"/>
                      <w14:textFill>
                        <w14:solidFill>
                          <w14:schemeClr w14:val="tx1"/>
                        </w14:solidFill>
                      </w14:textFill>
                    </w:rPr>
                    <w:t>登记表</w:t>
                  </w:r>
                </w:p>
              </w:tc>
            </w:tr>
            <w:tr w14:paraId="5F343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5"/>
                  <w:shd w:val="clear" w:color="auto" w:fill="auto"/>
                  <w:vAlign w:val="center"/>
                </w:tcPr>
                <w:p w14:paraId="7F5446FC">
                  <w:pPr>
                    <w:jc w:val="both"/>
                    <w:rPr>
                      <w:color w:val="000000" w:themeColor="text1"/>
                      <w:sz w:val="21"/>
                      <w:szCs w:val="32"/>
                      <w:highlight w:val="none"/>
                      <w14:textFill>
                        <w14:solidFill>
                          <w14:schemeClr w14:val="tx1"/>
                        </w14:solidFill>
                      </w14:textFill>
                    </w:rPr>
                  </w:pPr>
                  <w:r>
                    <w:rPr>
                      <w:color w:val="000000" w:themeColor="text1"/>
                      <w:sz w:val="21"/>
                      <w:szCs w:val="32"/>
                      <w:highlight w:val="none"/>
                      <w14:textFill>
                        <w14:solidFill>
                          <w14:schemeClr w14:val="tx1"/>
                        </w14:solidFill>
                      </w14:textFill>
                    </w:rPr>
                    <w:t>三十六、计算机、通信和其他电子设备制造39</w:t>
                  </w:r>
                </w:p>
              </w:tc>
            </w:tr>
            <w:tr w14:paraId="2D785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3" w:type="pct"/>
                  <w:shd w:val="clear" w:color="auto" w:fill="auto"/>
                  <w:vAlign w:val="center"/>
                </w:tcPr>
                <w:p w14:paraId="71767848">
                  <w:pPr>
                    <w:jc w:val="center"/>
                    <w:rPr>
                      <w:rFonts w:hint="default"/>
                      <w:color w:val="000000" w:themeColor="text1"/>
                      <w:sz w:val="21"/>
                      <w:szCs w:val="32"/>
                      <w:highlight w:val="none"/>
                      <w:lang w:val="en-US"/>
                      <w14:textFill>
                        <w14:solidFill>
                          <w14:schemeClr w14:val="tx1"/>
                        </w14:solidFill>
                      </w14:textFill>
                    </w:rPr>
                  </w:pPr>
                  <w:r>
                    <w:rPr>
                      <w:rFonts w:hint="eastAsia"/>
                      <w:color w:val="000000" w:themeColor="text1"/>
                      <w:sz w:val="21"/>
                      <w:szCs w:val="32"/>
                      <w:highlight w:val="none"/>
                      <w:lang w:val="en-US" w:eastAsia="zh-CN"/>
                      <w14:textFill>
                        <w14:solidFill>
                          <w14:schemeClr w14:val="tx1"/>
                        </w14:solidFill>
                      </w14:textFill>
                    </w:rPr>
                    <w:t>81</w:t>
                  </w:r>
                </w:p>
              </w:tc>
              <w:tc>
                <w:tcPr>
                  <w:tcW w:w="753" w:type="pct"/>
                  <w:shd w:val="clear" w:color="auto" w:fill="auto"/>
                  <w:vAlign w:val="center"/>
                </w:tcPr>
                <w:p w14:paraId="208826BE">
                  <w:pPr>
                    <w:jc w:val="center"/>
                    <w:rPr>
                      <w:rFonts w:hint="eastAsia"/>
                      <w:color w:val="000000" w:themeColor="text1"/>
                      <w:sz w:val="21"/>
                      <w:szCs w:val="32"/>
                      <w:highlight w:val="none"/>
                      <w:lang w:val="en-US" w:eastAsia="zh-CN"/>
                      <w14:textFill>
                        <w14:solidFill>
                          <w14:schemeClr w14:val="tx1"/>
                        </w14:solidFill>
                      </w14:textFill>
                    </w:rPr>
                  </w:pPr>
                  <w:r>
                    <w:rPr>
                      <w:rFonts w:hint="eastAsia"/>
                      <w:color w:val="000000" w:themeColor="text1"/>
                      <w:sz w:val="21"/>
                      <w:szCs w:val="32"/>
                      <w:highlight w:val="none"/>
                      <w:lang w:val="en-US" w:eastAsia="zh-CN"/>
                      <w14:textFill>
                        <w14:solidFill>
                          <w14:schemeClr w14:val="tx1"/>
                        </w14:solidFill>
                      </w14:textFill>
                    </w:rPr>
                    <w:t>电子元件及电子专用材料制造398</w:t>
                  </w:r>
                </w:p>
              </w:tc>
              <w:tc>
                <w:tcPr>
                  <w:tcW w:w="1292" w:type="pct"/>
                  <w:shd w:val="clear" w:color="auto" w:fill="auto"/>
                  <w:vAlign w:val="center"/>
                </w:tcPr>
                <w:p w14:paraId="68F167FA">
                  <w:pPr>
                    <w:jc w:val="center"/>
                    <w:rPr>
                      <w:color w:val="000000" w:themeColor="text1"/>
                      <w:sz w:val="21"/>
                      <w:szCs w:val="32"/>
                      <w:highlight w:val="none"/>
                      <w14:textFill>
                        <w14:solidFill>
                          <w14:schemeClr w14:val="tx1"/>
                        </w14:solidFill>
                      </w14:textFill>
                    </w:rPr>
                  </w:pPr>
                  <w:r>
                    <w:rPr>
                      <w:rFonts w:hint="eastAsia"/>
                      <w:color w:val="000000" w:themeColor="text1"/>
                      <w:sz w:val="21"/>
                      <w:szCs w:val="32"/>
                      <w:highlight w:val="none"/>
                      <w14:textFill>
                        <w14:solidFill>
                          <w14:schemeClr w14:val="tx1"/>
                        </w14:solidFill>
                      </w14:textFill>
                    </w:rPr>
                    <w:t>半导体材料制造</w:t>
                  </w:r>
                  <w:r>
                    <w:rPr>
                      <w:rFonts w:hint="eastAsia"/>
                      <w:color w:val="000000" w:themeColor="text1"/>
                      <w:sz w:val="21"/>
                      <w:szCs w:val="32"/>
                      <w:highlight w:val="none"/>
                      <w:lang w:eastAsia="zh-CN"/>
                      <w14:textFill>
                        <w14:solidFill>
                          <w14:schemeClr w14:val="tx1"/>
                        </w14:solidFill>
                      </w14:textFill>
                    </w:rPr>
                    <w:t>；</w:t>
                  </w:r>
                  <w:r>
                    <w:rPr>
                      <w:rFonts w:hint="eastAsia"/>
                      <w:color w:val="000000" w:themeColor="text1"/>
                      <w:sz w:val="21"/>
                      <w:szCs w:val="32"/>
                      <w:highlight w:val="none"/>
                      <w14:textFill>
                        <w14:solidFill>
                          <w14:schemeClr w14:val="tx1"/>
                        </w14:solidFill>
                      </w14:textFill>
                    </w:rPr>
                    <w:t>电子化工材料制造</w:t>
                  </w:r>
                </w:p>
              </w:tc>
              <w:tc>
                <w:tcPr>
                  <w:tcW w:w="2051" w:type="pct"/>
                  <w:shd w:val="clear" w:color="auto" w:fill="auto"/>
                  <w:vAlign w:val="center"/>
                </w:tcPr>
                <w:p w14:paraId="03700CE4">
                  <w:pPr>
                    <w:jc w:val="both"/>
                    <w:rPr>
                      <w:rFonts w:hint="eastAsia"/>
                      <w:color w:val="000000" w:themeColor="text1"/>
                      <w:sz w:val="21"/>
                      <w:szCs w:val="32"/>
                      <w:highlight w:val="none"/>
                      <w14:textFill>
                        <w14:solidFill>
                          <w14:schemeClr w14:val="tx1"/>
                        </w14:solidFill>
                      </w14:textFill>
                    </w:rPr>
                  </w:pPr>
                  <w:r>
                    <w:rPr>
                      <w:rFonts w:hint="eastAsia"/>
                      <w:color w:val="000000" w:themeColor="text1"/>
                      <w:sz w:val="21"/>
                      <w:szCs w:val="32"/>
                      <w:highlight w:val="none"/>
                      <w14:textFill>
                        <w14:solidFill>
                          <w14:schemeClr w14:val="tx1"/>
                        </w14:solidFill>
                      </w14:textFill>
                    </w:rPr>
                    <w:t>印刷电路板制造</w:t>
                  </w:r>
                  <w:r>
                    <w:rPr>
                      <w:rFonts w:hint="eastAsia"/>
                      <w:color w:val="000000" w:themeColor="text1"/>
                      <w:sz w:val="21"/>
                      <w:szCs w:val="32"/>
                      <w:highlight w:val="none"/>
                      <w:lang w:eastAsia="zh-CN"/>
                      <w14:textFill>
                        <w14:solidFill>
                          <w14:schemeClr w14:val="tx1"/>
                        </w14:solidFill>
                      </w14:textFill>
                    </w:rPr>
                    <w:t>；</w:t>
                  </w:r>
                  <w:r>
                    <w:rPr>
                      <w:rFonts w:hint="eastAsia"/>
                      <w:color w:val="000000" w:themeColor="text1"/>
                      <w:sz w:val="21"/>
                      <w:szCs w:val="32"/>
                      <w:highlight w:val="none"/>
                      <w14:textFill>
                        <w14:solidFill>
                          <w14:schemeClr w14:val="tx1"/>
                        </w14:solidFill>
                      </w14:textFill>
                    </w:rPr>
                    <w:t>电子专用材料制造(电子化工材料制造除外)</w:t>
                  </w:r>
                  <w:r>
                    <w:rPr>
                      <w:rFonts w:hint="eastAsia"/>
                      <w:color w:val="000000" w:themeColor="text1"/>
                      <w:sz w:val="21"/>
                      <w:szCs w:val="32"/>
                      <w:highlight w:val="none"/>
                      <w:lang w:eastAsia="zh-CN"/>
                      <w14:textFill>
                        <w14:solidFill>
                          <w14:schemeClr w14:val="tx1"/>
                        </w14:solidFill>
                      </w14:textFill>
                    </w:rPr>
                    <w:t>；</w:t>
                  </w:r>
                  <w:r>
                    <w:rPr>
                      <w:rFonts w:hint="eastAsia"/>
                      <w:color w:val="000000" w:themeColor="text1"/>
                      <w:sz w:val="21"/>
                      <w:szCs w:val="32"/>
                      <w:highlight w:val="none"/>
                      <w14:textFill>
                        <w14:solidFill>
                          <w14:schemeClr w14:val="tx1"/>
                        </w14:solidFill>
                      </w14:textFill>
                    </w:rPr>
                    <w:t>使用有机溶剂的</w:t>
                  </w:r>
                  <w:r>
                    <w:rPr>
                      <w:rFonts w:hint="eastAsia"/>
                      <w:color w:val="000000" w:themeColor="text1"/>
                      <w:sz w:val="21"/>
                      <w:szCs w:val="32"/>
                      <w:highlight w:val="none"/>
                      <w:lang w:eastAsia="zh-CN"/>
                      <w14:textFill>
                        <w14:solidFill>
                          <w14:schemeClr w14:val="tx1"/>
                        </w14:solidFill>
                      </w14:textFill>
                    </w:rPr>
                    <w:t>；</w:t>
                  </w:r>
                  <w:r>
                    <w:rPr>
                      <w:rFonts w:hint="eastAsia"/>
                      <w:color w:val="000000" w:themeColor="text1"/>
                      <w:sz w:val="21"/>
                      <w:szCs w:val="32"/>
                      <w:highlight w:val="none"/>
                      <w14:textFill>
                        <w14:solidFill>
                          <w14:schemeClr w14:val="tx1"/>
                        </w14:solidFill>
                      </w14:textFill>
                    </w:rPr>
                    <w:t>有酸洗的</w:t>
                  </w:r>
                </w:p>
                <w:p w14:paraId="102ECB8C">
                  <w:pPr>
                    <w:jc w:val="both"/>
                    <w:rPr>
                      <w:color w:val="000000" w:themeColor="text1"/>
                      <w:sz w:val="21"/>
                      <w:szCs w:val="32"/>
                      <w:highlight w:val="none"/>
                      <w14:textFill>
                        <w14:solidFill>
                          <w14:schemeClr w14:val="tx1"/>
                        </w14:solidFill>
                      </w14:textFill>
                    </w:rPr>
                  </w:pPr>
                  <w:r>
                    <w:rPr>
                      <w:rFonts w:hint="eastAsia"/>
                      <w:color w:val="000000" w:themeColor="text1"/>
                      <w:sz w:val="21"/>
                      <w:szCs w:val="32"/>
                      <w:highlight w:val="none"/>
                      <w14:textFill>
                        <w14:solidFill>
                          <w14:schemeClr w14:val="tx1"/>
                        </w14:solidFill>
                      </w14:textFill>
                    </w:rPr>
                    <w:t>以上均不含仅分割、焊接、组装的</w:t>
                  </w:r>
                </w:p>
              </w:tc>
              <w:tc>
                <w:tcPr>
                  <w:tcW w:w="588" w:type="pct"/>
                  <w:shd w:val="clear" w:color="auto" w:fill="auto"/>
                  <w:vAlign w:val="center"/>
                </w:tcPr>
                <w:p w14:paraId="6E4378A6">
                  <w:pPr>
                    <w:jc w:val="center"/>
                    <w:rPr>
                      <w:color w:val="000000" w:themeColor="text1"/>
                      <w:sz w:val="21"/>
                      <w:szCs w:val="32"/>
                      <w:highlight w:val="none"/>
                      <w14:textFill>
                        <w14:solidFill>
                          <w14:schemeClr w14:val="tx1"/>
                        </w14:solidFill>
                      </w14:textFill>
                    </w:rPr>
                  </w:pPr>
                  <w:r>
                    <w:rPr>
                      <w:color w:val="000000" w:themeColor="text1"/>
                      <w:sz w:val="21"/>
                      <w:szCs w:val="32"/>
                      <w:highlight w:val="none"/>
                      <w14:textFill>
                        <w14:solidFill>
                          <w14:schemeClr w14:val="tx1"/>
                        </w14:solidFill>
                      </w14:textFill>
                    </w:rPr>
                    <w:t>/</w:t>
                  </w:r>
                </w:p>
              </w:tc>
            </w:tr>
          </w:tbl>
          <w:p w14:paraId="174E0CD1">
            <w:pPr>
              <w:pStyle w:val="37"/>
              <w:rPr>
                <w:rFonts w:hint="eastAsia" w:eastAsia="黑体"/>
                <w:b w:val="0"/>
                <w:color w:val="000000" w:themeColor="text1"/>
                <w:sz w:val="24"/>
                <w:szCs w:val="21"/>
                <w:highlight w:val="none"/>
                <w:lang w:val="en-US" w:eastAsia="zh-CN"/>
                <w14:textFill>
                  <w14:solidFill>
                    <w14:schemeClr w14:val="tx1"/>
                  </w14:solidFill>
                </w14:textFill>
              </w:rPr>
            </w:pPr>
            <w:r>
              <w:rPr>
                <w:b w:val="0"/>
                <w:color w:val="000000" w:themeColor="text1"/>
                <w:sz w:val="24"/>
                <w:szCs w:val="21"/>
                <w:highlight w:val="none"/>
                <w14:textFill>
                  <w14:solidFill>
                    <w14:schemeClr w14:val="tx1"/>
                  </w14:solidFill>
                </w14:textFill>
              </w:rPr>
              <w:t xml:space="preserve">2.2 </w:t>
            </w:r>
            <w:r>
              <w:rPr>
                <w:rFonts w:hint="eastAsia"/>
                <w:b w:val="0"/>
                <w:color w:val="000000" w:themeColor="text1"/>
                <w:sz w:val="24"/>
                <w:szCs w:val="21"/>
                <w:highlight w:val="none"/>
                <w14:textFill>
                  <w14:solidFill>
                    <w14:schemeClr w14:val="tx1"/>
                  </w14:solidFill>
                </w14:textFill>
              </w:rPr>
              <w:t>工程</w:t>
            </w:r>
            <w:r>
              <w:rPr>
                <w:rFonts w:hint="eastAsia"/>
                <w:b w:val="0"/>
                <w:color w:val="000000" w:themeColor="text1"/>
                <w:sz w:val="24"/>
                <w:szCs w:val="21"/>
                <w:highlight w:val="none"/>
                <w:lang w:val="en-US" w:eastAsia="zh-CN"/>
                <w14:textFill>
                  <w14:solidFill>
                    <w14:schemeClr w14:val="tx1"/>
                  </w14:solidFill>
                </w14:textFill>
              </w:rPr>
              <w:t>概况</w:t>
            </w:r>
          </w:p>
          <w:p w14:paraId="03866308">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2.2.1现有工程概况</w:t>
            </w:r>
          </w:p>
          <w:p w14:paraId="33023602">
            <w:pPr>
              <w:spacing w:line="360" w:lineRule="auto"/>
              <w:ind w:firstLine="480" w:firstLineChars="200"/>
              <w:rPr>
                <w:rFonts w:hint="default"/>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（一）一期工程</w:t>
            </w:r>
          </w:p>
          <w:p w14:paraId="71CB952A">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（1）项目名称：超精密核心光学及晶体元器件生产项目</w:t>
            </w:r>
          </w:p>
          <w:p w14:paraId="7FB5D2D2">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（2）建设地点：福州市高新区南屿镇窗厦村尧溪路3号2#厂房1层</w:t>
            </w:r>
          </w:p>
          <w:p w14:paraId="255C7E4A">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（3）项目总投资：**万元</w:t>
            </w:r>
          </w:p>
          <w:p w14:paraId="5636464A">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（4）建筑面积：10209.07m</w:t>
            </w:r>
            <w:r>
              <w:rPr>
                <w:rFonts w:hint="eastAsia"/>
                <w:color w:val="000000" w:themeColor="text1"/>
                <w:sz w:val="24"/>
                <w:szCs w:val="32"/>
                <w:highlight w:val="none"/>
                <w:vertAlign w:val="superscript"/>
                <w:lang w:val="en-US" w:eastAsia="zh-CN"/>
                <w14:textFill>
                  <w14:solidFill>
                    <w14:schemeClr w14:val="tx1"/>
                  </w14:solidFill>
                </w14:textFill>
              </w:rPr>
              <w:t>2</w:t>
            </w:r>
          </w:p>
          <w:p w14:paraId="1D36A682">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（5）生产规模：年产超精密核心光学及晶体元器件10万片</w:t>
            </w:r>
          </w:p>
          <w:p w14:paraId="3A8CED17">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（6）职工人数：新增职工人数90人，均不在厂区内进行食宿</w:t>
            </w:r>
          </w:p>
          <w:p w14:paraId="3BA142EE">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（7）工作制度：年工作日250天，单班制，每班8h/d</w:t>
            </w:r>
          </w:p>
          <w:p w14:paraId="6708C18C">
            <w:pPr>
              <w:spacing w:line="360" w:lineRule="auto"/>
              <w:ind w:firstLine="480" w:firstLineChars="200"/>
              <w:rPr>
                <w:rFonts w:hint="default"/>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（二）二期工程</w:t>
            </w:r>
          </w:p>
          <w:p w14:paraId="0BCD0A83">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（1）项目名称：GE项目改造工程</w:t>
            </w:r>
          </w:p>
          <w:p w14:paraId="04B095D0">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（2）建设地点：福州市高新区南屿镇窗厦村尧溪路3号2#厂房2层</w:t>
            </w:r>
          </w:p>
          <w:p w14:paraId="0B42CC8A">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（3）项目总投资：**万元</w:t>
            </w:r>
          </w:p>
          <w:p w14:paraId="27C9603A">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（4）建筑面积：9632.52m</w:t>
            </w:r>
            <w:r>
              <w:rPr>
                <w:rFonts w:hint="eastAsia"/>
                <w:color w:val="000000" w:themeColor="text1"/>
                <w:sz w:val="24"/>
                <w:szCs w:val="32"/>
                <w:highlight w:val="none"/>
                <w:vertAlign w:val="superscript"/>
                <w:lang w:val="en-US" w:eastAsia="zh-CN"/>
                <w14:textFill>
                  <w14:solidFill>
                    <w14:schemeClr w14:val="tx1"/>
                  </w14:solidFill>
                </w14:textFill>
              </w:rPr>
              <w:t>2</w:t>
            </w:r>
          </w:p>
          <w:p w14:paraId="6230C4B9">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（5）生产规模：年产晶体元器件12万片</w:t>
            </w:r>
          </w:p>
          <w:p w14:paraId="1C121F5C">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（6）职工人数：新增职工人数160人，均不在厂区内进行食宿</w:t>
            </w:r>
          </w:p>
          <w:p w14:paraId="19A8B19D">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（7）工作制度：年工作日250天，单班制，每班8h/d</w:t>
            </w:r>
          </w:p>
          <w:p w14:paraId="67637563">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2.2.2本项目基本概况</w:t>
            </w:r>
          </w:p>
          <w:p w14:paraId="2CB04DDA">
            <w:pPr>
              <w:spacing w:line="360" w:lineRule="auto"/>
              <w:ind w:firstLine="480" w:firstLineChars="200"/>
              <w:rPr>
                <w:rFonts w:hint="default"/>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根据项目备案表，本项目概况如下：</w:t>
            </w:r>
          </w:p>
          <w:p w14:paraId="5A532B1F">
            <w:pPr>
              <w:spacing w:line="360" w:lineRule="auto"/>
              <w:ind w:firstLine="480" w:firstLineChars="200"/>
              <w:rPr>
                <w:rFonts w:hint="default"/>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（1）项目名称：至期超精密光学元器件研发生产基地项目(三期)</w:t>
            </w:r>
          </w:p>
          <w:p w14:paraId="1889AD11">
            <w:pPr>
              <w:spacing w:line="360" w:lineRule="auto"/>
              <w:ind w:firstLine="480" w:firstLineChars="200"/>
              <w:rPr>
                <w:rFonts w:hint="eastAsia" w:eastAsia="宋体"/>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（2）建设单位：</w:t>
            </w:r>
            <w:r>
              <w:rPr>
                <w:rFonts w:hint="eastAsia"/>
                <w:color w:val="000000" w:themeColor="text1"/>
                <w:sz w:val="24"/>
                <w:szCs w:val="32"/>
                <w:highlight w:val="none"/>
                <w:lang w:eastAsia="zh-CN"/>
                <w14:textFill>
                  <w14:solidFill>
                    <w14:schemeClr w14:val="tx1"/>
                  </w14:solidFill>
                </w14:textFill>
              </w:rPr>
              <w:t>福建至期光子科技有限公司</w:t>
            </w:r>
          </w:p>
          <w:p w14:paraId="4F58D6B7">
            <w:pPr>
              <w:spacing w:line="360" w:lineRule="auto"/>
              <w:ind w:firstLine="480" w:firstLineChars="200"/>
              <w:rPr>
                <w:rFonts w:hint="default"/>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（3）建设地点：租赁</w:t>
            </w:r>
            <w:r>
              <w:rPr>
                <w:rFonts w:hint="eastAsia"/>
                <w:color w:val="000000" w:themeColor="text1"/>
                <w:sz w:val="24"/>
                <w:szCs w:val="24"/>
                <w:highlight w:val="none"/>
                <w:lang w:val="en-US" w:eastAsia="zh-CN"/>
                <w14:textFill>
                  <w14:solidFill>
                    <w14:schemeClr w14:val="tx1"/>
                  </w14:solidFill>
                </w14:textFill>
              </w:rPr>
              <w:t>福州市闽侯县南屿镇窗厦村尧溪路3号1#厂房1层，地理位置图见附图1</w:t>
            </w:r>
          </w:p>
          <w:p w14:paraId="7FAE06BA">
            <w:pPr>
              <w:spacing w:line="360" w:lineRule="auto"/>
              <w:ind w:firstLine="480" w:firstLineChars="200"/>
              <w:rPr>
                <w:rFonts w:hint="default"/>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（4）项目总投资：**万元</w:t>
            </w:r>
          </w:p>
          <w:p w14:paraId="610F668D">
            <w:pPr>
              <w:spacing w:line="360" w:lineRule="auto"/>
              <w:ind w:firstLine="480" w:firstLineChars="200"/>
              <w:rPr>
                <w:rFonts w:hint="default"/>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（5）建筑面积：</w:t>
            </w:r>
            <w:r>
              <w:rPr>
                <w:rFonts w:hint="eastAsia"/>
                <w:color w:val="000000" w:themeColor="text1"/>
                <w:sz w:val="24"/>
                <w:szCs w:val="24"/>
                <w:highlight w:val="none"/>
                <w:lang w:val="en-US" w:eastAsia="zh-CN"/>
                <w14:textFill>
                  <w14:solidFill>
                    <w14:schemeClr w14:val="tx1"/>
                  </w14:solidFill>
                </w14:textFill>
              </w:rPr>
              <w:t>11858.28m</w:t>
            </w:r>
            <w:r>
              <w:rPr>
                <w:rFonts w:hint="eastAsia"/>
                <w:color w:val="000000" w:themeColor="text1"/>
                <w:sz w:val="24"/>
                <w:szCs w:val="24"/>
                <w:highlight w:val="none"/>
                <w:vertAlign w:val="superscript"/>
                <w:lang w:val="en-US" w:eastAsia="zh-CN"/>
                <w14:textFill>
                  <w14:solidFill>
                    <w14:schemeClr w14:val="tx1"/>
                  </w14:solidFill>
                </w14:textFill>
              </w:rPr>
              <w:t>2</w:t>
            </w:r>
          </w:p>
          <w:p w14:paraId="5909866F">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（6）生产规模：年新增超精密光学元器件产能3万片</w:t>
            </w:r>
          </w:p>
          <w:p w14:paraId="35DBE7B3">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（7）职工人数：新增职工人数150人，均不在厂区内进行食宿</w:t>
            </w:r>
          </w:p>
          <w:p w14:paraId="77E8214E">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（8）工作制度：年工作日250天，单班制，每班8h/d</w:t>
            </w:r>
          </w:p>
          <w:p w14:paraId="3B9B0D29">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2.2.3项目产品方案</w:t>
            </w:r>
          </w:p>
          <w:p w14:paraId="52CAFEE0">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根据建设单位提供资料，拟扩建项目主要从事光学元器件生产，年产光学元器件3万片，项目具体产品方案详见下表。</w:t>
            </w:r>
          </w:p>
          <w:p w14:paraId="4AA09B24">
            <w:pPr>
              <w:spacing w:line="360" w:lineRule="auto"/>
              <w:jc w:val="center"/>
              <w:rPr>
                <w:b/>
                <w:bCs/>
                <w:color w:val="000000" w:themeColor="text1"/>
                <w:sz w:val="24"/>
                <w:szCs w:val="24"/>
                <w:highlight w:val="none"/>
                <w14:textFill>
                  <w14:solidFill>
                    <w14:schemeClr w14:val="tx1"/>
                  </w14:solidFill>
                </w14:textFill>
              </w:rPr>
            </w:pPr>
            <w:r>
              <w:rPr>
                <w:b/>
                <w:bCs/>
                <w:color w:val="000000" w:themeColor="text1"/>
                <w:sz w:val="24"/>
                <w:szCs w:val="24"/>
                <w:highlight w:val="none"/>
                <w14:textFill>
                  <w14:solidFill>
                    <w14:schemeClr w14:val="tx1"/>
                  </w14:solidFill>
                </w14:textFill>
              </w:rPr>
              <w:t>表2</w:t>
            </w:r>
            <w:r>
              <w:rPr>
                <w:rFonts w:hint="eastAsia"/>
                <w:b/>
                <w:bCs/>
                <w:color w:val="000000" w:themeColor="text1"/>
                <w:sz w:val="24"/>
                <w:szCs w:val="24"/>
                <w:highlight w:val="none"/>
                <w:lang w:val="en-US" w:eastAsia="zh-CN"/>
                <w14:textFill>
                  <w14:solidFill>
                    <w14:schemeClr w14:val="tx1"/>
                  </w14:solidFill>
                </w14:textFill>
              </w:rPr>
              <w:t>.2</w:t>
            </w:r>
            <w:r>
              <w:rPr>
                <w:rFonts w:hint="eastAsia"/>
                <w:b/>
                <w:bCs/>
                <w:color w:val="000000" w:themeColor="text1"/>
                <w:sz w:val="24"/>
                <w:szCs w:val="24"/>
                <w:highlight w:val="none"/>
                <w14:textFill>
                  <w14:solidFill>
                    <w14:schemeClr w14:val="tx1"/>
                  </w14:solidFill>
                </w14:textFill>
              </w:rPr>
              <w:t>-</w:t>
            </w:r>
            <w:r>
              <w:rPr>
                <w:rFonts w:hint="eastAsia"/>
                <w:b/>
                <w:bCs/>
                <w:color w:val="000000" w:themeColor="text1"/>
                <w:sz w:val="24"/>
                <w:szCs w:val="24"/>
                <w:highlight w:val="none"/>
                <w:lang w:val="en-US" w:eastAsia="zh-CN"/>
                <w14:textFill>
                  <w14:solidFill>
                    <w14:schemeClr w14:val="tx1"/>
                  </w14:solidFill>
                </w14:textFill>
              </w:rPr>
              <w:t>1</w:t>
            </w:r>
            <w:r>
              <w:rPr>
                <w:b/>
                <w:bCs/>
                <w:color w:val="000000" w:themeColor="text1"/>
                <w:sz w:val="24"/>
                <w:szCs w:val="24"/>
                <w:highlight w:val="none"/>
                <w14:textFill>
                  <w14:solidFill>
                    <w14:schemeClr w14:val="tx1"/>
                  </w14:solidFill>
                </w14:textFill>
              </w:rPr>
              <w:t xml:space="preserve">  本项目产品方案说明表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1"/>
              <w:gridCol w:w="2710"/>
              <w:gridCol w:w="2002"/>
              <w:gridCol w:w="2449"/>
            </w:tblGrid>
            <w:tr w14:paraId="22248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69" w:type="dxa"/>
                  <w:tcBorders>
                    <w:tl2br w:val="nil"/>
                    <w:tr2bl w:val="nil"/>
                  </w:tcBorders>
                  <w:noWrap w:val="0"/>
                  <w:vAlign w:val="center"/>
                </w:tcPr>
                <w:p w14:paraId="5429954E">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序号</w:t>
                  </w:r>
                </w:p>
              </w:tc>
              <w:tc>
                <w:tcPr>
                  <w:tcW w:w="2606" w:type="dxa"/>
                  <w:tcBorders>
                    <w:tl2br w:val="nil"/>
                    <w:tr2bl w:val="nil"/>
                  </w:tcBorders>
                  <w:noWrap w:val="0"/>
                  <w:vAlign w:val="center"/>
                </w:tcPr>
                <w:p w14:paraId="31A1E36E">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产品名称</w:t>
                  </w:r>
                </w:p>
              </w:tc>
              <w:tc>
                <w:tcPr>
                  <w:tcW w:w="1925" w:type="dxa"/>
                  <w:tcBorders>
                    <w:tl2br w:val="nil"/>
                    <w:tr2bl w:val="nil"/>
                  </w:tcBorders>
                  <w:noWrap w:val="0"/>
                  <w:vAlign w:val="center"/>
                </w:tcPr>
                <w:p w14:paraId="492A6742">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单位</w:t>
                  </w:r>
                </w:p>
              </w:tc>
              <w:tc>
                <w:tcPr>
                  <w:tcW w:w="2355" w:type="dxa"/>
                  <w:tcBorders>
                    <w:tl2br w:val="nil"/>
                    <w:tr2bl w:val="nil"/>
                  </w:tcBorders>
                  <w:noWrap w:val="0"/>
                  <w:vAlign w:val="center"/>
                </w:tcPr>
                <w:p w14:paraId="4DAFF6BD">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数量</w:t>
                  </w:r>
                </w:p>
              </w:tc>
            </w:tr>
            <w:tr w14:paraId="30D02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69" w:type="dxa"/>
                  <w:tcBorders>
                    <w:tl2br w:val="nil"/>
                    <w:tr2bl w:val="nil"/>
                  </w:tcBorders>
                  <w:noWrap w:val="0"/>
                  <w:vAlign w:val="center"/>
                </w:tcPr>
                <w:p w14:paraId="2D4679FC">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2606" w:type="dxa"/>
                  <w:tcBorders>
                    <w:tl2br w:val="nil"/>
                    <w:tr2bl w:val="nil"/>
                  </w:tcBorders>
                  <w:noWrap w:val="0"/>
                  <w:vAlign w:val="center"/>
                </w:tcPr>
                <w:p w14:paraId="77CC8099">
                  <w:pPr>
                    <w:pStyle w:val="105"/>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超精密光学元器件1</w:t>
                  </w:r>
                </w:p>
              </w:tc>
              <w:tc>
                <w:tcPr>
                  <w:tcW w:w="1925" w:type="dxa"/>
                  <w:tcBorders>
                    <w:tl2br w:val="nil"/>
                    <w:tr2bl w:val="nil"/>
                  </w:tcBorders>
                  <w:noWrap w:val="0"/>
                  <w:vAlign w:val="center"/>
                </w:tcPr>
                <w:p w14:paraId="1DD430EC">
                  <w:pPr>
                    <w:pStyle w:val="105"/>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万</w:t>
                  </w:r>
                  <w:r>
                    <w:rPr>
                      <w:color w:val="000000" w:themeColor="text1"/>
                      <w:highlight w:val="none"/>
                      <w14:textFill>
                        <w14:solidFill>
                          <w14:schemeClr w14:val="tx1"/>
                        </w14:solidFill>
                      </w14:textFill>
                    </w:rPr>
                    <w:t>片/年</w:t>
                  </w:r>
                </w:p>
              </w:tc>
              <w:tc>
                <w:tcPr>
                  <w:tcW w:w="2355" w:type="dxa"/>
                  <w:tcBorders>
                    <w:tl2br w:val="nil"/>
                    <w:tr2bl w:val="nil"/>
                  </w:tcBorders>
                  <w:noWrap w:val="0"/>
                  <w:vAlign w:val="center"/>
                </w:tcPr>
                <w:p w14:paraId="4A57977D">
                  <w:pPr>
                    <w:pStyle w:val="105"/>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p>
              </w:tc>
            </w:tr>
            <w:tr w14:paraId="7C185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69" w:type="dxa"/>
                  <w:tcBorders>
                    <w:tl2br w:val="nil"/>
                    <w:tr2bl w:val="nil"/>
                  </w:tcBorders>
                  <w:noWrap w:val="0"/>
                  <w:vAlign w:val="center"/>
                </w:tcPr>
                <w:p w14:paraId="27B4322B">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p>
              </w:tc>
              <w:tc>
                <w:tcPr>
                  <w:tcW w:w="2606" w:type="dxa"/>
                  <w:tcBorders>
                    <w:tl2br w:val="nil"/>
                    <w:tr2bl w:val="nil"/>
                  </w:tcBorders>
                  <w:noWrap w:val="0"/>
                  <w:vAlign w:val="center"/>
                </w:tcPr>
                <w:p w14:paraId="5D19F93D">
                  <w:pPr>
                    <w:pStyle w:val="105"/>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超精密光学元器件2</w:t>
                  </w:r>
                </w:p>
              </w:tc>
              <w:tc>
                <w:tcPr>
                  <w:tcW w:w="1925" w:type="dxa"/>
                  <w:tcBorders>
                    <w:tl2br w:val="nil"/>
                    <w:tr2bl w:val="nil"/>
                  </w:tcBorders>
                  <w:noWrap w:val="0"/>
                  <w:vAlign w:val="center"/>
                </w:tcPr>
                <w:p w14:paraId="1CB0F317">
                  <w:pPr>
                    <w:pStyle w:val="105"/>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万</w:t>
                  </w:r>
                  <w:r>
                    <w:rPr>
                      <w:color w:val="000000" w:themeColor="text1"/>
                      <w:highlight w:val="none"/>
                      <w14:textFill>
                        <w14:solidFill>
                          <w14:schemeClr w14:val="tx1"/>
                        </w14:solidFill>
                      </w14:textFill>
                    </w:rPr>
                    <w:t>片/年</w:t>
                  </w:r>
                </w:p>
              </w:tc>
              <w:tc>
                <w:tcPr>
                  <w:tcW w:w="2355" w:type="dxa"/>
                  <w:tcBorders>
                    <w:tl2br w:val="nil"/>
                    <w:tr2bl w:val="nil"/>
                  </w:tcBorders>
                  <w:noWrap w:val="0"/>
                  <w:vAlign w:val="center"/>
                </w:tcPr>
                <w:p w14:paraId="3D6818F9">
                  <w:pPr>
                    <w:pStyle w:val="105"/>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p>
              </w:tc>
            </w:tr>
          </w:tbl>
          <w:p w14:paraId="14B98968">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b/>
                <w:bCs/>
                <w:color w:val="000000" w:themeColor="text1"/>
                <w:sz w:val="32"/>
                <w:szCs w:val="24"/>
                <w:highlight w:val="none"/>
                <w14:textFill>
                  <w14:solidFill>
                    <w14:schemeClr w14:val="tx1"/>
                  </w14:solidFill>
                </w14:textFill>
              </w:rPr>
            </w:pPr>
            <w:r>
              <w:rPr>
                <w:b/>
                <w:bCs/>
                <w:color w:val="000000" w:themeColor="text1"/>
                <w:sz w:val="24"/>
                <w:szCs w:val="24"/>
                <w:highlight w:val="none"/>
                <w14:textFill>
                  <w14:solidFill>
                    <w14:schemeClr w14:val="tx1"/>
                  </w14:solidFill>
                </w14:textFill>
              </w:rPr>
              <w:t>表2</w:t>
            </w:r>
            <w:r>
              <w:rPr>
                <w:rFonts w:hint="eastAsia"/>
                <w:b/>
                <w:bCs/>
                <w:color w:val="000000" w:themeColor="text1"/>
                <w:sz w:val="24"/>
                <w:szCs w:val="24"/>
                <w:highlight w:val="none"/>
                <w:lang w:val="en-US" w:eastAsia="zh-CN"/>
                <w14:textFill>
                  <w14:solidFill>
                    <w14:schemeClr w14:val="tx1"/>
                  </w14:solidFill>
                </w14:textFill>
              </w:rPr>
              <w:t>.2</w:t>
            </w:r>
            <w:r>
              <w:rPr>
                <w:rFonts w:hint="eastAsia"/>
                <w:b/>
                <w:bCs/>
                <w:color w:val="000000" w:themeColor="text1"/>
                <w:sz w:val="24"/>
                <w:szCs w:val="24"/>
                <w:highlight w:val="none"/>
                <w14:textFill>
                  <w14:solidFill>
                    <w14:schemeClr w14:val="tx1"/>
                  </w14:solidFill>
                </w14:textFill>
              </w:rPr>
              <w:t>-</w:t>
            </w:r>
            <w:r>
              <w:rPr>
                <w:rFonts w:hint="eastAsia"/>
                <w:b/>
                <w:bCs/>
                <w:color w:val="000000" w:themeColor="text1"/>
                <w:sz w:val="24"/>
                <w:szCs w:val="24"/>
                <w:highlight w:val="none"/>
                <w:lang w:val="en-US" w:eastAsia="zh-CN"/>
                <w14:textFill>
                  <w14:solidFill>
                    <w14:schemeClr w14:val="tx1"/>
                  </w14:solidFill>
                </w14:textFill>
              </w:rPr>
              <w:t>2</w:t>
            </w:r>
            <w:r>
              <w:rPr>
                <w:b/>
                <w:bCs/>
                <w:color w:val="000000" w:themeColor="text1"/>
                <w:sz w:val="24"/>
                <w:szCs w:val="24"/>
                <w:highlight w:val="none"/>
                <w14:textFill>
                  <w14:solidFill>
                    <w14:schemeClr w14:val="tx1"/>
                  </w14:solidFill>
                </w14:textFill>
              </w:rPr>
              <w:t xml:space="preserve">  </w:t>
            </w:r>
            <w:r>
              <w:rPr>
                <w:rFonts w:hint="eastAsia"/>
                <w:b/>
                <w:bCs/>
                <w:color w:val="000000" w:themeColor="text1"/>
                <w:sz w:val="24"/>
                <w:szCs w:val="24"/>
                <w:highlight w:val="none"/>
                <w:lang w:val="en-US" w:eastAsia="zh-CN"/>
                <w14:textFill>
                  <w14:solidFill>
                    <w14:schemeClr w14:val="tx1"/>
                  </w14:solidFill>
                </w14:textFill>
              </w:rPr>
              <w:t>本项目建成后全厂</w:t>
            </w:r>
            <w:r>
              <w:rPr>
                <w:b/>
                <w:bCs/>
                <w:color w:val="000000" w:themeColor="text1"/>
                <w:sz w:val="24"/>
                <w:szCs w:val="24"/>
                <w:highlight w:val="none"/>
                <w14:textFill>
                  <w14:solidFill>
                    <w14:schemeClr w14:val="tx1"/>
                  </w14:solidFill>
                </w14:textFill>
              </w:rPr>
              <w:t>产品方案说明表</w:t>
            </w:r>
          </w:p>
          <w:tbl>
            <w:tblPr>
              <w:tblStyle w:val="30"/>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78"/>
              <w:gridCol w:w="2485"/>
              <w:gridCol w:w="1521"/>
              <w:gridCol w:w="1650"/>
              <w:gridCol w:w="1838"/>
            </w:tblGrid>
            <w:tr w14:paraId="06781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09" w:type="dxa"/>
                  <w:vMerge w:val="restart"/>
                  <w:tcBorders>
                    <w:tl2br w:val="nil"/>
                    <w:tr2bl w:val="nil"/>
                  </w:tcBorders>
                  <w:vAlign w:val="center"/>
                </w:tcPr>
                <w:p w14:paraId="544513B9">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w w:val="100"/>
                      <w:kern w:val="0"/>
                      <w:sz w:val="21"/>
                      <w:highlight w:val="none"/>
                      <w14:textFill>
                        <w14:solidFill>
                          <w14:schemeClr w14:val="tx1"/>
                        </w14:solidFill>
                      </w14:textFill>
                    </w:rPr>
                  </w:pPr>
                  <w:r>
                    <w:rPr>
                      <w:rFonts w:hint="default" w:ascii="Times New Roman" w:hAnsi="Times New Roman" w:eastAsia="宋体" w:cs="Times New Roman"/>
                      <w:color w:val="000000" w:themeColor="text1"/>
                      <w:w w:val="100"/>
                      <w:kern w:val="0"/>
                      <w:sz w:val="21"/>
                      <w:highlight w:val="none"/>
                      <w14:textFill>
                        <w14:solidFill>
                          <w14:schemeClr w14:val="tx1"/>
                        </w14:solidFill>
                      </w14:textFill>
                    </w:rPr>
                    <w:t>序号</w:t>
                  </w:r>
                </w:p>
              </w:tc>
              <w:tc>
                <w:tcPr>
                  <w:tcW w:w="4631" w:type="dxa"/>
                  <w:vMerge w:val="restart"/>
                  <w:tcBorders>
                    <w:tl2br w:val="nil"/>
                    <w:tr2bl w:val="nil"/>
                  </w:tcBorders>
                  <w:vAlign w:val="center"/>
                </w:tcPr>
                <w:p w14:paraId="26CC8DB3">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w w:val="100"/>
                      <w:kern w:val="0"/>
                      <w:sz w:val="21"/>
                      <w:highlight w:val="none"/>
                      <w14:textFill>
                        <w14:solidFill>
                          <w14:schemeClr w14:val="tx1"/>
                        </w14:solidFill>
                      </w14:textFill>
                    </w:rPr>
                  </w:pPr>
                  <w:r>
                    <w:rPr>
                      <w:rFonts w:hint="default" w:ascii="Times New Roman" w:hAnsi="Times New Roman" w:eastAsia="宋体" w:cs="Times New Roman"/>
                      <w:color w:val="000000" w:themeColor="text1"/>
                      <w:w w:val="100"/>
                      <w:kern w:val="0"/>
                      <w:sz w:val="21"/>
                      <w:highlight w:val="none"/>
                      <w14:textFill>
                        <w14:solidFill>
                          <w14:schemeClr w14:val="tx1"/>
                        </w14:solidFill>
                      </w14:textFill>
                    </w:rPr>
                    <w:t>产品名称</w:t>
                  </w:r>
                </w:p>
              </w:tc>
              <w:tc>
                <w:tcPr>
                  <w:tcW w:w="9130" w:type="dxa"/>
                  <w:gridSpan w:val="3"/>
                  <w:tcBorders>
                    <w:tl2br w:val="nil"/>
                    <w:tr2bl w:val="nil"/>
                  </w:tcBorders>
                  <w:vAlign w:val="center"/>
                </w:tcPr>
                <w:p w14:paraId="305B2FB3">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w w:val="100"/>
                      <w:kern w:val="0"/>
                      <w:sz w:val="21"/>
                      <w:highlight w:val="none"/>
                      <w14:textFill>
                        <w14:solidFill>
                          <w14:schemeClr w14:val="tx1"/>
                        </w14:solidFill>
                      </w14:textFill>
                    </w:rPr>
                  </w:pPr>
                  <w:r>
                    <w:rPr>
                      <w:rFonts w:hint="default" w:ascii="Times New Roman" w:hAnsi="Times New Roman" w:eastAsia="宋体" w:cs="Times New Roman"/>
                      <w:color w:val="000000" w:themeColor="text1"/>
                      <w:w w:val="100"/>
                      <w:kern w:val="0"/>
                      <w:sz w:val="21"/>
                      <w:highlight w:val="none"/>
                      <w14:textFill>
                        <w14:solidFill>
                          <w14:schemeClr w14:val="tx1"/>
                        </w14:solidFill>
                      </w14:textFill>
                    </w:rPr>
                    <w:t>产品产量</w:t>
                  </w:r>
                </w:p>
              </w:tc>
            </w:tr>
            <w:tr w14:paraId="32559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09" w:type="dxa"/>
                  <w:vMerge w:val="continue"/>
                  <w:tcBorders>
                    <w:tl2br w:val="nil"/>
                    <w:tr2bl w:val="nil"/>
                  </w:tcBorders>
                  <w:vAlign w:val="center"/>
                </w:tcPr>
                <w:p w14:paraId="1AB713F9">
                  <w:pPr>
                    <w:keepNext w:val="0"/>
                    <w:keepLines w:val="0"/>
                    <w:pageBreakBefore w:val="0"/>
                    <w:widowControl w:val="0"/>
                    <w:kinsoku/>
                    <w:wordWrap/>
                    <w:overflowPunct/>
                    <w:topLinePunct w:val="0"/>
                    <w:bidi w:val="0"/>
                    <w:adjustRightInd/>
                    <w:snapToGrid/>
                    <w:spacing w:line="240" w:lineRule="auto"/>
                    <w:ind w:left="0" w:right="0"/>
                    <w:jc w:val="center"/>
                    <w:textAlignment w:val="auto"/>
                    <w:rPr>
                      <w:rFonts w:hint="default" w:ascii="Times New Roman" w:hAnsi="Times New Roman" w:eastAsia="宋体" w:cs="Times New Roman"/>
                      <w:color w:val="000000" w:themeColor="text1"/>
                      <w:w w:val="100"/>
                      <w:kern w:val="0"/>
                      <w:sz w:val="2"/>
                      <w:szCs w:val="2"/>
                      <w:highlight w:val="none"/>
                      <w14:textFill>
                        <w14:solidFill>
                          <w14:schemeClr w14:val="tx1"/>
                        </w14:solidFill>
                      </w14:textFill>
                    </w:rPr>
                  </w:pPr>
                </w:p>
              </w:tc>
              <w:tc>
                <w:tcPr>
                  <w:tcW w:w="4631" w:type="dxa"/>
                  <w:vMerge w:val="continue"/>
                  <w:tcBorders>
                    <w:tl2br w:val="nil"/>
                    <w:tr2bl w:val="nil"/>
                  </w:tcBorders>
                  <w:vAlign w:val="center"/>
                </w:tcPr>
                <w:p w14:paraId="40CC3181">
                  <w:pPr>
                    <w:keepNext w:val="0"/>
                    <w:keepLines w:val="0"/>
                    <w:pageBreakBefore w:val="0"/>
                    <w:widowControl w:val="0"/>
                    <w:kinsoku/>
                    <w:wordWrap/>
                    <w:overflowPunct/>
                    <w:topLinePunct w:val="0"/>
                    <w:bidi w:val="0"/>
                    <w:adjustRightInd/>
                    <w:snapToGrid/>
                    <w:spacing w:line="240" w:lineRule="auto"/>
                    <w:ind w:left="0" w:right="0"/>
                    <w:jc w:val="center"/>
                    <w:textAlignment w:val="auto"/>
                    <w:rPr>
                      <w:rFonts w:hint="default" w:ascii="Times New Roman" w:hAnsi="Times New Roman" w:eastAsia="宋体" w:cs="Times New Roman"/>
                      <w:color w:val="000000" w:themeColor="text1"/>
                      <w:w w:val="100"/>
                      <w:kern w:val="0"/>
                      <w:sz w:val="2"/>
                      <w:szCs w:val="2"/>
                      <w:highlight w:val="none"/>
                      <w14:textFill>
                        <w14:solidFill>
                          <w14:schemeClr w14:val="tx1"/>
                        </w14:solidFill>
                      </w14:textFill>
                    </w:rPr>
                  </w:pPr>
                </w:p>
              </w:tc>
              <w:tc>
                <w:tcPr>
                  <w:tcW w:w="2754" w:type="dxa"/>
                  <w:tcBorders>
                    <w:tl2br w:val="nil"/>
                    <w:tr2bl w:val="nil"/>
                  </w:tcBorders>
                  <w:vAlign w:val="center"/>
                </w:tcPr>
                <w:p w14:paraId="620ECB00">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w w:val="100"/>
                      <w:kern w:val="0"/>
                      <w:sz w:val="21"/>
                      <w:highlight w:val="none"/>
                      <w14:textFill>
                        <w14:solidFill>
                          <w14:schemeClr w14:val="tx1"/>
                        </w14:solidFill>
                      </w14:textFill>
                    </w:rPr>
                  </w:pPr>
                  <w:r>
                    <w:rPr>
                      <w:rFonts w:hint="default" w:ascii="Times New Roman" w:hAnsi="Times New Roman" w:eastAsia="宋体" w:cs="Times New Roman"/>
                      <w:color w:val="000000" w:themeColor="text1"/>
                      <w:w w:val="100"/>
                      <w:kern w:val="0"/>
                      <w:sz w:val="21"/>
                      <w:highlight w:val="none"/>
                      <w14:textFill>
                        <w14:solidFill>
                          <w14:schemeClr w14:val="tx1"/>
                        </w14:solidFill>
                      </w14:textFill>
                    </w:rPr>
                    <w:t>现有工程</w:t>
                  </w:r>
                </w:p>
              </w:tc>
              <w:tc>
                <w:tcPr>
                  <w:tcW w:w="3005" w:type="dxa"/>
                  <w:tcBorders>
                    <w:tl2br w:val="nil"/>
                    <w:tr2bl w:val="nil"/>
                  </w:tcBorders>
                  <w:vAlign w:val="center"/>
                </w:tcPr>
                <w:p w14:paraId="64AB3379">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w w:val="100"/>
                      <w:kern w:val="0"/>
                      <w:sz w:val="21"/>
                      <w:highlight w:val="none"/>
                      <w14:textFill>
                        <w14:solidFill>
                          <w14:schemeClr w14:val="tx1"/>
                        </w14:solidFill>
                      </w14:textFill>
                    </w:rPr>
                  </w:pPr>
                  <w:r>
                    <w:rPr>
                      <w:rFonts w:hint="default" w:ascii="Times New Roman" w:hAnsi="Times New Roman" w:eastAsia="宋体" w:cs="Times New Roman"/>
                      <w:color w:val="000000" w:themeColor="text1"/>
                      <w:w w:val="100"/>
                      <w:kern w:val="0"/>
                      <w:sz w:val="21"/>
                      <w:highlight w:val="none"/>
                      <w14:textFill>
                        <w14:solidFill>
                          <w14:schemeClr w14:val="tx1"/>
                        </w14:solidFill>
                      </w14:textFill>
                    </w:rPr>
                    <w:t>拟扩建工程</w:t>
                  </w:r>
                </w:p>
              </w:tc>
              <w:tc>
                <w:tcPr>
                  <w:tcW w:w="3371" w:type="dxa"/>
                  <w:tcBorders>
                    <w:tl2br w:val="nil"/>
                    <w:tr2bl w:val="nil"/>
                  </w:tcBorders>
                  <w:vAlign w:val="center"/>
                </w:tcPr>
                <w:p w14:paraId="1292D595">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w w:val="100"/>
                      <w:kern w:val="0"/>
                      <w:sz w:val="21"/>
                      <w:highlight w:val="none"/>
                      <w14:textFill>
                        <w14:solidFill>
                          <w14:schemeClr w14:val="tx1"/>
                        </w14:solidFill>
                      </w14:textFill>
                    </w:rPr>
                  </w:pPr>
                  <w:r>
                    <w:rPr>
                      <w:rFonts w:hint="default" w:ascii="Times New Roman" w:hAnsi="Times New Roman" w:eastAsia="宋体" w:cs="Times New Roman"/>
                      <w:color w:val="000000" w:themeColor="text1"/>
                      <w:w w:val="100"/>
                      <w:kern w:val="0"/>
                      <w:sz w:val="21"/>
                      <w:highlight w:val="none"/>
                      <w14:textFill>
                        <w14:solidFill>
                          <w14:schemeClr w14:val="tx1"/>
                        </w14:solidFill>
                      </w14:textFill>
                    </w:rPr>
                    <w:t>扩建后全厂</w:t>
                  </w:r>
                </w:p>
              </w:tc>
            </w:tr>
            <w:tr w14:paraId="57003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09" w:type="dxa"/>
                  <w:tcBorders>
                    <w:tl2br w:val="nil"/>
                    <w:tr2bl w:val="nil"/>
                  </w:tcBorders>
                  <w:vAlign w:val="center"/>
                </w:tcPr>
                <w:p w14:paraId="68923C6E">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w w:val="100"/>
                      <w:kern w:val="0"/>
                      <w:sz w:val="21"/>
                      <w:highlight w:val="none"/>
                      <w14:textFill>
                        <w14:solidFill>
                          <w14:schemeClr w14:val="tx1"/>
                        </w14:solidFill>
                      </w14:textFill>
                    </w:rPr>
                  </w:pPr>
                  <w:r>
                    <w:rPr>
                      <w:rFonts w:hint="default" w:ascii="Times New Roman" w:hAnsi="Times New Roman" w:eastAsia="宋体" w:cs="Times New Roman"/>
                      <w:color w:val="000000" w:themeColor="text1"/>
                      <w:w w:val="100"/>
                      <w:kern w:val="0"/>
                      <w:sz w:val="21"/>
                      <w:highlight w:val="none"/>
                      <w14:textFill>
                        <w14:solidFill>
                          <w14:schemeClr w14:val="tx1"/>
                        </w14:solidFill>
                      </w14:textFill>
                    </w:rPr>
                    <w:t>1</w:t>
                  </w:r>
                </w:p>
              </w:tc>
              <w:tc>
                <w:tcPr>
                  <w:tcW w:w="4631" w:type="dxa"/>
                  <w:tcBorders>
                    <w:tl2br w:val="nil"/>
                    <w:tr2bl w:val="nil"/>
                  </w:tcBorders>
                  <w:vAlign w:val="center"/>
                </w:tcPr>
                <w:p w14:paraId="2081697E">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w w:val="100"/>
                      <w:kern w:val="0"/>
                      <w:sz w:val="21"/>
                      <w:highlight w:val="none"/>
                      <w14:textFill>
                        <w14:solidFill>
                          <w14:schemeClr w14:val="tx1"/>
                        </w14:solidFill>
                      </w14:textFill>
                    </w:rPr>
                  </w:pPr>
                  <w:r>
                    <w:rPr>
                      <w:rFonts w:hint="default" w:ascii="Times New Roman" w:hAnsi="Times New Roman" w:eastAsia="宋体" w:cs="Times New Roman"/>
                      <w:color w:val="000000" w:themeColor="text1"/>
                      <w:w w:val="100"/>
                      <w:kern w:val="0"/>
                      <w:sz w:val="21"/>
                      <w:highlight w:val="none"/>
                      <w14:textFill>
                        <w14:solidFill>
                          <w14:schemeClr w14:val="tx1"/>
                        </w14:solidFill>
                      </w14:textFill>
                    </w:rPr>
                    <w:t>晶体元器件</w:t>
                  </w:r>
                </w:p>
              </w:tc>
              <w:tc>
                <w:tcPr>
                  <w:tcW w:w="2754" w:type="dxa"/>
                  <w:tcBorders>
                    <w:tl2br w:val="nil"/>
                    <w:tr2bl w:val="nil"/>
                  </w:tcBorders>
                  <w:vAlign w:val="center"/>
                </w:tcPr>
                <w:p w14:paraId="3A4CD787">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w w:val="100"/>
                      <w:kern w:val="0"/>
                      <w:sz w:val="21"/>
                      <w:highlight w:val="none"/>
                      <w14:textFill>
                        <w14:solidFill>
                          <w14:schemeClr w14:val="tx1"/>
                        </w14:solidFill>
                      </w14:textFill>
                    </w:rPr>
                  </w:pPr>
                  <w:r>
                    <w:rPr>
                      <w:rFonts w:hint="eastAsia" w:ascii="Times New Roman" w:hAnsi="Times New Roman" w:eastAsia="宋体" w:cs="Times New Roman"/>
                      <w:color w:val="000000" w:themeColor="text1"/>
                      <w:w w:val="100"/>
                      <w:kern w:val="0"/>
                      <w:sz w:val="21"/>
                      <w:highlight w:val="none"/>
                      <w:lang w:val="en-US" w:eastAsia="zh-CN"/>
                      <w14:textFill>
                        <w14:solidFill>
                          <w14:schemeClr w14:val="tx1"/>
                        </w14:solidFill>
                      </w14:textFill>
                    </w:rPr>
                    <w:t>21</w:t>
                  </w:r>
                  <w:r>
                    <w:rPr>
                      <w:rFonts w:hint="default" w:ascii="Times New Roman" w:hAnsi="Times New Roman" w:eastAsia="宋体" w:cs="Times New Roman"/>
                      <w:color w:val="000000" w:themeColor="text1"/>
                      <w:w w:val="100"/>
                      <w:kern w:val="0"/>
                      <w:sz w:val="21"/>
                      <w:highlight w:val="none"/>
                      <w14:textFill>
                        <w14:solidFill>
                          <w14:schemeClr w14:val="tx1"/>
                        </w14:solidFill>
                      </w14:textFill>
                    </w:rPr>
                    <w:t>万片/年</w:t>
                  </w:r>
                </w:p>
              </w:tc>
              <w:tc>
                <w:tcPr>
                  <w:tcW w:w="3005" w:type="dxa"/>
                  <w:tcBorders>
                    <w:tl2br w:val="nil"/>
                    <w:tr2bl w:val="nil"/>
                  </w:tcBorders>
                  <w:vAlign w:val="center"/>
                </w:tcPr>
                <w:p w14:paraId="2211704E">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eastAsia" w:ascii="Times New Roman" w:hAnsi="Times New Roman" w:eastAsia="宋体" w:cs="Times New Roman"/>
                      <w:color w:val="000000" w:themeColor="text1"/>
                      <w:w w:val="100"/>
                      <w:kern w:val="0"/>
                      <w:sz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w w:val="100"/>
                      <w:kern w:val="0"/>
                      <w:sz w:val="21"/>
                      <w:highlight w:val="none"/>
                      <w:lang w:val="en-US" w:eastAsia="zh-CN"/>
                      <w14:textFill>
                        <w14:solidFill>
                          <w14:schemeClr w14:val="tx1"/>
                        </w14:solidFill>
                      </w14:textFill>
                    </w:rPr>
                    <w:t>/</w:t>
                  </w:r>
                </w:p>
              </w:tc>
              <w:tc>
                <w:tcPr>
                  <w:tcW w:w="3371" w:type="dxa"/>
                  <w:tcBorders>
                    <w:tl2br w:val="nil"/>
                    <w:tr2bl w:val="nil"/>
                  </w:tcBorders>
                  <w:vAlign w:val="center"/>
                </w:tcPr>
                <w:p w14:paraId="74565FCA">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w w:val="100"/>
                      <w:kern w:val="0"/>
                      <w:sz w:val="21"/>
                      <w:highlight w:val="none"/>
                      <w14:textFill>
                        <w14:solidFill>
                          <w14:schemeClr w14:val="tx1"/>
                        </w14:solidFill>
                      </w14:textFill>
                    </w:rPr>
                  </w:pPr>
                  <w:r>
                    <w:rPr>
                      <w:rFonts w:hint="eastAsia" w:ascii="Times New Roman" w:hAnsi="Times New Roman" w:eastAsia="宋体" w:cs="Times New Roman"/>
                      <w:color w:val="000000" w:themeColor="text1"/>
                      <w:w w:val="100"/>
                      <w:kern w:val="0"/>
                      <w:sz w:val="21"/>
                      <w:highlight w:val="none"/>
                      <w:lang w:val="en-US" w:eastAsia="zh-CN"/>
                      <w14:textFill>
                        <w14:solidFill>
                          <w14:schemeClr w14:val="tx1"/>
                        </w14:solidFill>
                      </w14:textFill>
                    </w:rPr>
                    <w:t>21</w:t>
                  </w:r>
                  <w:r>
                    <w:rPr>
                      <w:rFonts w:hint="default" w:ascii="Times New Roman" w:hAnsi="Times New Roman" w:eastAsia="宋体" w:cs="Times New Roman"/>
                      <w:color w:val="000000" w:themeColor="text1"/>
                      <w:w w:val="100"/>
                      <w:kern w:val="0"/>
                      <w:sz w:val="21"/>
                      <w:highlight w:val="none"/>
                      <w14:textFill>
                        <w14:solidFill>
                          <w14:schemeClr w14:val="tx1"/>
                        </w14:solidFill>
                      </w14:textFill>
                    </w:rPr>
                    <w:t>万片/年</w:t>
                  </w:r>
                </w:p>
              </w:tc>
            </w:tr>
            <w:tr w14:paraId="145A2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09" w:type="dxa"/>
                  <w:tcBorders>
                    <w:tl2br w:val="nil"/>
                    <w:tr2bl w:val="nil"/>
                  </w:tcBorders>
                  <w:vAlign w:val="center"/>
                </w:tcPr>
                <w:p w14:paraId="7DA7F40C">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w w:val="100"/>
                      <w:kern w:val="0"/>
                      <w:sz w:val="21"/>
                      <w:highlight w:val="none"/>
                      <w14:textFill>
                        <w14:solidFill>
                          <w14:schemeClr w14:val="tx1"/>
                        </w14:solidFill>
                      </w14:textFill>
                    </w:rPr>
                  </w:pPr>
                  <w:r>
                    <w:rPr>
                      <w:rFonts w:hint="default" w:ascii="Times New Roman" w:hAnsi="Times New Roman" w:eastAsia="宋体" w:cs="Times New Roman"/>
                      <w:color w:val="000000" w:themeColor="text1"/>
                      <w:w w:val="100"/>
                      <w:kern w:val="0"/>
                      <w:sz w:val="21"/>
                      <w:highlight w:val="none"/>
                      <w14:textFill>
                        <w14:solidFill>
                          <w14:schemeClr w14:val="tx1"/>
                        </w14:solidFill>
                      </w14:textFill>
                    </w:rPr>
                    <w:t>2</w:t>
                  </w:r>
                </w:p>
              </w:tc>
              <w:tc>
                <w:tcPr>
                  <w:tcW w:w="4631" w:type="dxa"/>
                  <w:tcBorders>
                    <w:tl2br w:val="nil"/>
                    <w:tr2bl w:val="nil"/>
                  </w:tcBorders>
                  <w:vAlign w:val="center"/>
                </w:tcPr>
                <w:p w14:paraId="19E2D6CA">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w w:val="100"/>
                      <w:kern w:val="0"/>
                      <w:sz w:val="21"/>
                      <w:highlight w:val="none"/>
                      <w14:textFill>
                        <w14:solidFill>
                          <w14:schemeClr w14:val="tx1"/>
                        </w14:solidFill>
                      </w14:textFill>
                    </w:rPr>
                  </w:pPr>
                  <w:r>
                    <w:rPr>
                      <w:rFonts w:hint="default" w:ascii="Times New Roman" w:hAnsi="Times New Roman" w:eastAsia="宋体" w:cs="Times New Roman"/>
                      <w:color w:val="000000" w:themeColor="text1"/>
                      <w:w w:val="100"/>
                      <w:kern w:val="0"/>
                      <w:sz w:val="21"/>
                      <w:highlight w:val="none"/>
                      <w14:textFill>
                        <w14:solidFill>
                          <w14:schemeClr w14:val="tx1"/>
                        </w14:solidFill>
                      </w14:textFill>
                    </w:rPr>
                    <w:t>超精密核心光学元器件</w:t>
                  </w:r>
                </w:p>
              </w:tc>
              <w:tc>
                <w:tcPr>
                  <w:tcW w:w="2754" w:type="dxa"/>
                  <w:tcBorders>
                    <w:tl2br w:val="nil"/>
                    <w:tr2bl w:val="nil"/>
                  </w:tcBorders>
                  <w:vAlign w:val="center"/>
                </w:tcPr>
                <w:p w14:paraId="223AE880">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w w:val="100"/>
                      <w:kern w:val="0"/>
                      <w:sz w:val="21"/>
                      <w:highlight w:val="none"/>
                      <w14:textFill>
                        <w14:solidFill>
                          <w14:schemeClr w14:val="tx1"/>
                        </w14:solidFill>
                      </w14:textFill>
                    </w:rPr>
                  </w:pPr>
                  <w:r>
                    <w:rPr>
                      <w:rFonts w:hint="default" w:ascii="Times New Roman" w:hAnsi="Times New Roman" w:eastAsia="宋体" w:cs="Times New Roman"/>
                      <w:color w:val="000000" w:themeColor="text1"/>
                      <w:w w:val="100"/>
                      <w:kern w:val="0"/>
                      <w:sz w:val="21"/>
                      <w:highlight w:val="none"/>
                      <w14:textFill>
                        <w14:solidFill>
                          <w14:schemeClr w14:val="tx1"/>
                        </w14:solidFill>
                      </w14:textFill>
                    </w:rPr>
                    <w:t>1万片/年</w:t>
                  </w:r>
                </w:p>
              </w:tc>
              <w:tc>
                <w:tcPr>
                  <w:tcW w:w="3005" w:type="dxa"/>
                  <w:tcBorders>
                    <w:tl2br w:val="nil"/>
                    <w:tr2bl w:val="nil"/>
                  </w:tcBorders>
                  <w:vAlign w:val="center"/>
                </w:tcPr>
                <w:p w14:paraId="674641D4">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w w:val="100"/>
                      <w:kern w:val="0"/>
                      <w:sz w:val="21"/>
                      <w:highlight w:val="none"/>
                      <w14:textFill>
                        <w14:solidFill>
                          <w14:schemeClr w14:val="tx1"/>
                        </w14:solidFill>
                      </w14:textFill>
                    </w:rPr>
                  </w:pPr>
                  <w:r>
                    <w:rPr>
                      <w:rFonts w:hint="eastAsia" w:ascii="Times New Roman" w:hAnsi="Times New Roman" w:cs="Times New Roman"/>
                      <w:color w:val="000000" w:themeColor="text1"/>
                      <w:w w:val="100"/>
                      <w:kern w:val="0"/>
                      <w:sz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w w:val="100"/>
                      <w:kern w:val="0"/>
                      <w:sz w:val="21"/>
                      <w:highlight w:val="none"/>
                      <w14:textFill>
                        <w14:solidFill>
                          <w14:schemeClr w14:val="tx1"/>
                        </w14:solidFill>
                      </w14:textFill>
                    </w:rPr>
                    <w:t>万片/年</w:t>
                  </w:r>
                </w:p>
              </w:tc>
              <w:tc>
                <w:tcPr>
                  <w:tcW w:w="3371" w:type="dxa"/>
                  <w:tcBorders>
                    <w:tl2br w:val="nil"/>
                    <w:tr2bl w:val="nil"/>
                  </w:tcBorders>
                  <w:vAlign w:val="center"/>
                </w:tcPr>
                <w:p w14:paraId="23F797FD">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w w:val="100"/>
                      <w:kern w:val="0"/>
                      <w:sz w:val="21"/>
                      <w:highlight w:val="none"/>
                      <w14:textFill>
                        <w14:solidFill>
                          <w14:schemeClr w14:val="tx1"/>
                        </w14:solidFill>
                      </w14:textFill>
                    </w:rPr>
                  </w:pPr>
                  <w:r>
                    <w:rPr>
                      <w:rFonts w:hint="eastAsia" w:ascii="Times New Roman" w:hAnsi="Times New Roman" w:cs="Times New Roman"/>
                      <w:color w:val="000000" w:themeColor="text1"/>
                      <w:w w:val="100"/>
                      <w:kern w:val="0"/>
                      <w:sz w:val="21"/>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w w:val="100"/>
                      <w:kern w:val="0"/>
                      <w:sz w:val="21"/>
                      <w:highlight w:val="none"/>
                      <w14:textFill>
                        <w14:solidFill>
                          <w14:schemeClr w14:val="tx1"/>
                        </w14:solidFill>
                      </w14:textFill>
                    </w:rPr>
                    <w:t>万片/年</w:t>
                  </w:r>
                </w:p>
              </w:tc>
            </w:tr>
          </w:tbl>
          <w:p w14:paraId="2C21E6D5">
            <w:pPr>
              <w:spacing w:line="360" w:lineRule="auto"/>
              <w:ind w:firstLine="420" w:firstLineChars="200"/>
              <w:rPr>
                <w:color w:val="000000" w:themeColor="text1"/>
                <w:highlight w:val="none"/>
                <w14:textFill>
                  <w14:solidFill>
                    <w14:schemeClr w14:val="tx1"/>
                  </w14:solidFill>
                </w14:textFill>
              </w:rPr>
            </w:pPr>
          </w:p>
          <w:p w14:paraId="339B817C">
            <w:pPr>
              <w:spacing w:line="360" w:lineRule="auto"/>
              <w:ind w:firstLine="420" w:firstLineChars="200"/>
              <w:rPr>
                <w:color w:val="000000" w:themeColor="text1"/>
                <w:highlight w:val="none"/>
                <w14:textFill>
                  <w14:solidFill>
                    <w14:schemeClr w14:val="tx1"/>
                  </w14:solidFill>
                </w14:textFill>
              </w:rPr>
            </w:pPr>
          </w:p>
          <w:p w14:paraId="094283B4">
            <w:pPr>
              <w:spacing w:line="360" w:lineRule="auto"/>
              <w:ind w:firstLine="420" w:firstLineChars="200"/>
              <w:rPr>
                <w:color w:val="000000" w:themeColor="text1"/>
                <w:highlight w:val="none"/>
                <w14:textFill>
                  <w14:solidFill>
                    <w14:schemeClr w14:val="tx1"/>
                  </w14:solidFill>
                </w14:textFill>
              </w:rPr>
            </w:pPr>
          </w:p>
          <w:p w14:paraId="0A49AB1C">
            <w:pPr>
              <w:spacing w:line="360" w:lineRule="auto"/>
              <w:ind w:firstLine="420" w:firstLineChars="200"/>
              <w:rPr>
                <w:color w:val="000000" w:themeColor="text1"/>
                <w:highlight w:val="none"/>
                <w14:textFill>
                  <w14:solidFill>
                    <w14:schemeClr w14:val="tx1"/>
                  </w14:solidFill>
                </w14:textFill>
              </w:rPr>
            </w:pPr>
          </w:p>
          <w:p w14:paraId="39C89E09">
            <w:pPr>
              <w:spacing w:line="360" w:lineRule="auto"/>
              <w:ind w:firstLine="420" w:firstLineChars="200"/>
              <w:rPr>
                <w:color w:val="000000" w:themeColor="text1"/>
                <w:highlight w:val="none"/>
                <w14:textFill>
                  <w14:solidFill>
                    <w14:schemeClr w14:val="tx1"/>
                  </w14:solidFill>
                </w14:textFill>
              </w:rPr>
            </w:pPr>
          </w:p>
        </w:tc>
      </w:tr>
    </w:tbl>
    <w:p w14:paraId="24B5B7B6">
      <w:pPr>
        <w:pStyle w:val="12"/>
        <w:rPr>
          <w:snapToGrid w:val="0"/>
          <w:color w:val="000000" w:themeColor="text1"/>
          <w:highlight w:val="none"/>
          <w14:textFill>
            <w14:solidFill>
              <w14:schemeClr w14:val="tx1"/>
            </w14:solidFill>
          </w14:textFill>
        </w:rPr>
        <w:sectPr>
          <w:footerReference r:id="rId7" w:type="default"/>
          <w:pgSz w:w="11906" w:h="16838"/>
          <w:pgMar w:top="1701" w:right="1531" w:bottom="1701" w:left="1531" w:header="851" w:footer="851" w:gutter="0"/>
          <w:pgBorders>
            <w:top w:val="none" w:sz="0" w:space="0"/>
            <w:left w:val="none" w:sz="0" w:space="0"/>
            <w:bottom w:val="none" w:sz="0" w:space="0"/>
            <w:right w:val="none" w:sz="0" w:space="0"/>
          </w:pgBorders>
          <w:pgNumType w:fmt="decimal" w:start="1"/>
          <w:cols w:space="720" w:num="1"/>
          <w:docGrid w:linePitch="312" w:charSpace="0"/>
        </w:sectPr>
      </w:pPr>
    </w:p>
    <w:tbl>
      <w:tblPr>
        <w:tblStyle w:val="3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652"/>
      </w:tblGrid>
      <w:tr w14:paraId="1BD0A7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52" w:hRule="atLeast"/>
          <w:jc w:val="center"/>
        </w:trPr>
        <w:tc>
          <w:tcPr>
            <w:tcW w:w="5000" w:type="pct"/>
            <w:vAlign w:val="top"/>
          </w:tcPr>
          <w:p w14:paraId="6245C653">
            <w:pPr>
              <w:pStyle w:val="37"/>
              <w:rPr>
                <w:rFonts w:hint="eastAsia" w:eastAsia="黑体"/>
                <w:b w:val="0"/>
                <w:color w:val="000000" w:themeColor="text1"/>
                <w:sz w:val="24"/>
                <w:szCs w:val="21"/>
                <w:highlight w:val="none"/>
                <w:lang w:val="en-US" w:eastAsia="zh-CN"/>
                <w14:textFill>
                  <w14:solidFill>
                    <w14:schemeClr w14:val="tx1"/>
                  </w14:solidFill>
                </w14:textFill>
              </w:rPr>
            </w:pPr>
            <w:r>
              <w:rPr>
                <w:b w:val="0"/>
                <w:color w:val="000000" w:themeColor="text1"/>
                <w:sz w:val="24"/>
                <w:szCs w:val="21"/>
                <w:highlight w:val="none"/>
                <w14:textFill>
                  <w14:solidFill>
                    <w14:schemeClr w14:val="tx1"/>
                  </w14:solidFill>
                </w14:textFill>
              </w:rPr>
              <w:t>2.</w:t>
            </w:r>
            <w:r>
              <w:rPr>
                <w:rFonts w:hint="eastAsia"/>
                <w:b w:val="0"/>
                <w:color w:val="000000" w:themeColor="text1"/>
                <w:sz w:val="24"/>
                <w:szCs w:val="21"/>
                <w:highlight w:val="none"/>
                <w:lang w:val="en-US" w:eastAsia="zh-CN"/>
                <w14:textFill>
                  <w14:solidFill>
                    <w14:schemeClr w14:val="tx1"/>
                  </w14:solidFill>
                </w14:textFill>
              </w:rPr>
              <w:t>3</w:t>
            </w:r>
            <w:r>
              <w:rPr>
                <w:b w:val="0"/>
                <w:color w:val="000000" w:themeColor="text1"/>
                <w:sz w:val="24"/>
                <w:szCs w:val="21"/>
                <w:highlight w:val="none"/>
                <w14:textFill>
                  <w14:solidFill>
                    <w14:schemeClr w14:val="tx1"/>
                  </w14:solidFill>
                </w14:textFill>
              </w:rPr>
              <w:t xml:space="preserve"> </w:t>
            </w:r>
            <w:r>
              <w:rPr>
                <w:rFonts w:hint="eastAsia"/>
                <w:b w:val="0"/>
                <w:color w:val="000000" w:themeColor="text1"/>
                <w:sz w:val="24"/>
                <w:szCs w:val="21"/>
                <w:highlight w:val="none"/>
                <w14:textFill>
                  <w14:solidFill>
                    <w14:schemeClr w14:val="tx1"/>
                  </w14:solidFill>
                </w14:textFill>
              </w:rPr>
              <w:t>工程</w:t>
            </w:r>
            <w:r>
              <w:rPr>
                <w:rFonts w:hint="eastAsia"/>
                <w:b w:val="0"/>
                <w:color w:val="000000" w:themeColor="text1"/>
                <w:sz w:val="24"/>
                <w:szCs w:val="21"/>
                <w:highlight w:val="none"/>
                <w:lang w:val="en-US" w:eastAsia="zh-CN"/>
                <w14:textFill>
                  <w14:solidFill>
                    <w14:schemeClr w14:val="tx1"/>
                  </w14:solidFill>
                </w14:textFill>
              </w:rPr>
              <w:t>组成</w:t>
            </w:r>
          </w:p>
          <w:p w14:paraId="61585BA7">
            <w:pPr>
              <w:pStyle w:val="12"/>
              <w:spacing w:before="160"/>
              <w:ind w:left="721"/>
              <w:rPr>
                <w:rFonts w:hint="eastAsia" w:ascii="Times New Roman" w:hAnsi="Times New Roman" w:eastAsia="宋体" w:cs="Times New Roman"/>
                <w:color w:val="000000" w:themeColor="text1"/>
                <w:kern w:val="2"/>
                <w:sz w:val="24"/>
                <w:szCs w:val="32"/>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32"/>
                <w:highlight w:val="none"/>
                <w:lang w:val="en-US" w:eastAsia="zh-CN" w:bidi="ar-SA"/>
                <w14:textFill>
                  <w14:solidFill>
                    <w14:schemeClr w14:val="tx1"/>
                  </w14:solidFill>
                </w14:textFill>
              </w:rPr>
              <w:t>项目工程组成及建设内容见</w:t>
            </w:r>
            <w:r>
              <w:rPr>
                <w:rFonts w:hint="eastAsia" w:cs="Times New Roman"/>
                <w:color w:val="000000" w:themeColor="text1"/>
                <w:kern w:val="2"/>
                <w:sz w:val="24"/>
                <w:szCs w:val="32"/>
                <w:highlight w:val="none"/>
                <w:lang w:val="en-US" w:eastAsia="zh-CN" w:bidi="ar-SA"/>
                <w14:textFill>
                  <w14:solidFill>
                    <w14:schemeClr w14:val="tx1"/>
                  </w14:solidFill>
                </w14:textFill>
              </w:rPr>
              <w:t>下</w:t>
            </w:r>
            <w:r>
              <w:rPr>
                <w:rFonts w:hint="eastAsia" w:ascii="Times New Roman" w:hAnsi="Times New Roman" w:eastAsia="宋体" w:cs="Times New Roman"/>
                <w:color w:val="000000" w:themeColor="text1"/>
                <w:kern w:val="2"/>
                <w:sz w:val="24"/>
                <w:szCs w:val="32"/>
                <w:highlight w:val="none"/>
                <w:lang w:val="en-US" w:eastAsia="zh-CN" w:bidi="ar-SA"/>
                <w14:textFill>
                  <w14:solidFill>
                    <w14:schemeClr w14:val="tx1"/>
                  </w14:solidFill>
                </w14:textFill>
              </w:rPr>
              <w:t>表。</w:t>
            </w:r>
          </w:p>
          <w:p w14:paraId="74480404">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eastAsia" w:ascii="Times New Roman" w:hAnsi="Times New Roman" w:eastAsia="宋体" w:cs="Times New Roman"/>
                <w:color w:val="000000" w:themeColor="text1"/>
                <w:kern w:val="2"/>
                <w:sz w:val="24"/>
                <w:szCs w:val="32"/>
                <w:highlight w:val="none"/>
                <w:lang w:val="en-US" w:eastAsia="zh-CN" w:bidi="ar-SA"/>
                <w14:textFill>
                  <w14:solidFill>
                    <w14:schemeClr w14:val="tx1"/>
                  </w14:solidFill>
                </w14:textFill>
              </w:rPr>
            </w:pPr>
            <w:r>
              <w:rPr>
                <w:rFonts w:hint="eastAsia"/>
                <w:b/>
                <w:color w:val="000000" w:themeColor="text1"/>
                <w:sz w:val="24"/>
                <w:szCs w:val="24"/>
                <w:highlight w:val="none"/>
                <w14:textFill>
                  <w14:solidFill>
                    <w14:schemeClr w14:val="tx1"/>
                  </w14:solidFill>
                </w14:textFill>
              </w:rPr>
              <w:t>表</w:t>
            </w:r>
            <w:r>
              <w:rPr>
                <w:rFonts w:hint="eastAsia"/>
                <w:b/>
                <w:color w:val="000000" w:themeColor="text1"/>
                <w:sz w:val="24"/>
                <w:szCs w:val="24"/>
                <w:highlight w:val="none"/>
                <w:lang w:val="en-US" w:eastAsia="zh-CN"/>
                <w14:textFill>
                  <w14:solidFill>
                    <w14:schemeClr w14:val="tx1"/>
                  </w14:solidFill>
                </w14:textFill>
              </w:rPr>
              <w:t>2.3-1</w:t>
            </w:r>
            <w:r>
              <w:rPr>
                <w:b/>
                <w:color w:val="000000" w:themeColor="text1"/>
                <w:sz w:val="24"/>
                <w:szCs w:val="24"/>
                <w:highlight w:val="none"/>
                <w14:textFill>
                  <w14:solidFill>
                    <w14:schemeClr w14:val="tx1"/>
                  </w14:solidFill>
                </w14:textFill>
              </w:rPr>
              <w:t xml:space="preserve"> </w:t>
            </w:r>
            <w:r>
              <w:rPr>
                <w:rFonts w:hint="eastAsia"/>
                <w:b/>
                <w:color w:val="000000" w:themeColor="text1"/>
                <w:sz w:val="24"/>
                <w:szCs w:val="24"/>
                <w:highlight w:val="none"/>
                <w:lang w:val="en-US" w:eastAsia="zh-CN"/>
                <w14:textFill>
                  <w14:solidFill>
                    <w14:schemeClr w14:val="tx1"/>
                  </w14:solidFill>
                </w14:textFill>
              </w:rPr>
              <w:t>项目组成一览表</w:t>
            </w:r>
          </w:p>
          <w:tbl>
            <w:tblPr>
              <w:tblStyle w:val="30"/>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786"/>
              <w:gridCol w:w="630"/>
              <w:gridCol w:w="1005"/>
              <w:gridCol w:w="3240"/>
              <w:gridCol w:w="3165"/>
              <w:gridCol w:w="3162"/>
              <w:gridCol w:w="1438"/>
            </w:tblGrid>
            <w:tr w14:paraId="31229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786" w:type="dxa"/>
                  <w:vMerge w:val="restart"/>
                  <w:tcBorders>
                    <w:tl2br w:val="nil"/>
                    <w:tr2bl w:val="nil"/>
                  </w:tcBorders>
                  <w:vAlign w:val="center"/>
                </w:tcPr>
                <w:p w14:paraId="3C65FC4B">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工程类别</w:t>
                  </w:r>
                </w:p>
              </w:tc>
              <w:tc>
                <w:tcPr>
                  <w:tcW w:w="1635" w:type="dxa"/>
                  <w:gridSpan w:val="2"/>
                  <w:vMerge w:val="restart"/>
                  <w:tcBorders>
                    <w:tl2br w:val="nil"/>
                    <w:tr2bl w:val="nil"/>
                  </w:tcBorders>
                  <w:vAlign w:val="center"/>
                </w:tcPr>
                <w:p w14:paraId="1AF8AEF8">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项目组成</w:t>
                  </w:r>
                </w:p>
              </w:tc>
              <w:tc>
                <w:tcPr>
                  <w:tcW w:w="11005" w:type="dxa"/>
                  <w:gridSpan w:val="4"/>
                  <w:tcBorders>
                    <w:tl2br w:val="nil"/>
                    <w:tr2bl w:val="nil"/>
                  </w:tcBorders>
                  <w:vAlign w:val="center"/>
                </w:tcPr>
                <w:p w14:paraId="76B17370">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具体建设内容</w:t>
                  </w:r>
                </w:p>
              </w:tc>
            </w:tr>
            <w:tr w14:paraId="3815C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786" w:type="dxa"/>
                  <w:vMerge w:val="continue"/>
                  <w:tcBorders>
                    <w:tl2br w:val="nil"/>
                    <w:tr2bl w:val="nil"/>
                  </w:tcBorders>
                  <w:vAlign w:val="center"/>
                </w:tcPr>
                <w:p w14:paraId="09CE6E9A">
                  <w:pPr>
                    <w:keepNext w:val="0"/>
                    <w:keepLines w:val="0"/>
                    <w:pageBreakBefore w:val="0"/>
                    <w:widowControl w:val="0"/>
                    <w:kinsoku/>
                    <w:wordWrap/>
                    <w:overflowPunct/>
                    <w:topLinePunct w:val="0"/>
                    <w:bidi w:val="0"/>
                    <w:adjustRightInd/>
                    <w:snapToGrid/>
                    <w:spacing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p>
              </w:tc>
              <w:tc>
                <w:tcPr>
                  <w:tcW w:w="1635" w:type="dxa"/>
                  <w:gridSpan w:val="2"/>
                  <w:vMerge w:val="continue"/>
                  <w:tcBorders>
                    <w:tl2br w:val="nil"/>
                    <w:tr2bl w:val="nil"/>
                  </w:tcBorders>
                  <w:vAlign w:val="center"/>
                </w:tcPr>
                <w:p w14:paraId="31D552B5">
                  <w:pPr>
                    <w:keepNext w:val="0"/>
                    <w:keepLines w:val="0"/>
                    <w:pageBreakBefore w:val="0"/>
                    <w:widowControl w:val="0"/>
                    <w:kinsoku/>
                    <w:wordWrap/>
                    <w:overflowPunct/>
                    <w:topLinePunct w:val="0"/>
                    <w:bidi w:val="0"/>
                    <w:adjustRightInd/>
                    <w:snapToGrid/>
                    <w:spacing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p>
              </w:tc>
              <w:tc>
                <w:tcPr>
                  <w:tcW w:w="3240" w:type="dxa"/>
                  <w:tcBorders>
                    <w:tl2br w:val="nil"/>
                    <w:tr2bl w:val="nil"/>
                  </w:tcBorders>
                  <w:vAlign w:val="center"/>
                </w:tcPr>
                <w:p w14:paraId="6A4319B5">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现有工程</w:t>
                  </w:r>
                </w:p>
              </w:tc>
              <w:tc>
                <w:tcPr>
                  <w:tcW w:w="3165" w:type="dxa"/>
                  <w:tcBorders>
                    <w:tl2br w:val="nil"/>
                    <w:tr2bl w:val="nil"/>
                  </w:tcBorders>
                  <w:vAlign w:val="center"/>
                </w:tcPr>
                <w:p w14:paraId="34C8B790">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拟扩建工程</w:t>
                  </w:r>
                </w:p>
              </w:tc>
              <w:tc>
                <w:tcPr>
                  <w:tcW w:w="3162" w:type="dxa"/>
                  <w:tcBorders>
                    <w:tl2br w:val="nil"/>
                    <w:tr2bl w:val="nil"/>
                  </w:tcBorders>
                  <w:vAlign w:val="center"/>
                </w:tcPr>
                <w:p w14:paraId="39B004B5">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扩建后全厂</w:t>
                  </w:r>
                </w:p>
              </w:tc>
              <w:tc>
                <w:tcPr>
                  <w:tcW w:w="1438" w:type="dxa"/>
                  <w:tcBorders>
                    <w:tl2br w:val="nil"/>
                    <w:tr2bl w:val="nil"/>
                  </w:tcBorders>
                  <w:vAlign w:val="center"/>
                </w:tcPr>
                <w:p w14:paraId="60907C6A">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依托关系</w:t>
                  </w:r>
                </w:p>
              </w:tc>
            </w:tr>
            <w:tr w14:paraId="27C68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786" w:type="dxa"/>
                  <w:vMerge w:val="restart"/>
                  <w:tcBorders>
                    <w:tl2br w:val="nil"/>
                    <w:tr2bl w:val="nil"/>
                  </w:tcBorders>
                  <w:vAlign w:val="center"/>
                </w:tcPr>
                <w:p w14:paraId="4D41AED6">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主体工程</w:t>
                  </w:r>
                </w:p>
              </w:tc>
              <w:tc>
                <w:tcPr>
                  <w:tcW w:w="630" w:type="dxa"/>
                  <w:vMerge w:val="restart"/>
                  <w:tcBorders>
                    <w:tl2br w:val="nil"/>
                    <w:tr2bl w:val="nil"/>
                  </w:tcBorders>
                  <w:vAlign w:val="center"/>
                </w:tcPr>
                <w:p w14:paraId="3C693A2E">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2#厂房</w:t>
                  </w:r>
                </w:p>
              </w:tc>
              <w:tc>
                <w:tcPr>
                  <w:tcW w:w="1005" w:type="dxa"/>
                  <w:tcBorders>
                    <w:tl2br w:val="nil"/>
                    <w:tr2bl w:val="nil"/>
                  </w:tcBorders>
                  <w:vAlign w:val="center"/>
                </w:tcPr>
                <w:p w14:paraId="55A32E66">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超精密核心光学元器件车间</w:t>
                  </w:r>
                </w:p>
              </w:tc>
              <w:tc>
                <w:tcPr>
                  <w:tcW w:w="3240" w:type="dxa"/>
                  <w:tcBorders>
                    <w:tl2br w:val="nil"/>
                    <w:tr2bl w:val="nil"/>
                  </w:tcBorders>
                  <w:vAlign w:val="center"/>
                </w:tcPr>
                <w:p w14:paraId="289EE9DC">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eastAsia"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pacing w:val="0"/>
                      <w:w w:val="100"/>
                      <w:kern w:val="0"/>
                      <w:position w:val="0"/>
                      <w:sz w:val="21"/>
                      <w:szCs w:val="21"/>
                      <w:highlight w:val="none"/>
                      <w:lang w:val="en-US" w:eastAsia="zh-CN"/>
                      <w14:textFill>
                        <w14:solidFill>
                          <w14:schemeClr w14:val="tx1"/>
                        </w14:solidFill>
                      </w14:textFill>
                    </w:rPr>
                    <w:t>2#厂房</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1F，H=5.4m，建筑面积4715.40m</w:t>
                  </w:r>
                  <w:r>
                    <w:rPr>
                      <w:rFonts w:hint="eastAsia" w:ascii="Times New Roman" w:hAnsi="Times New Roman" w:eastAsia="宋体" w:cs="Times New Roman"/>
                      <w:color w:val="000000" w:themeColor="text1"/>
                      <w:spacing w:val="0"/>
                      <w:w w:val="100"/>
                      <w:kern w:val="0"/>
                      <w:position w:val="0"/>
                      <w:sz w:val="21"/>
                      <w:szCs w:val="21"/>
                      <w:highlight w:val="none"/>
                      <w:vertAlign w:val="superscript"/>
                      <w:lang w:val="en-US" w:eastAsia="zh-CN"/>
                      <w14:textFill>
                        <w14:solidFill>
                          <w14:schemeClr w14:val="tx1"/>
                        </w14:solidFill>
                      </w14:textFill>
                    </w:rPr>
                    <w:t>2</w:t>
                  </w:r>
                </w:p>
              </w:tc>
              <w:tc>
                <w:tcPr>
                  <w:tcW w:w="3165" w:type="dxa"/>
                  <w:tcBorders>
                    <w:tl2br w:val="nil"/>
                    <w:tr2bl w:val="nil"/>
                  </w:tcBorders>
                  <w:vAlign w:val="center"/>
                </w:tcPr>
                <w:p w14:paraId="2B8FFA2C">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w:t>
                  </w:r>
                </w:p>
              </w:tc>
              <w:tc>
                <w:tcPr>
                  <w:tcW w:w="3162" w:type="dxa"/>
                  <w:tcBorders>
                    <w:tl2br w:val="nil"/>
                    <w:tr2bl w:val="nil"/>
                  </w:tcBorders>
                  <w:vAlign w:val="center"/>
                </w:tcPr>
                <w:p w14:paraId="5C2999D8">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eastAsia"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pacing w:val="0"/>
                      <w:w w:val="100"/>
                      <w:kern w:val="0"/>
                      <w:position w:val="0"/>
                      <w:sz w:val="21"/>
                      <w:szCs w:val="21"/>
                      <w:highlight w:val="none"/>
                      <w:lang w:val="en-US" w:eastAsia="zh-CN"/>
                      <w14:textFill>
                        <w14:solidFill>
                          <w14:schemeClr w14:val="tx1"/>
                        </w14:solidFill>
                      </w14:textFill>
                    </w:rPr>
                    <w:t>2#厂房</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1F，H=5.4m，建筑面积4715.40m</w:t>
                  </w:r>
                  <w:r>
                    <w:rPr>
                      <w:rFonts w:hint="eastAsia" w:ascii="Times New Roman" w:hAnsi="Times New Roman" w:cs="Times New Roman"/>
                      <w:color w:val="000000" w:themeColor="text1"/>
                      <w:spacing w:val="0"/>
                      <w:w w:val="100"/>
                      <w:kern w:val="0"/>
                      <w:position w:val="0"/>
                      <w:sz w:val="21"/>
                      <w:szCs w:val="21"/>
                      <w:highlight w:val="none"/>
                      <w:vertAlign w:val="superscript"/>
                      <w:lang w:val="en-US" w:eastAsia="zh-CN"/>
                      <w14:textFill>
                        <w14:solidFill>
                          <w14:schemeClr w14:val="tx1"/>
                        </w14:solidFill>
                      </w14:textFill>
                    </w:rPr>
                    <w:t>2</w:t>
                  </w:r>
                </w:p>
              </w:tc>
              <w:tc>
                <w:tcPr>
                  <w:tcW w:w="1438" w:type="dxa"/>
                  <w:tcBorders>
                    <w:tl2br w:val="nil"/>
                    <w:tr2bl w:val="nil"/>
                  </w:tcBorders>
                  <w:vAlign w:val="center"/>
                </w:tcPr>
                <w:p w14:paraId="2B21F87B">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无变化</w:t>
                  </w:r>
                </w:p>
              </w:tc>
            </w:tr>
            <w:tr w14:paraId="12C06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786" w:type="dxa"/>
                  <w:vMerge w:val="continue"/>
                  <w:tcBorders>
                    <w:tl2br w:val="nil"/>
                    <w:tr2bl w:val="nil"/>
                  </w:tcBorders>
                  <w:vAlign w:val="center"/>
                </w:tcPr>
                <w:p w14:paraId="78E6F011">
                  <w:pPr>
                    <w:keepNext w:val="0"/>
                    <w:keepLines w:val="0"/>
                    <w:pageBreakBefore w:val="0"/>
                    <w:widowControl w:val="0"/>
                    <w:kinsoku/>
                    <w:wordWrap/>
                    <w:overflowPunct/>
                    <w:topLinePunct w:val="0"/>
                    <w:bidi w:val="0"/>
                    <w:adjustRightInd/>
                    <w:snapToGrid/>
                    <w:spacing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p>
              </w:tc>
              <w:tc>
                <w:tcPr>
                  <w:tcW w:w="630" w:type="dxa"/>
                  <w:vMerge w:val="continue"/>
                  <w:tcBorders>
                    <w:tl2br w:val="nil"/>
                    <w:tr2bl w:val="nil"/>
                  </w:tcBorders>
                  <w:vAlign w:val="center"/>
                </w:tcPr>
                <w:p w14:paraId="3702F13A">
                  <w:pPr>
                    <w:keepNext w:val="0"/>
                    <w:keepLines w:val="0"/>
                    <w:pageBreakBefore w:val="0"/>
                    <w:widowControl w:val="0"/>
                    <w:kinsoku/>
                    <w:wordWrap/>
                    <w:overflowPunct/>
                    <w:topLinePunct w:val="0"/>
                    <w:bidi w:val="0"/>
                    <w:adjustRightInd/>
                    <w:snapToGrid/>
                    <w:spacing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p>
              </w:tc>
              <w:tc>
                <w:tcPr>
                  <w:tcW w:w="1005" w:type="dxa"/>
                  <w:tcBorders>
                    <w:tl2br w:val="nil"/>
                    <w:tr2bl w:val="nil"/>
                  </w:tcBorders>
                  <w:vAlign w:val="center"/>
                </w:tcPr>
                <w:p w14:paraId="1B9E8586">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晶体元器</w:t>
                  </w:r>
                </w:p>
                <w:p w14:paraId="54E8074D">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件车间</w:t>
                  </w:r>
                </w:p>
              </w:tc>
              <w:tc>
                <w:tcPr>
                  <w:tcW w:w="3240" w:type="dxa"/>
                  <w:tcBorders>
                    <w:tl2br w:val="nil"/>
                    <w:tr2bl w:val="nil"/>
                  </w:tcBorders>
                  <w:vAlign w:val="center"/>
                </w:tcPr>
                <w:p w14:paraId="5937E434">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eastAsia" w:ascii="Times New Roman" w:hAnsi="Times New Roman" w:cs="Times New Roman"/>
                      <w:color w:val="000000" w:themeColor="text1"/>
                      <w:spacing w:val="0"/>
                      <w:w w:val="100"/>
                      <w:kern w:val="0"/>
                      <w:position w:val="0"/>
                      <w:sz w:val="21"/>
                      <w:szCs w:val="21"/>
                      <w:highlight w:val="none"/>
                      <w:lang w:val="en-US" w:eastAsia="zh-CN"/>
                      <w14:textFill>
                        <w14:solidFill>
                          <w14:schemeClr w14:val="tx1"/>
                        </w14:solidFill>
                      </w14:textFill>
                    </w:rPr>
                    <w:t>2#厂房</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1F，H=7m，建筑面积5493.67m</w:t>
                  </w:r>
                  <w:r>
                    <w:rPr>
                      <w:rFonts w:hint="eastAsia" w:ascii="Times New Roman" w:hAnsi="Times New Roman" w:eastAsia="宋体" w:cs="Times New Roman"/>
                      <w:color w:val="000000" w:themeColor="text1"/>
                      <w:spacing w:val="0"/>
                      <w:w w:val="100"/>
                      <w:kern w:val="0"/>
                      <w:position w:val="0"/>
                      <w:sz w:val="2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（含办公室）</w:t>
                  </w:r>
                </w:p>
              </w:tc>
              <w:tc>
                <w:tcPr>
                  <w:tcW w:w="3165" w:type="dxa"/>
                  <w:tcBorders>
                    <w:tl2br w:val="nil"/>
                    <w:tr2bl w:val="nil"/>
                  </w:tcBorders>
                  <w:vAlign w:val="center"/>
                </w:tcPr>
                <w:p w14:paraId="6C9C43D0">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w:t>
                  </w:r>
                </w:p>
              </w:tc>
              <w:tc>
                <w:tcPr>
                  <w:tcW w:w="3162" w:type="dxa"/>
                  <w:tcBorders>
                    <w:tl2br w:val="nil"/>
                    <w:tr2bl w:val="nil"/>
                  </w:tcBorders>
                  <w:vAlign w:val="center"/>
                </w:tcPr>
                <w:p w14:paraId="49CFBDDC">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eastAsia" w:ascii="Times New Roman" w:hAnsi="Times New Roman" w:cs="Times New Roman"/>
                      <w:color w:val="000000" w:themeColor="text1"/>
                      <w:spacing w:val="0"/>
                      <w:w w:val="100"/>
                      <w:kern w:val="0"/>
                      <w:position w:val="0"/>
                      <w:sz w:val="21"/>
                      <w:szCs w:val="21"/>
                      <w:highlight w:val="none"/>
                      <w:lang w:val="en-US" w:eastAsia="zh-CN"/>
                      <w14:textFill>
                        <w14:solidFill>
                          <w14:schemeClr w14:val="tx1"/>
                        </w14:solidFill>
                      </w14:textFill>
                    </w:rPr>
                    <w:t>2#厂房</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1F，H=7m，建筑面积5493.67m</w:t>
                  </w:r>
                  <w:r>
                    <w:rPr>
                      <w:rFonts w:hint="eastAsia" w:ascii="Times New Roman" w:hAnsi="Times New Roman" w:eastAsia="宋体" w:cs="Times New Roman"/>
                      <w:color w:val="000000" w:themeColor="text1"/>
                      <w:spacing w:val="0"/>
                      <w:w w:val="100"/>
                      <w:kern w:val="0"/>
                      <w:position w:val="0"/>
                      <w:sz w:val="2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（含办公室）</w:t>
                  </w:r>
                </w:p>
              </w:tc>
              <w:tc>
                <w:tcPr>
                  <w:tcW w:w="1438" w:type="dxa"/>
                  <w:tcBorders>
                    <w:tl2br w:val="nil"/>
                    <w:tr2bl w:val="nil"/>
                  </w:tcBorders>
                  <w:vAlign w:val="center"/>
                </w:tcPr>
                <w:p w14:paraId="67228393">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无变化</w:t>
                  </w:r>
                </w:p>
              </w:tc>
            </w:tr>
            <w:tr w14:paraId="0534C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786" w:type="dxa"/>
                  <w:vMerge w:val="continue"/>
                  <w:tcBorders>
                    <w:tl2br w:val="nil"/>
                    <w:tr2bl w:val="nil"/>
                  </w:tcBorders>
                  <w:vAlign w:val="center"/>
                </w:tcPr>
                <w:p w14:paraId="758E56CF">
                  <w:pPr>
                    <w:keepNext w:val="0"/>
                    <w:keepLines w:val="0"/>
                    <w:pageBreakBefore w:val="0"/>
                    <w:widowControl w:val="0"/>
                    <w:kinsoku/>
                    <w:wordWrap/>
                    <w:overflowPunct/>
                    <w:topLinePunct w:val="0"/>
                    <w:bidi w:val="0"/>
                    <w:adjustRightInd/>
                    <w:snapToGrid/>
                    <w:spacing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p>
              </w:tc>
              <w:tc>
                <w:tcPr>
                  <w:tcW w:w="630" w:type="dxa"/>
                  <w:vMerge w:val="continue"/>
                  <w:tcBorders>
                    <w:tl2br w:val="nil"/>
                    <w:tr2bl w:val="nil"/>
                  </w:tcBorders>
                  <w:vAlign w:val="center"/>
                </w:tcPr>
                <w:p w14:paraId="5EFBA16F">
                  <w:pPr>
                    <w:keepNext w:val="0"/>
                    <w:keepLines w:val="0"/>
                    <w:pageBreakBefore w:val="0"/>
                    <w:widowControl w:val="0"/>
                    <w:kinsoku/>
                    <w:wordWrap/>
                    <w:overflowPunct/>
                    <w:topLinePunct w:val="0"/>
                    <w:bidi w:val="0"/>
                    <w:adjustRightInd/>
                    <w:snapToGrid/>
                    <w:spacing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p>
              </w:tc>
              <w:tc>
                <w:tcPr>
                  <w:tcW w:w="1005" w:type="dxa"/>
                  <w:tcBorders>
                    <w:tl2br w:val="nil"/>
                    <w:tr2bl w:val="nil"/>
                  </w:tcBorders>
                  <w:vAlign w:val="center"/>
                </w:tcPr>
                <w:p w14:paraId="04518F1F">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晶体生产</w:t>
                  </w:r>
                </w:p>
                <w:p w14:paraId="4770ED16">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车间</w:t>
                  </w:r>
                </w:p>
              </w:tc>
              <w:tc>
                <w:tcPr>
                  <w:tcW w:w="3240" w:type="dxa"/>
                  <w:tcBorders>
                    <w:tl2br w:val="nil"/>
                    <w:tr2bl w:val="nil"/>
                  </w:tcBorders>
                  <w:vAlign w:val="center"/>
                </w:tcPr>
                <w:p w14:paraId="34D6F8C4">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eastAsia" w:ascii="Times New Roman" w:hAnsi="Times New Roman" w:cs="Times New Roman"/>
                      <w:color w:val="000000" w:themeColor="text1"/>
                      <w:spacing w:val="0"/>
                      <w:w w:val="100"/>
                      <w:kern w:val="0"/>
                      <w:position w:val="0"/>
                      <w:sz w:val="21"/>
                      <w:szCs w:val="21"/>
                      <w:highlight w:val="none"/>
                      <w:lang w:val="en-US" w:eastAsia="zh-CN"/>
                      <w14:textFill>
                        <w14:solidFill>
                          <w14:schemeClr w14:val="tx1"/>
                        </w14:solidFill>
                      </w14:textFill>
                    </w:rPr>
                    <w:t>2#厂房</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2F，H=4.5m，建筑面积9632.52m</w:t>
                  </w:r>
                  <w:r>
                    <w:rPr>
                      <w:rFonts w:hint="eastAsia" w:ascii="Times New Roman" w:hAnsi="Times New Roman" w:cs="Times New Roman"/>
                      <w:color w:val="000000" w:themeColor="text1"/>
                      <w:spacing w:val="0"/>
                      <w:w w:val="100"/>
                      <w:kern w:val="0"/>
                      <w:position w:val="0"/>
                      <w:sz w:val="2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（含办公室）</w:t>
                  </w:r>
                </w:p>
              </w:tc>
              <w:tc>
                <w:tcPr>
                  <w:tcW w:w="3165" w:type="dxa"/>
                  <w:tcBorders>
                    <w:tl2br w:val="nil"/>
                    <w:tr2bl w:val="nil"/>
                  </w:tcBorders>
                  <w:vAlign w:val="center"/>
                </w:tcPr>
                <w:p w14:paraId="60504DB9">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w:t>
                  </w:r>
                </w:p>
              </w:tc>
              <w:tc>
                <w:tcPr>
                  <w:tcW w:w="3162" w:type="dxa"/>
                  <w:tcBorders>
                    <w:tl2br w:val="nil"/>
                    <w:tr2bl w:val="nil"/>
                  </w:tcBorders>
                  <w:vAlign w:val="center"/>
                </w:tcPr>
                <w:p w14:paraId="7FA89C5D">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eastAsia" w:ascii="Times New Roman" w:hAnsi="Times New Roman" w:cs="Times New Roman"/>
                      <w:color w:val="000000" w:themeColor="text1"/>
                      <w:spacing w:val="0"/>
                      <w:w w:val="100"/>
                      <w:kern w:val="0"/>
                      <w:position w:val="0"/>
                      <w:sz w:val="21"/>
                      <w:szCs w:val="21"/>
                      <w:highlight w:val="none"/>
                      <w:lang w:val="en-US" w:eastAsia="zh-CN"/>
                      <w14:textFill>
                        <w14:solidFill>
                          <w14:schemeClr w14:val="tx1"/>
                        </w14:solidFill>
                      </w14:textFill>
                    </w:rPr>
                    <w:t>2#厂房</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2F，H=4.5m，建筑面积9632.52m</w:t>
                  </w:r>
                  <w:r>
                    <w:rPr>
                      <w:rFonts w:hint="eastAsia" w:ascii="Times New Roman" w:hAnsi="Times New Roman" w:cs="Times New Roman"/>
                      <w:color w:val="000000" w:themeColor="text1"/>
                      <w:spacing w:val="0"/>
                      <w:w w:val="100"/>
                      <w:kern w:val="0"/>
                      <w:position w:val="0"/>
                      <w:sz w:val="21"/>
                      <w:szCs w:val="21"/>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（含办公室）</w:t>
                  </w:r>
                </w:p>
              </w:tc>
              <w:tc>
                <w:tcPr>
                  <w:tcW w:w="1438" w:type="dxa"/>
                  <w:tcBorders>
                    <w:tl2br w:val="nil"/>
                    <w:tr2bl w:val="nil"/>
                  </w:tcBorders>
                  <w:vAlign w:val="center"/>
                </w:tcPr>
                <w:p w14:paraId="0ED4AD6B">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无变化</w:t>
                  </w:r>
                </w:p>
              </w:tc>
            </w:tr>
            <w:tr w14:paraId="690D9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786" w:type="dxa"/>
                  <w:vMerge w:val="continue"/>
                  <w:tcBorders>
                    <w:tl2br w:val="nil"/>
                    <w:tr2bl w:val="nil"/>
                  </w:tcBorders>
                  <w:vAlign w:val="center"/>
                </w:tcPr>
                <w:p w14:paraId="5D561079">
                  <w:pPr>
                    <w:keepNext w:val="0"/>
                    <w:keepLines w:val="0"/>
                    <w:pageBreakBefore w:val="0"/>
                    <w:widowControl w:val="0"/>
                    <w:kinsoku/>
                    <w:wordWrap/>
                    <w:overflowPunct/>
                    <w:topLinePunct w:val="0"/>
                    <w:bidi w:val="0"/>
                    <w:adjustRightInd/>
                    <w:snapToGrid/>
                    <w:spacing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p>
              </w:tc>
              <w:tc>
                <w:tcPr>
                  <w:tcW w:w="630" w:type="dxa"/>
                  <w:tcBorders>
                    <w:tl2br w:val="nil"/>
                    <w:tr2bl w:val="nil"/>
                  </w:tcBorders>
                  <w:vAlign w:val="center"/>
                </w:tcPr>
                <w:p w14:paraId="27E33B2F">
                  <w:pPr>
                    <w:keepNext w:val="0"/>
                    <w:keepLines w:val="0"/>
                    <w:pageBreakBefore w:val="0"/>
                    <w:widowControl w:val="0"/>
                    <w:kinsoku/>
                    <w:wordWrap/>
                    <w:overflowPunct/>
                    <w:topLinePunct w:val="0"/>
                    <w:bidi w:val="0"/>
                    <w:adjustRightInd/>
                    <w:snapToGrid/>
                    <w:spacing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t>1#厂房</w:t>
                  </w:r>
                </w:p>
              </w:tc>
              <w:tc>
                <w:tcPr>
                  <w:tcW w:w="1005" w:type="dxa"/>
                  <w:tcBorders>
                    <w:tl2br w:val="nil"/>
                    <w:tr2bl w:val="nil"/>
                  </w:tcBorders>
                  <w:vAlign w:val="center"/>
                </w:tcPr>
                <w:p w14:paraId="0809E9F1">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超精密光学元器件车间</w:t>
                  </w:r>
                </w:p>
              </w:tc>
              <w:tc>
                <w:tcPr>
                  <w:tcW w:w="3240" w:type="dxa"/>
                  <w:tcBorders>
                    <w:tl2br w:val="nil"/>
                    <w:tr2bl w:val="nil"/>
                  </w:tcBorders>
                  <w:vAlign w:val="center"/>
                </w:tcPr>
                <w:p w14:paraId="127BAF13">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w:t>
                  </w:r>
                </w:p>
              </w:tc>
              <w:tc>
                <w:tcPr>
                  <w:tcW w:w="3165" w:type="dxa"/>
                  <w:tcBorders>
                    <w:tl2br w:val="nil"/>
                    <w:tr2bl w:val="nil"/>
                  </w:tcBorders>
                  <w:vAlign w:val="center"/>
                </w:tcPr>
                <w:p w14:paraId="28085C86">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eastAsia" w:ascii="Times New Roman" w:hAnsi="Times New Roman" w:cs="Times New Roman"/>
                      <w:color w:val="000000" w:themeColor="text1"/>
                      <w:spacing w:val="0"/>
                      <w:w w:val="100"/>
                      <w:kern w:val="0"/>
                      <w:position w:val="0"/>
                      <w:sz w:val="21"/>
                      <w:szCs w:val="21"/>
                      <w:highlight w:val="none"/>
                      <w:lang w:val="en-US" w:eastAsia="zh-CN"/>
                      <w14:textFill>
                        <w14:solidFill>
                          <w14:schemeClr w14:val="tx1"/>
                        </w14:solidFill>
                      </w14:textFill>
                    </w:rPr>
                    <w:t>1#厂房</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1F，H=</w:t>
                  </w:r>
                  <w:r>
                    <w:rPr>
                      <w:rFonts w:hint="eastAsia" w:ascii="Times New Roman" w:hAnsi="Times New Roman" w:cs="Times New Roman"/>
                      <w:color w:val="000000" w:themeColor="text1"/>
                      <w:spacing w:val="0"/>
                      <w:w w:val="100"/>
                      <w:kern w:val="0"/>
                      <w:position w:val="0"/>
                      <w:sz w:val="21"/>
                      <w:szCs w:val="21"/>
                      <w:highlight w:val="none"/>
                      <w:lang w:val="en-US" w:eastAsia="zh-CN"/>
                      <w14:textFill>
                        <w14:solidFill>
                          <w14:schemeClr w14:val="tx1"/>
                        </w14:solidFill>
                      </w14:textFill>
                    </w:rPr>
                    <w:t>9</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m，建筑面积</w:t>
                  </w:r>
                  <w:r>
                    <w:rPr>
                      <w:rFonts w:hint="default"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t>11858.28</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m</w:t>
                  </w:r>
                  <w:r>
                    <w:rPr>
                      <w:rFonts w:hint="eastAsia" w:ascii="Times New Roman" w:hAnsi="Times New Roman" w:eastAsia="宋体" w:cs="Times New Roman"/>
                      <w:color w:val="000000" w:themeColor="text1"/>
                      <w:spacing w:val="0"/>
                      <w:w w:val="100"/>
                      <w:kern w:val="0"/>
                      <w:position w:val="0"/>
                      <w:sz w:val="21"/>
                      <w:szCs w:val="21"/>
                      <w:highlight w:val="none"/>
                      <w:vertAlign w:val="superscript"/>
                      <w:lang w:val="en-US" w:eastAsia="zh-CN"/>
                      <w14:textFill>
                        <w14:solidFill>
                          <w14:schemeClr w14:val="tx1"/>
                        </w14:solidFill>
                      </w14:textFill>
                    </w:rPr>
                    <w:t>2</w:t>
                  </w:r>
                </w:p>
              </w:tc>
              <w:tc>
                <w:tcPr>
                  <w:tcW w:w="3162" w:type="dxa"/>
                  <w:tcBorders>
                    <w:tl2br w:val="nil"/>
                    <w:tr2bl w:val="nil"/>
                  </w:tcBorders>
                  <w:vAlign w:val="center"/>
                </w:tcPr>
                <w:p w14:paraId="51A451E5">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eastAsia" w:ascii="Times New Roman" w:hAnsi="Times New Roman" w:cs="Times New Roman"/>
                      <w:color w:val="000000" w:themeColor="text1"/>
                      <w:spacing w:val="0"/>
                      <w:w w:val="100"/>
                      <w:kern w:val="0"/>
                      <w:position w:val="0"/>
                      <w:sz w:val="21"/>
                      <w:szCs w:val="21"/>
                      <w:highlight w:val="none"/>
                      <w:lang w:val="en-US" w:eastAsia="zh-CN"/>
                      <w14:textFill>
                        <w14:solidFill>
                          <w14:schemeClr w14:val="tx1"/>
                        </w14:solidFill>
                      </w14:textFill>
                    </w:rPr>
                    <w:t>1#厂房</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1F，H=</w:t>
                  </w:r>
                  <w:r>
                    <w:rPr>
                      <w:rFonts w:hint="eastAsia" w:ascii="Times New Roman" w:hAnsi="Times New Roman" w:cs="Times New Roman"/>
                      <w:color w:val="000000" w:themeColor="text1"/>
                      <w:spacing w:val="0"/>
                      <w:w w:val="100"/>
                      <w:kern w:val="0"/>
                      <w:position w:val="0"/>
                      <w:sz w:val="21"/>
                      <w:szCs w:val="21"/>
                      <w:highlight w:val="none"/>
                      <w:lang w:val="en-US" w:eastAsia="zh-CN"/>
                      <w14:textFill>
                        <w14:solidFill>
                          <w14:schemeClr w14:val="tx1"/>
                        </w14:solidFill>
                      </w14:textFill>
                    </w:rPr>
                    <w:t>9</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m，建筑面积</w:t>
                  </w:r>
                  <w:r>
                    <w:rPr>
                      <w:rFonts w:hint="default"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t>11858.28</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m</w:t>
                  </w:r>
                  <w:r>
                    <w:rPr>
                      <w:rFonts w:hint="eastAsia" w:ascii="Times New Roman" w:hAnsi="Times New Roman" w:eastAsia="宋体" w:cs="Times New Roman"/>
                      <w:color w:val="000000" w:themeColor="text1"/>
                      <w:spacing w:val="0"/>
                      <w:w w:val="100"/>
                      <w:kern w:val="0"/>
                      <w:position w:val="0"/>
                      <w:sz w:val="21"/>
                      <w:szCs w:val="21"/>
                      <w:highlight w:val="none"/>
                      <w:vertAlign w:val="superscript"/>
                      <w:lang w:val="en-US" w:eastAsia="zh-CN"/>
                      <w14:textFill>
                        <w14:solidFill>
                          <w14:schemeClr w14:val="tx1"/>
                        </w14:solidFill>
                      </w14:textFill>
                    </w:rPr>
                    <w:t>2</w:t>
                  </w:r>
                </w:p>
              </w:tc>
              <w:tc>
                <w:tcPr>
                  <w:tcW w:w="1438" w:type="dxa"/>
                  <w:tcBorders>
                    <w:tl2br w:val="nil"/>
                    <w:tr2bl w:val="nil"/>
                  </w:tcBorders>
                  <w:vAlign w:val="center"/>
                </w:tcPr>
                <w:p w14:paraId="1FACCFEB">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新增</w:t>
                  </w:r>
                </w:p>
              </w:tc>
            </w:tr>
            <w:tr w14:paraId="1071F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786" w:type="dxa"/>
                  <w:vMerge w:val="restart"/>
                  <w:tcBorders>
                    <w:tl2br w:val="nil"/>
                    <w:tr2bl w:val="nil"/>
                  </w:tcBorders>
                  <w:vAlign w:val="center"/>
                </w:tcPr>
                <w:p w14:paraId="40D0684E">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公用工程</w:t>
                  </w:r>
                </w:p>
              </w:tc>
              <w:tc>
                <w:tcPr>
                  <w:tcW w:w="1635" w:type="dxa"/>
                  <w:gridSpan w:val="2"/>
                  <w:tcBorders>
                    <w:tl2br w:val="nil"/>
                    <w:tr2bl w:val="nil"/>
                  </w:tcBorders>
                  <w:vAlign w:val="center"/>
                </w:tcPr>
                <w:p w14:paraId="5D3D6D9B">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供水</w:t>
                  </w:r>
                </w:p>
              </w:tc>
              <w:tc>
                <w:tcPr>
                  <w:tcW w:w="3240" w:type="dxa"/>
                  <w:tcBorders>
                    <w:tl2br w:val="nil"/>
                    <w:tr2bl w:val="nil"/>
                  </w:tcBorders>
                  <w:vAlign w:val="center"/>
                </w:tcPr>
                <w:p w14:paraId="79E4623F">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接市政供水管网</w:t>
                  </w:r>
                </w:p>
              </w:tc>
              <w:tc>
                <w:tcPr>
                  <w:tcW w:w="3165" w:type="dxa"/>
                  <w:tcBorders>
                    <w:tl2br w:val="nil"/>
                    <w:tr2bl w:val="nil"/>
                  </w:tcBorders>
                  <w:vAlign w:val="center"/>
                </w:tcPr>
                <w:p w14:paraId="22AC05F5">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依托现有</w:t>
                  </w:r>
                </w:p>
              </w:tc>
              <w:tc>
                <w:tcPr>
                  <w:tcW w:w="3162" w:type="dxa"/>
                  <w:tcBorders>
                    <w:tl2br w:val="nil"/>
                    <w:tr2bl w:val="nil"/>
                  </w:tcBorders>
                  <w:vAlign w:val="center"/>
                </w:tcPr>
                <w:p w14:paraId="4C1F34F2">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接市政供水管网</w:t>
                  </w:r>
                </w:p>
              </w:tc>
              <w:tc>
                <w:tcPr>
                  <w:tcW w:w="1438" w:type="dxa"/>
                  <w:tcBorders>
                    <w:tl2br w:val="nil"/>
                    <w:tr2bl w:val="nil"/>
                  </w:tcBorders>
                  <w:vAlign w:val="center"/>
                </w:tcPr>
                <w:p w14:paraId="5099549D">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eastAsia" w:ascii="Times New Roman" w:hAnsi="Times New Roman" w:eastAsia="宋体" w:cs="Times New Roman"/>
                      <w:color w:val="000000" w:themeColor="text1"/>
                      <w:spacing w:val="0"/>
                      <w:w w:val="100"/>
                      <w:kern w:val="0"/>
                      <w:position w:val="0"/>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依托现有</w:t>
                  </w:r>
                </w:p>
              </w:tc>
            </w:tr>
            <w:tr w14:paraId="02585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786" w:type="dxa"/>
                  <w:vMerge w:val="continue"/>
                  <w:tcBorders>
                    <w:tl2br w:val="nil"/>
                    <w:tr2bl w:val="nil"/>
                  </w:tcBorders>
                  <w:vAlign w:val="center"/>
                </w:tcPr>
                <w:p w14:paraId="18EC7CFD">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p>
              </w:tc>
              <w:tc>
                <w:tcPr>
                  <w:tcW w:w="1635" w:type="dxa"/>
                  <w:gridSpan w:val="2"/>
                  <w:tcBorders>
                    <w:tl2br w:val="nil"/>
                    <w:tr2bl w:val="nil"/>
                  </w:tcBorders>
                  <w:vAlign w:val="center"/>
                </w:tcPr>
                <w:p w14:paraId="4527C9D9">
                  <w:pPr>
                    <w:pStyle w:val="36"/>
                    <w:keepNext w:val="0"/>
                    <w:keepLines w:val="0"/>
                    <w:pageBreakBefore w:val="0"/>
                    <w:widowControl w:val="0"/>
                    <w:kinsoku/>
                    <w:wordWrap/>
                    <w:overflowPunct/>
                    <w:topLinePunct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排水</w:t>
                  </w:r>
                </w:p>
              </w:tc>
              <w:tc>
                <w:tcPr>
                  <w:tcW w:w="3240" w:type="dxa"/>
                  <w:tcBorders>
                    <w:tl2br w:val="nil"/>
                    <w:tr2bl w:val="nil"/>
                  </w:tcBorders>
                  <w:vAlign w:val="center"/>
                </w:tcPr>
                <w:p w14:paraId="07C68B5D">
                  <w:pPr>
                    <w:pStyle w:val="36"/>
                    <w:keepNext w:val="0"/>
                    <w:keepLines w:val="0"/>
                    <w:pageBreakBefore w:val="0"/>
                    <w:widowControl w:val="0"/>
                    <w:kinsoku/>
                    <w:wordWrap/>
                    <w:overflowPunct/>
                    <w:topLinePunct w:val="0"/>
                    <w:bidi w:val="0"/>
                    <w:adjustRightInd/>
                    <w:snapToGrid/>
                    <w:spacing w:before="0" w:line="240" w:lineRule="auto"/>
                    <w:ind w:left="0" w:leftChars="0" w:right="0" w:rightChars="0"/>
                    <w:jc w:val="both"/>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排水系统采用雨污分流制，雨水经收集后排入市政雨水管网。生活污水经化粪池处理后排入市政污水管网，纳入福州大学城污水处理厂统一处理；生产废水经自建的三级沉淀池预处理后排入市政污水管网，纳入福州大学污水处理厂统一处理</w:t>
                  </w:r>
                  <w:r>
                    <w:rPr>
                      <w:rFonts w:hint="eastAsia" w:ascii="Times New Roman" w:hAnsi="Times New Roman" w:eastAsia="宋体" w:cs="Times New Roman"/>
                      <w:color w:val="000000" w:themeColor="text1"/>
                      <w:spacing w:val="0"/>
                      <w:w w:val="100"/>
                      <w:kern w:val="0"/>
                      <w:position w:val="0"/>
                      <w:sz w:val="21"/>
                      <w:szCs w:val="21"/>
                      <w:highlight w:val="none"/>
                      <w:lang w:eastAsia="zh-CN"/>
                      <w14:textFill>
                        <w14:solidFill>
                          <w14:schemeClr w14:val="tx1"/>
                        </w14:solidFill>
                      </w14:textFill>
                    </w:rPr>
                    <w:t>。</w:t>
                  </w:r>
                </w:p>
              </w:tc>
              <w:tc>
                <w:tcPr>
                  <w:tcW w:w="3165" w:type="dxa"/>
                  <w:tcBorders>
                    <w:tl2br w:val="nil"/>
                    <w:tr2bl w:val="nil"/>
                  </w:tcBorders>
                  <w:vAlign w:val="center"/>
                </w:tcPr>
                <w:p w14:paraId="1F7AC0B5">
                  <w:pPr>
                    <w:pStyle w:val="36"/>
                    <w:keepNext w:val="0"/>
                    <w:keepLines w:val="0"/>
                    <w:pageBreakBefore w:val="0"/>
                    <w:widowControl w:val="0"/>
                    <w:kinsoku/>
                    <w:wordWrap/>
                    <w:overflowPunct/>
                    <w:topLinePunct w:val="0"/>
                    <w:bidi w:val="0"/>
                    <w:adjustRightInd/>
                    <w:snapToGrid/>
                    <w:spacing w:before="0" w:line="240" w:lineRule="auto"/>
                    <w:ind w:left="0" w:leftChars="0" w:right="0" w:rightChars="0"/>
                    <w:jc w:val="both"/>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eastAsia"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t>1#厂房</w:t>
                  </w:r>
                  <w:r>
                    <w:rPr>
                      <w:rFonts w:hint="eastAsia" w:ascii="Times New Roman" w:hAnsi="Times New Roman" w:cs="Times New Roman"/>
                      <w:color w:val="000000" w:themeColor="text1"/>
                      <w:spacing w:val="0"/>
                      <w:w w:val="100"/>
                      <w:kern w:val="0"/>
                      <w:position w:val="0"/>
                      <w:sz w:val="21"/>
                      <w:szCs w:val="21"/>
                      <w:highlight w:val="none"/>
                      <w:lang w:val="en-US" w:eastAsia="zh-CN"/>
                      <w14:textFill>
                        <w14:solidFill>
                          <w14:schemeClr w14:val="tx1"/>
                        </w14:solidFill>
                      </w14:textFill>
                    </w:rPr>
                    <w:t>新建</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排水系统</w:t>
                  </w:r>
                  <w:r>
                    <w:rPr>
                      <w:rFonts w:hint="eastAsia" w:ascii="Times New Roman" w:hAnsi="Times New Roman" w:cs="Times New Roman"/>
                      <w:color w:val="000000" w:themeColor="text1"/>
                      <w:spacing w:val="0"/>
                      <w:w w:val="100"/>
                      <w:kern w:val="0"/>
                      <w:position w:val="0"/>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采用雨污分流制，雨水经收集后排入市政雨水管网。生活污水经</w:t>
                  </w:r>
                  <w:r>
                    <w:rPr>
                      <w:rFonts w:hint="default"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t>隔油+</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化粪池处理后排入市政污水管网，纳入福州大学城污水处理厂统一处理；</w:t>
                  </w:r>
                  <w:r>
                    <w:rPr>
                      <w:rFonts w:hint="eastAsia"/>
                      <w:color w:val="000000" w:themeColor="text1"/>
                      <w:sz w:val="21"/>
                      <w:szCs w:val="18"/>
                      <w:highlight w:val="none"/>
                      <w14:textFill>
                        <w14:solidFill>
                          <w14:schemeClr w14:val="tx1"/>
                        </w14:solidFill>
                      </w14:textFill>
                    </w:rPr>
                    <w:t>生产废水</w:t>
                  </w:r>
                  <w:r>
                    <w:rPr>
                      <w:rFonts w:hint="eastAsia"/>
                      <w:color w:val="000000" w:themeColor="text1"/>
                      <w:sz w:val="21"/>
                      <w:szCs w:val="18"/>
                      <w:highlight w:val="none"/>
                      <w:lang w:val="en-US" w:eastAsia="zh-CN"/>
                      <w14:textFill>
                        <w14:solidFill>
                          <w14:schemeClr w14:val="tx1"/>
                        </w14:solidFill>
                      </w14:textFill>
                    </w:rPr>
                    <w:t>排入本次新建污水处理站</w:t>
                  </w:r>
                  <w:r>
                    <w:rPr>
                      <w:rFonts w:hint="eastAsia"/>
                      <w:color w:val="000000" w:themeColor="text1"/>
                      <w:sz w:val="21"/>
                      <w:szCs w:val="18"/>
                      <w:highlight w:val="none"/>
                      <w14:textFill>
                        <w14:solidFill>
                          <w14:schemeClr w14:val="tx1"/>
                        </w14:solidFill>
                      </w14:textFill>
                    </w:rPr>
                    <w:t>处理后纳入福州大学城污水处理厂统一处理</w:t>
                  </w:r>
                  <w:r>
                    <w:rPr>
                      <w:rFonts w:hint="eastAsia" w:ascii="Times New Roman" w:hAnsi="Times New Roman" w:eastAsia="宋体" w:cs="Times New Roman"/>
                      <w:color w:val="000000" w:themeColor="text1"/>
                      <w:spacing w:val="0"/>
                      <w:w w:val="100"/>
                      <w:kern w:val="0"/>
                      <w:position w:val="0"/>
                      <w:sz w:val="21"/>
                      <w:szCs w:val="21"/>
                      <w:highlight w:val="none"/>
                      <w:lang w:eastAsia="zh-CN"/>
                      <w14:textFill>
                        <w14:solidFill>
                          <w14:schemeClr w14:val="tx1"/>
                        </w14:solidFill>
                      </w14:textFill>
                    </w:rPr>
                    <w:t>。</w:t>
                  </w:r>
                </w:p>
              </w:tc>
              <w:tc>
                <w:tcPr>
                  <w:tcW w:w="3162" w:type="dxa"/>
                  <w:tcBorders>
                    <w:tl2br w:val="nil"/>
                    <w:tr2bl w:val="nil"/>
                  </w:tcBorders>
                  <w:vAlign w:val="center"/>
                </w:tcPr>
                <w:p w14:paraId="029AA3BD">
                  <w:pPr>
                    <w:pStyle w:val="36"/>
                    <w:keepNext w:val="0"/>
                    <w:keepLines w:val="0"/>
                    <w:pageBreakBefore w:val="0"/>
                    <w:widowControl w:val="0"/>
                    <w:kinsoku/>
                    <w:wordWrap/>
                    <w:overflowPunct/>
                    <w:topLinePunct w:val="0"/>
                    <w:bidi w:val="0"/>
                    <w:adjustRightInd/>
                    <w:snapToGrid/>
                    <w:spacing w:before="0" w:line="240" w:lineRule="auto"/>
                    <w:ind w:left="0" w:leftChars="0" w:right="0" w:rightChars="0"/>
                    <w:jc w:val="both"/>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排水系统采用雨污分流制，雨水经收集后排入市政雨水管网。生活污水</w:t>
                  </w:r>
                  <w:r>
                    <w:rPr>
                      <w:rFonts w:hint="eastAsia" w:ascii="Times New Roman" w:hAnsi="Times New Roman" w:cs="Times New Roman"/>
                      <w:color w:val="000000" w:themeColor="text1"/>
                      <w:spacing w:val="0"/>
                      <w:w w:val="100"/>
                      <w:kern w:val="0"/>
                      <w:position w:val="0"/>
                      <w:sz w:val="21"/>
                      <w:szCs w:val="21"/>
                      <w:highlight w:val="none"/>
                      <w:lang w:val="en-US" w:eastAsia="zh-CN"/>
                      <w14:textFill>
                        <w14:solidFill>
                          <w14:schemeClr w14:val="tx1"/>
                        </w14:solidFill>
                      </w14:textFill>
                    </w:rPr>
                    <w:t>经</w:t>
                  </w:r>
                  <w:r>
                    <w:rPr>
                      <w:rFonts w:hint="default"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t>隔油+</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化粪池处理后排入市政污水管网，纳入福州大学城污水处理厂统一处理；</w:t>
                  </w:r>
                  <w:r>
                    <w:rPr>
                      <w:rFonts w:hint="eastAsia"/>
                      <w:color w:val="000000" w:themeColor="text1"/>
                      <w:sz w:val="21"/>
                      <w:szCs w:val="18"/>
                      <w:highlight w:val="none"/>
                      <w14:textFill>
                        <w14:solidFill>
                          <w14:schemeClr w14:val="tx1"/>
                        </w14:solidFill>
                      </w14:textFill>
                    </w:rPr>
                    <w:t>生产废水</w:t>
                  </w:r>
                  <w:r>
                    <w:rPr>
                      <w:rFonts w:hint="eastAsia"/>
                      <w:color w:val="000000" w:themeColor="text1"/>
                      <w:sz w:val="21"/>
                      <w:szCs w:val="18"/>
                      <w:highlight w:val="none"/>
                      <w:lang w:val="en-US" w:eastAsia="zh-CN"/>
                      <w14:textFill>
                        <w14:solidFill>
                          <w14:schemeClr w14:val="tx1"/>
                        </w14:solidFill>
                      </w14:textFill>
                    </w:rPr>
                    <w:t>排入本次新建污水处理站</w:t>
                  </w:r>
                  <w:r>
                    <w:rPr>
                      <w:rFonts w:hint="eastAsia"/>
                      <w:color w:val="000000" w:themeColor="text1"/>
                      <w:sz w:val="21"/>
                      <w:szCs w:val="18"/>
                      <w:highlight w:val="none"/>
                      <w14:textFill>
                        <w14:solidFill>
                          <w14:schemeClr w14:val="tx1"/>
                        </w14:solidFill>
                      </w14:textFill>
                    </w:rPr>
                    <w:t>处理后纳入福州大学城污水处理厂统一处理</w:t>
                  </w:r>
                  <w:r>
                    <w:rPr>
                      <w:rFonts w:hint="eastAsia" w:ascii="Times New Roman" w:hAnsi="Times New Roman" w:eastAsia="宋体" w:cs="Times New Roman"/>
                      <w:color w:val="000000" w:themeColor="text1"/>
                      <w:spacing w:val="0"/>
                      <w:w w:val="100"/>
                      <w:kern w:val="0"/>
                      <w:position w:val="0"/>
                      <w:sz w:val="21"/>
                      <w:szCs w:val="21"/>
                      <w:highlight w:val="none"/>
                      <w:lang w:eastAsia="zh-CN"/>
                      <w14:textFill>
                        <w14:solidFill>
                          <w14:schemeClr w14:val="tx1"/>
                        </w14:solidFill>
                      </w14:textFill>
                    </w:rPr>
                    <w:t>。</w:t>
                  </w:r>
                </w:p>
              </w:tc>
              <w:tc>
                <w:tcPr>
                  <w:tcW w:w="1438" w:type="dxa"/>
                  <w:tcBorders>
                    <w:tl2br w:val="nil"/>
                    <w:tr2bl w:val="nil"/>
                  </w:tcBorders>
                  <w:vAlign w:val="center"/>
                </w:tcPr>
                <w:p w14:paraId="2A6B4477">
                  <w:pPr>
                    <w:pStyle w:val="36"/>
                    <w:keepNext w:val="0"/>
                    <w:keepLines w:val="0"/>
                    <w:pageBreakBefore w:val="0"/>
                    <w:widowControl w:val="0"/>
                    <w:kinsoku/>
                    <w:wordWrap/>
                    <w:overflowPunct/>
                    <w:topLinePunct w:val="0"/>
                    <w:bidi w:val="0"/>
                    <w:adjustRightInd/>
                    <w:snapToGrid/>
                    <w:spacing w:before="0" w:line="240" w:lineRule="auto"/>
                    <w:ind w:left="0" w:leftChars="0" w:right="0" w:rightChars="0"/>
                    <w:jc w:val="center"/>
                    <w:textAlignment w:val="auto"/>
                    <w:rPr>
                      <w:rFonts w:hint="eastAsia"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t>新增</w:t>
                  </w:r>
                </w:p>
              </w:tc>
            </w:tr>
            <w:tr w14:paraId="45FA3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786" w:type="dxa"/>
                  <w:vMerge w:val="continue"/>
                  <w:tcBorders>
                    <w:tl2br w:val="nil"/>
                    <w:tr2bl w:val="nil"/>
                  </w:tcBorders>
                  <w:vAlign w:val="center"/>
                </w:tcPr>
                <w:p w14:paraId="06B0D489">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p>
              </w:tc>
              <w:tc>
                <w:tcPr>
                  <w:tcW w:w="1635" w:type="dxa"/>
                  <w:gridSpan w:val="2"/>
                  <w:tcBorders>
                    <w:tl2br w:val="nil"/>
                    <w:tr2bl w:val="nil"/>
                  </w:tcBorders>
                  <w:vAlign w:val="top"/>
                </w:tcPr>
                <w:p w14:paraId="45AC3FC4">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供电</w:t>
                  </w:r>
                </w:p>
              </w:tc>
              <w:tc>
                <w:tcPr>
                  <w:tcW w:w="3240" w:type="dxa"/>
                  <w:tcBorders>
                    <w:tl2br w:val="nil"/>
                    <w:tr2bl w:val="nil"/>
                  </w:tcBorders>
                  <w:vAlign w:val="top"/>
                </w:tcPr>
                <w:p w14:paraId="7FFDBA3B">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接市政供电系统</w:t>
                  </w:r>
                </w:p>
              </w:tc>
              <w:tc>
                <w:tcPr>
                  <w:tcW w:w="3165" w:type="dxa"/>
                  <w:tcBorders>
                    <w:tl2br w:val="nil"/>
                    <w:tr2bl w:val="nil"/>
                  </w:tcBorders>
                  <w:vAlign w:val="top"/>
                </w:tcPr>
                <w:p w14:paraId="2B4FA224">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依托现有</w:t>
                  </w:r>
                </w:p>
              </w:tc>
              <w:tc>
                <w:tcPr>
                  <w:tcW w:w="3162" w:type="dxa"/>
                  <w:tcBorders>
                    <w:tl2br w:val="nil"/>
                    <w:tr2bl w:val="nil"/>
                  </w:tcBorders>
                  <w:vAlign w:val="top"/>
                </w:tcPr>
                <w:p w14:paraId="5F52DAB0">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接市政供电系统</w:t>
                  </w:r>
                </w:p>
              </w:tc>
              <w:tc>
                <w:tcPr>
                  <w:tcW w:w="1438" w:type="dxa"/>
                  <w:tcBorders>
                    <w:tl2br w:val="nil"/>
                    <w:tr2bl w:val="nil"/>
                  </w:tcBorders>
                  <w:vAlign w:val="top"/>
                </w:tcPr>
                <w:p w14:paraId="3B6F11B6">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eastAsia"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依托现有</w:t>
                  </w:r>
                </w:p>
              </w:tc>
            </w:tr>
            <w:tr w14:paraId="47D99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786" w:type="dxa"/>
                  <w:vMerge w:val="restart"/>
                  <w:tcBorders>
                    <w:tl2br w:val="nil"/>
                    <w:tr2bl w:val="nil"/>
                  </w:tcBorders>
                  <w:vAlign w:val="center"/>
                </w:tcPr>
                <w:p w14:paraId="6194293F">
                  <w:pPr>
                    <w:keepNext w:val="0"/>
                    <w:keepLines w:val="0"/>
                    <w:pageBreakBefore w:val="0"/>
                    <w:widowControl w:val="0"/>
                    <w:kinsoku/>
                    <w:wordWrap/>
                    <w:overflowPunct/>
                    <w:topLinePunct w:val="0"/>
                    <w:bidi w:val="0"/>
                    <w:adjustRightInd/>
                    <w:snapToGrid/>
                    <w:spacing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t>环保工程</w:t>
                  </w:r>
                </w:p>
              </w:tc>
              <w:tc>
                <w:tcPr>
                  <w:tcW w:w="1635" w:type="dxa"/>
                  <w:gridSpan w:val="2"/>
                  <w:vMerge w:val="restart"/>
                  <w:tcBorders>
                    <w:tl2br w:val="nil"/>
                    <w:tr2bl w:val="nil"/>
                  </w:tcBorders>
                  <w:vAlign w:val="center"/>
                </w:tcPr>
                <w:p w14:paraId="08B515CE">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t>废水治理</w:t>
                  </w:r>
                </w:p>
              </w:tc>
              <w:tc>
                <w:tcPr>
                  <w:tcW w:w="3240" w:type="dxa"/>
                  <w:tcBorders>
                    <w:tl2br w:val="nil"/>
                    <w:tr2bl w:val="nil"/>
                  </w:tcBorders>
                  <w:vAlign w:val="center"/>
                </w:tcPr>
                <w:p w14:paraId="100C8D3A">
                  <w:pPr>
                    <w:pStyle w:val="36"/>
                    <w:keepNext w:val="0"/>
                    <w:keepLines w:val="0"/>
                    <w:pageBreakBefore w:val="0"/>
                    <w:widowControl w:val="0"/>
                    <w:kinsoku/>
                    <w:wordWrap/>
                    <w:overflowPunct/>
                    <w:topLinePunct w:val="0"/>
                    <w:bidi w:val="0"/>
                    <w:adjustRightInd/>
                    <w:snapToGrid/>
                    <w:spacing w:before="0" w:line="240" w:lineRule="auto"/>
                    <w:ind w:left="0" w:right="0"/>
                    <w:jc w:val="both"/>
                    <w:textAlignment w:val="auto"/>
                    <w:rPr>
                      <w:rFonts w:hint="eastAsia" w:ascii="Times New Roman" w:hAnsi="Times New Roman" w:eastAsia="宋体" w:cs="Times New Roman"/>
                      <w:color w:val="000000" w:themeColor="text1"/>
                      <w:spacing w:val="0"/>
                      <w:w w:val="100"/>
                      <w:kern w:val="0"/>
                      <w:position w:val="0"/>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生活污水经化粪池处理后排入市政污水管网，纳入福州大学城污水处理厂统一处理</w:t>
                  </w:r>
                </w:p>
              </w:tc>
              <w:tc>
                <w:tcPr>
                  <w:tcW w:w="3165" w:type="dxa"/>
                  <w:tcBorders>
                    <w:tl2br w:val="nil"/>
                    <w:tr2bl w:val="nil"/>
                  </w:tcBorders>
                  <w:vAlign w:val="center"/>
                </w:tcPr>
                <w:p w14:paraId="5CD84C12">
                  <w:pPr>
                    <w:pStyle w:val="36"/>
                    <w:keepNext w:val="0"/>
                    <w:keepLines w:val="0"/>
                    <w:pageBreakBefore w:val="0"/>
                    <w:widowControl w:val="0"/>
                    <w:kinsoku/>
                    <w:wordWrap/>
                    <w:overflowPunct/>
                    <w:topLinePunct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kern w:val="0"/>
                      <w:position w:val="0"/>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生活污水经</w:t>
                  </w:r>
                  <w:r>
                    <w:rPr>
                      <w:rFonts w:hint="default"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t>隔油+</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化粪池处理后排入市政污水管网，纳入福州大学城污水处理厂统一处理</w:t>
                  </w:r>
                </w:p>
              </w:tc>
              <w:tc>
                <w:tcPr>
                  <w:tcW w:w="3162" w:type="dxa"/>
                  <w:tcBorders>
                    <w:tl2br w:val="nil"/>
                    <w:tr2bl w:val="nil"/>
                  </w:tcBorders>
                  <w:vAlign w:val="center"/>
                </w:tcPr>
                <w:p w14:paraId="10D7DF6D">
                  <w:pPr>
                    <w:pStyle w:val="36"/>
                    <w:keepNext w:val="0"/>
                    <w:keepLines w:val="0"/>
                    <w:pageBreakBefore w:val="0"/>
                    <w:widowControl w:val="0"/>
                    <w:kinsoku/>
                    <w:wordWrap/>
                    <w:overflowPunct/>
                    <w:topLinePunct w:val="0"/>
                    <w:bidi w:val="0"/>
                    <w:adjustRightInd/>
                    <w:snapToGrid/>
                    <w:spacing w:before="0" w:line="240" w:lineRule="auto"/>
                    <w:ind w:left="0" w:right="0"/>
                    <w:jc w:val="both"/>
                    <w:textAlignment w:val="auto"/>
                    <w:rPr>
                      <w:rFonts w:hint="eastAsia" w:ascii="Times New Roman" w:hAnsi="Times New Roman" w:eastAsia="宋体" w:cs="Times New Roman"/>
                      <w:color w:val="000000" w:themeColor="text1"/>
                      <w:spacing w:val="0"/>
                      <w:w w:val="100"/>
                      <w:kern w:val="0"/>
                      <w:position w:val="0"/>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生活污水经</w:t>
                  </w:r>
                  <w:r>
                    <w:rPr>
                      <w:rFonts w:hint="default"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t>隔油+</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化粪池处理后排入市政污水管网，纳入福州大学城污水处理厂统一处理</w:t>
                  </w:r>
                </w:p>
              </w:tc>
              <w:tc>
                <w:tcPr>
                  <w:tcW w:w="1438" w:type="dxa"/>
                  <w:tcBorders>
                    <w:tl2br w:val="nil"/>
                    <w:tr2bl w:val="nil"/>
                  </w:tcBorders>
                  <w:vAlign w:val="center"/>
                </w:tcPr>
                <w:p w14:paraId="5CBC9694">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eastAsia" w:ascii="Times New Roman" w:hAnsi="Times New Roman" w:eastAsia="宋体" w:cs="Times New Roman"/>
                      <w:color w:val="000000" w:themeColor="text1"/>
                      <w:spacing w:val="0"/>
                      <w:w w:val="100"/>
                      <w:kern w:val="0"/>
                      <w:position w:val="0"/>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依托现有</w:t>
                  </w:r>
                </w:p>
              </w:tc>
            </w:tr>
            <w:tr w14:paraId="0D41E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786" w:type="dxa"/>
                  <w:vMerge w:val="continue"/>
                  <w:tcBorders>
                    <w:tl2br w:val="nil"/>
                    <w:tr2bl w:val="nil"/>
                  </w:tcBorders>
                  <w:vAlign w:val="center"/>
                </w:tcPr>
                <w:p w14:paraId="57C2F8EB">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color w:val="000000" w:themeColor="text1"/>
                      <w:highlight w:val="none"/>
                      <w14:textFill>
                        <w14:solidFill>
                          <w14:schemeClr w14:val="tx1"/>
                        </w14:solidFill>
                      </w14:textFill>
                    </w:rPr>
                  </w:pPr>
                </w:p>
              </w:tc>
              <w:tc>
                <w:tcPr>
                  <w:tcW w:w="1635" w:type="dxa"/>
                  <w:gridSpan w:val="2"/>
                  <w:vMerge w:val="continue"/>
                  <w:tcBorders>
                    <w:tl2br w:val="nil"/>
                    <w:tr2bl w:val="nil"/>
                  </w:tcBorders>
                  <w:vAlign w:val="center"/>
                </w:tcPr>
                <w:p w14:paraId="04B9D33F">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color w:val="000000" w:themeColor="text1"/>
                      <w:highlight w:val="none"/>
                      <w14:textFill>
                        <w14:solidFill>
                          <w14:schemeClr w14:val="tx1"/>
                        </w14:solidFill>
                      </w14:textFill>
                    </w:rPr>
                  </w:pPr>
                </w:p>
              </w:tc>
              <w:tc>
                <w:tcPr>
                  <w:tcW w:w="3240" w:type="dxa"/>
                  <w:tcBorders>
                    <w:tl2br w:val="nil"/>
                    <w:tr2bl w:val="nil"/>
                  </w:tcBorders>
                  <w:vAlign w:val="center"/>
                </w:tcPr>
                <w:p w14:paraId="378DF2F3">
                  <w:pPr>
                    <w:pStyle w:val="36"/>
                    <w:keepNext w:val="0"/>
                    <w:keepLines w:val="0"/>
                    <w:pageBreakBefore w:val="0"/>
                    <w:widowControl w:val="0"/>
                    <w:kinsoku/>
                    <w:wordWrap/>
                    <w:overflowPunct/>
                    <w:topLinePunct w:val="0"/>
                    <w:bidi w:val="0"/>
                    <w:adjustRightInd/>
                    <w:snapToGrid/>
                    <w:spacing w:before="0" w:line="240" w:lineRule="auto"/>
                    <w:ind w:left="0" w:leftChars="0" w:right="0" w:rightChars="0"/>
                    <w:jc w:val="both"/>
                    <w:textAlignment w:val="auto"/>
                    <w:rPr>
                      <w:rFonts w:hint="eastAsia" w:ascii="Times New Roman" w:hAnsi="Times New Roman" w:eastAsia="宋体" w:cs="Times New Roman"/>
                      <w:color w:val="000000" w:themeColor="text1"/>
                      <w:spacing w:val="0"/>
                      <w:w w:val="100"/>
                      <w:kern w:val="0"/>
                      <w:position w:val="0"/>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生产废水经自建三级沉淀池预处理后排入市政污水管网，纳入福州大学城污水处理厂统一处理</w:t>
                  </w:r>
                  <w:r>
                    <w:rPr>
                      <w:rFonts w:hint="eastAsia" w:ascii="Times New Roman" w:hAnsi="Times New Roman" w:cs="Times New Roman"/>
                      <w:color w:val="000000" w:themeColor="text1"/>
                      <w:spacing w:val="0"/>
                      <w:w w:val="100"/>
                      <w:kern w:val="0"/>
                      <w:position w:val="0"/>
                      <w:sz w:val="21"/>
                      <w:szCs w:val="21"/>
                      <w:highlight w:val="none"/>
                      <w:lang w:eastAsia="zh-CN"/>
                      <w14:textFill>
                        <w14:solidFill>
                          <w14:schemeClr w14:val="tx1"/>
                        </w14:solidFill>
                      </w14:textFill>
                    </w:rPr>
                    <w:t>。</w:t>
                  </w:r>
                </w:p>
              </w:tc>
              <w:tc>
                <w:tcPr>
                  <w:tcW w:w="3165" w:type="dxa"/>
                  <w:tcBorders>
                    <w:tl2br w:val="nil"/>
                    <w:tr2bl w:val="nil"/>
                  </w:tcBorders>
                  <w:vAlign w:val="center"/>
                </w:tcPr>
                <w:p w14:paraId="7C76D970">
                  <w:pPr>
                    <w:pStyle w:val="36"/>
                    <w:keepNext w:val="0"/>
                    <w:keepLines w:val="0"/>
                    <w:pageBreakBefore w:val="0"/>
                    <w:widowControl w:val="0"/>
                    <w:kinsoku/>
                    <w:wordWrap/>
                    <w:overflowPunct/>
                    <w:topLinePunct w:val="0"/>
                    <w:bidi w:val="0"/>
                    <w:adjustRightInd/>
                    <w:snapToGrid/>
                    <w:spacing w:before="0" w:line="240" w:lineRule="auto"/>
                    <w:ind w:left="0" w:leftChars="0" w:right="0" w:rightChars="0"/>
                    <w:jc w:val="both"/>
                    <w:textAlignment w:val="auto"/>
                    <w:rPr>
                      <w:rFonts w:hint="eastAsia" w:ascii="Times New Roman" w:hAnsi="Times New Roman" w:eastAsia="宋体" w:cs="Times New Roman"/>
                      <w:color w:val="000000" w:themeColor="text1"/>
                      <w:spacing w:val="0"/>
                      <w:w w:val="100"/>
                      <w:kern w:val="0"/>
                      <w:position w:val="0"/>
                      <w:sz w:val="21"/>
                      <w:szCs w:val="21"/>
                      <w:highlight w:val="none"/>
                      <w:lang w:eastAsia="zh-CN"/>
                      <w14:textFill>
                        <w14:solidFill>
                          <w14:schemeClr w14:val="tx1"/>
                        </w14:solidFill>
                      </w14:textFill>
                    </w:rPr>
                  </w:pPr>
                  <w:r>
                    <w:rPr>
                      <w:rFonts w:hint="eastAsia"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t>1#厂房</w:t>
                  </w:r>
                  <w:r>
                    <w:rPr>
                      <w:rFonts w:hint="eastAsia" w:ascii="Times New Roman" w:hAnsi="Times New Roman" w:cs="Times New Roman"/>
                      <w:color w:val="000000" w:themeColor="text1"/>
                      <w:spacing w:val="0"/>
                      <w:w w:val="100"/>
                      <w:kern w:val="0"/>
                      <w:position w:val="0"/>
                      <w:sz w:val="21"/>
                      <w:szCs w:val="21"/>
                      <w:highlight w:val="none"/>
                      <w:lang w:val="en-US" w:eastAsia="zh-CN"/>
                      <w14:textFill>
                        <w14:solidFill>
                          <w14:schemeClr w14:val="tx1"/>
                        </w14:solidFill>
                      </w14:textFill>
                    </w:rPr>
                    <w:t>新建生产废水处理系统，</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生产废水经</w:t>
                  </w:r>
                  <w:r>
                    <w:rPr>
                      <w:rFonts w:hint="default"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t>新建污水处理站</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处理后纳入福州大学污水处理厂统一处理</w:t>
                  </w:r>
                  <w:r>
                    <w:rPr>
                      <w:rFonts w:hint="eastAsia" w:ascii="Times New Roman" w:hAnsi="Times New Roman" w:eastAsia="宋体" w:cs="Times New Roman"/>
                      <w:color w:val="000000" w:themeColor="text1"/>
                      <w:spacing w:val="0"/>
                      <w:w w:val="100"/>
                      <w:kern w:val="0"/>
                      <w:position w:val="0"/>
                      <w:sz w:val="21"/>
                      <w:szCs w:val="21"/>
                      <w:highlight w:val="none"/>
                      <w:lang w:eastAsia="zh-CN"/>
                      <w14:textFill>
                        <w14:solidFill>
                          <w14:schemeClr w14:val="tx1"/>
                        </w14:solidFill>
                      </w14:textFill>
                    </w:rPr>
                    <w:t>。</w:t>
                  </w:r>
                </w:p>
              </w:tc>
              <w:tc>
                <w:tcPr>
                  <w:tcW w:w="3162" w:type="dxa"/>
                  <w:tcBorders>
                    <w:tl2br w:val="nil"/>
                    <w:tr2bl w:val="nil"/>
                  </w:tcBorders>
                  <w:vAlign w:val="center"/>
                </w:tcPr>
                <w:p w14:paraId="0626C6F7">
                  <w:pPr>
                    <w:pStyle w:val="36"/>
                    <w:keepNext w:val="0"/>
                    <w:keepLines w:val="0"/>
                    <w:pageBreakBefore w:val="0"/>
                    <w:widowControl w:val="0"/>
                    <w:kinsoku/>
                    <w:wordWrap/>
                    <w:overflowPunct/>
                    <w:topLinePunct w:val="0"/>
                    <w:bidi w:val="0"/>
                    <w:adjustRightInd/>
                    <w:snapToGrid/>
                    <w:spacing w:before="0" w:line="240" w:lineRule="auto"/>
                    <w:ind w:left="0" w:leftChars="0" w:right="0" w:rightChars="0"/>
                    <w:jc w:val="both"/>
                    <w:textAlignment w:val="auto"/>
                    <w:rPr>
                      <w:rFonts w:hint="eastAsia" w:ascii="Times New Roman" w:hAnsi="Times New Roman" w:eastAsia="宋体" w:cs="Times New Roman"/>
                      <w:color w:val="000000" w:themeColor="text1"/>
                      <w:spacing w:val="0"/>
                      <w:w w:val="100"/>
                      <w:kern w:val="0"/>
                      <w:position w:val="0"/>
                      <w:sz w:val="21"/>
                      <w:szCs w:val="21"/>
                      <w:highlight w:val="none"/>
                      <w:lang w:eastAsia="zh-CN"/>
                      <w14:textFill>
                        <w14:solidFill>
                          <w14:schemeClr w14:val="tx1"/>
                        </w14:solidFill>
                      </w14:textFill>
                    </w:rPr>
                  </w:pPr>
                  <w:r>
                    <w:rPr>
                      <w:rFonts w:hint="eastAsia"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t>1#厂房</w:t>
                  </w:r>
                  <w:r>
                    <w:rPr>
                      <w:rFonts w:hint="eastAsia" w:ascii="Times New Roman" w:hAnsi="Times New Roman" w:cs="Times New Roman"/>
                      <w:color w:val="000000" w:themeColor="text1"/>
                      <w:spacing w:val="0"/>
                      <w:w w:val="100"/>
                      <w:kern w:val="0"/>
                      <w:position w:val="0"/>
                      <w:sz w:val="21"/>
                      <w:szCs w:val="21"/>
                      <w:highlight w:val="none"/>
                      <w:lang w:val="en-US" w:eastAsia="zh-CN"/>
                      <w14:textFill>
                        <w14:solidFill>
                          <w14:schemeClr w14:val="tx1"/>
                        </w14:solidFill>
                      </w14:textFill>
                    </w:rPr>
                    <w:t>新建生产废水处理系统，</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生产废水经</w:t>
                  </w:r>
                  <w:r>
                    <w:rPr>
                      <w:rFonts w:hint="default"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t>新建污水处理站</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处理后纳入福州大学污水处理厂统一处理</w:t>
                  </w:r>
                  <w:r>
                    <w:rPr>
                      <w:rFonts w:hint="eastAsia" w:ascii="Times New Roman" w:hAnsi="Times New Roman" w:cs="Times New Roman"/>
                      <w:color w:val="000000" w:themeColor="text1"/>
                      <w:spacing w:val="0"/>
                      <w:w w:val="100"/>
                      <w:kern w:val="0"/>
                      <w:position w:val="0"/>
                      <w:sz w:val="21"/>
                      <w:szCs w:val="21"/>
                      <w:highlight w:val="none"/>
                      <w:lang w:eastAsia="zh-CN"/>
                      <w14:textFill>
                        <w14:solidFill>
                          <w14:schemeClr w14:val="tx1"/>
                        </w14:solidFill>
                      </w14:textFill>
                    </w:rPr>
                    <w:t>。</w:t>
                  </w:r>
                </w:p>
              </w:tc>
              <w:tc>
                <w:tcPr>
                  <w:tcW w:w="1438" w:type="dxa"/>
                  <w:tcBorders>
                    <w:tl2br w:val="nil"/>
                    <w:tr2bl w:val="nil"/>
                  </w:tcBorders>
                  <w:vAlign w:val="center"/>
                </w:tcPr>
                <w:p w14:paraId="37B5583E">
                  <w:pPr>
                    <w:pStyle w:val="36"/>
                    <w:keepNext w:val="0"/>
                    <w:keepLines w:val="0"/>
                    <w:pageBreakBefore w:val="0"/>
                    <w:widowControl w:val="0"/>
                    <w:kinsoku/>
                    <w:wordWrap/>
                    <w:overflowPunct/>
                    <w:topLinePunct w:val="0"/>
                    <w:bidi w:val="0"/>
                    <w:adjustRightInd/>
                    <w:snapToGrid/>
                    <w:spacing w:before="0" w:line="240" w:lineRule="auto"/>
                    <w:ind w:left="0" w:leftChars="0" w:right="0" w:rightChars="0"/>
                    <w:jc w:val="center"/>
                    <w:textAlignment w:val="auto"/>
                    <w:rPr>
                      <w:rFonts w:hint="eastAsia" w:ascii="Times New Roman" w:hAnsi="Times New Roman" w:eastAsia="宋体" w:cs="Times New Roman"/>
                      <w:color w:val="000000" w:themeColor="text1"/>
                      <w:spacing w:val="0"/>
                      <w:w w:val="100"/>
                      <w:kern w:val="0"/>
                      <w:position w:val="0"/>
                      <w:sz w:val="21"/>
                      <w:szCs w:val="21"/>
                      <w:highlight w:val="none"/>
                      <w:lang w:eastAsia="zh-CN"/>
                      <w14:textFill>
                        <w14:solidFill>
                          <w14:schemeClr w14:val="tx1"/>
                        </w14:solidFill>
                      </w14:textFill>
                    </w:rPr>
                  </w:pPr>
                  <w:r>
                    <w:rPr>
                      <w:rFonts w:hint="eastAsia" w:ascii="Times New Roman" w:hAnsi="Times New Roman" w:cs="Times New Roman"/>
                      <w:color w:val="000000" w:themeColor="text1"/>
                      <w:spacing w:val="0"/>
                      <w:w w:val="100"/>
                      <w:kern w:val="0"/>
                      <w:position w:val="0"/>
                      <w:sz w:val="21"/>
                      <w:szCs w:val="21"/>
                      <w:highlight w:val="none"/>
                      <w:lang w:val="en-US" w:eastAsia="zh-CN"/>
                      <w14:textFill>
                        <w14:solidFill>
                          <w14:schemeClr w14:val="tx1"/>
                        </w14:solidFill>
                      </w14:textFill>
                    </w:rPr>
                    <w:t>新增</w:t>
                  </w:r>
                </w:p>
              </w:tc>
            </w:tr>
            <w:tr w14:paraId="10B2A7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786" w:type="dxa"/>
                  <w:vMerge w:val="continue"/>
                  <w:tcBorders>
                    <w:tl2br w:val="nil"/>
                    <w:tr2bl w:val="nil"/>
                  </w:tcBorders>
                  <w:vAlign w:val="center"/>
                </w:tcPr>
                <w:p w14:paraId="3A1073E6">
                  <w:pPr>
                    <w:keepNext w:val="0"/>
                    <w:keepLines w:val="0"/>
                    <w:pageBreakBefore w:val="0"/>
                    <w:widowControl w:val="0"/>
                    <w:kinsoku/>
                    <w:wordWrap/>
                    <w:overflowPunct/>
                    <w:topLinePunct w:val="0"/>
                    <w:bidi w:val="0"/>
                    <w:adjustRightInd/>
                    <w:snapToGrid/>
                    <w:spacing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p>
              </w:tc>
              <w:tc>
                <w:tcPr>
                  <w:tcW w:w="1635" w:type="dxa"/>
                  <w:gridSpan w:val="2"/>
                  <w:tcBorders>
                    <w:tl2br w:val="nil"/>
                    <w:tr2bl w:val="nil"/>
                  </w:tcBorders>
                  <w:vAlign w:val="center"/>
                </w:tcPr>
                <w:p w14:paraId="6B39AD9B">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t>废气治理</w:t>
                  </w:r>
                </w:p>
              </w:tc>
              <w:tc>
                <w:tcPr>
                  <w:tcW w:w="3240" w:type="dxa"/>
                  <w:tcBorders>
                    <w:tl2br w:val="nil"/>
                    <w:tr2bl w:val="nil"/>
                  </w:tcBorders>
                  <w:vAlign w:val="center"/>
                </w:tcPr>
                <w:p w14:paraId="390B9344">
                  <w:pPr>
                    <w:pStyle w:val="36"/>
                    <w:keepNext w:val="0"/>
                    <w:keepLines w:val="0"/>
                    <w:pageBreakBefore w:val="0"/>
                    <w:widowControl w:val="0"/>
                    <w:kinsoku/>
                    <w:wordWrap/>
                    <w:overflowPunct/>
                    <w:topLinePunct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1、粉尘废气经收集后通过“布袋除尘器”处理后与超声波清洗工段有机废气一同通过25m高排气筒（DA003）排放；</w:t>
                  </w:r>
                </w:p>
                <w:p w14:paraId="0FD37B53">
                  <w:pPr>
                    <w:pStyle w:val="36"/>
                    <w:keepNext w:val="0"/>
                    <w:keepLines w:val="0"/>
                    <w:pageBreakBefore w:val="0"/>
                    <w:widowControl w:val="0"/>
                    <w:kinsoku/>
                    <w:wordWrap/>
                    <w:overflowPunct/>
                    <w:topLinePunct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2、2#厂房生产车间东区有机废气经收集后引至“二级活性炭吸附装置1#”处理后由1根25m高排气筒排放（DA001）；西区有机废气经收集后引至“二级活性炭吸附装置2#”处理后由1根25m高排气筒排放（DA002）；</w:t>
                  </w:r>
                </w:p>
                <w:p w14:paraId="5E5FB8CA">
                  <w:pPr>
                    <w:pStyle w:val="36"/>
                    <w:keepNext w:val="0"/>
                    <w:keepLines w:val="0"/>
                    <w:pageBreakBefore w:val="0"/>
                    <w:widowControl w:val="0"/>
                    <w:kinsoku/>
                    <w:wordWrap/>
                    <w:overflowPunct/>
                    <w:topLinePunct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3、晶体</w:t>
                  </w:r>
                  <w:r>
                    <w:rPr>
                      <w:rFonts w:hint="eastAsia" w:ascii="Times New Roman" w:hAnsi="Times New Roman" w:cs="Times New Roman"/>
                      <w:color w:val="000000" w:themeColor="text1"/>
                      <w:spacing w:val="0"/>
                      <w:w w:val="100"/>
                      <w:kern w:val="0"/>
                      <w:position w:val="0"/>
                      <w:sz w:val="21"/>
                      <w:szCs w:val="21"/>
                      <w:highlight w:val="none"/>
                      <w:lang w:val="en-US" w:eastAsia="zh-CN"/>
                      <w14:textFill>
                        <w14:solidFill>
                          <w14:schemeClr w14:val="tx1"/>
                        </w14:solidFill>
                      </w14:textFill>
                    </w:rPr>
                    <w:t>生产</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车间产生的有机废气经收集后引至3套“二级活性炭吸附装置3#~5#”处理后合 并由1根25m高排气筒排放（DA003）。</w:t>
                  </w:r>
                </w:p>
              </w:tc>
              <w:tc>
                <w:tcPr>
                  <w:tcW w:w="3165" w:type="dxa"/>
                  <w:tcBorders>
                    <w:tl2br w:val="nil"/>
                    <w:tr2bl w:val="nil"/>
                  </w:tcBorders>
                  <w:vAlign w:val="center"/>
                </w:tcPr>
                <w:p w14:paraId="7E87DDC7">
                  <w:pPr>
                    <w:pStyle w:val="36"/>
                    <w:keepNext w:val="0"/>
                    <w:keepLines w:val="0"/>
                    <w:pageBreakBefore w:val="0"/>
                    <w:widowControl w:val="0"/>
                    <w:kinsoku/>
                    <w:wordWrap/>
                    <w:overflowPunct/>
                    <w:topLinePunct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1、</w:t>
                  </w:r>
                  <w:r>
                    <w:rPr>
                      <w:rFonts w:hint="eastAsia" w:ascii="Times New Roman" w:hAnsi="Times New Roman" w:cs="Times New Roman"/>
                      <w:color w:val="000000" w:themeColor="text1"/>
                      <w:spacing w:val="0"/>
                      <w:w w:val="100"/>
                      <w:kern w:val="0"/>
                      <w:position w:val="0"/>
                      <w:sz w:val="21"/>
                      <w:szCs w:val="21"/>
                      <w:highlight w:val="none"/>
                      <w:lang w:val="en-US" w:eastAsia="zh-CN"/>
                      <w14:textFill>
                        <w14:solidFill>
                          <w14:schemeClr w14:val="tx1"/>
                        </w14:solidFill>
                      </w14:textFill>
                    </w:rPr>
                    <w:t>1#厂房</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粉尘废气经收集后通过“布袋除尘器”处理后通过</w:t>
                  </w:r>
                  <w:r>
                    <w:rPr>
                      <w:rFonts w:hint="eastAsia" w:ascii="Times New Roman" w:hAnsi="Times New Roman" w:cs="Times New Roman"/>
                      <w:color w:val="000000" w:themeColor="text1"/>
                      <w:spacing w:val="0"/>
                      <w:w w:val="100"/>
                      <w:kern w:val="0"/>
                      <w:position w:val="0"/>
                      <w:sz w:val="21"/>
                      <w:szCs w:val="21"/>
                      <w:highlight w:val="none"/>
                      <w:lang w:val="en-US" w:eastAsia="zh-CN"/>
                      <w14:textFill>
                        <w14:solidFill>
                          <w14:schemeClr w14:val="tx1"/>
                        </w14:solidFill>
                      </w14:textFill>
                    </w:rPr>
                    <w:t>30</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m高排气筒排放；</w:t>
                  </w:r>
                </w:p>
                <w:p w14:paraId="3D647F32">
                  <w:pPr>
                    <w:pStyle w:val="36"/>
                    <w:keepNext w:val="0"/>
                    <w:keepLines w:val="0"/>
                    <w:pageBreakBefore w:val="0"/>
                    <w:widowControl w:val="0"/>
                    <w:kinsoku/>
                    <w:wordWrap/>
                    <w:overflowPunct/>
                    <w:topLinePunct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2、</w:t>
                  </w:r>
                  <w:r>
                    <w:rPr>
                      <w:rFonts w:hint="eastAsia" w:ascii="Times New Roman" w:hAnsi="Times New Roman" w:cs="Times New Roman"/>
                      <w:color w:val="000000" w:themeColor="text1"/>
                      <w:spacing w:val="0"/>
                      <w:w w:val="100"/>
                      <w:kern w:val="0"/>
                      <w:position w:val="0"/>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#厂房生产车间有机废气经收集后引至“二级活性炭吸附装置”处理后由1根</w:t>
                  </w:r>
                  <w:r>
                    <w:rPr>
                      <w:rFonts w:hint="eastAsia" w:ascii="Times New Roman" w:hAnsi="Times New Roman" w:cs="Times New Roman"/>
                      <w:color w:val="000000" w:themeColor="text1"/>
                      <w:spacing w:val="0"/>
                      <w:w w:val="100"/>
                      <w:kern w:val="0"/>
                      <w:position w:val="0"/>
                      <w:sz w:val="21"/>
                      <w:szCs w:val="21"/>
                      <w:highlight w:val="none"/>
                      <w:lang w:val="en-US" w:eastAsia="zh-CN"/>
                      <w14:textFill>
                        <w14:solidFill>
                          <w14:schemeClr w14:val="tx1"/>
                        </w14:solidFill>
                      </w14:textFill>
                    </w:rPr>
                    <w:t>30</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m高排气筒排放；</w:t>
                  </w:r>
                </w:p>
                <w:p w14:paraId="5D4EB1AB">
                  <w:pPr>
                    <w:pStyle w:val="36"/>
                    <w:keepNext w:val="0"/>
                    <w:keepLines w:val="0"/>
                    <w:pageBreakBefore w:val="0"/>
                    <w:widowControl w:val="0"/>
                    <w:kinsoku/>
                    <w:wordWrap/>
                    <w:overflowPunct/>
                    <w:topLinePunct w:val="0"/>
                    <w:bidi w:val="0"/>
                    <w:adjustRightInd/>
                    <w:snapToGrid/>
                    <w:spacing w:before="0" w:line="240" w:lineRule="auto"/>
                    <w:ind w:left="0" w:right="0"/>
                    <w:jc w:val="both"/>
                    <w:textAlignment w:val="auto"/>
                    <w:rPr>
                      <w:rFonts w:hint="eastAsia"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3、</w:t>
                  </w:r>
                  <w:r>
                    <w:rPr>
                      <w:rFonts w:hint="eastAsia" w:ascii="Times New Roman" w:hAnsi="Times New Roman" w:cs="Times New Roman"/>
                      <w:color w:val="000000" w:themeColor="text1"/>
                      <w:spacing w:val="0"/>
                      <w:w w:val="100"/>
                      <w:kern w:val="0"/>
                      <w:position w:val="0"/>
                      <w:sz w:val="21"/>
                      <w:szCs w:val="21"/>
                      <w:highlight w:val="none"/>
                      <w:lang w:val="en-US" w:eastAsia="zh-CN"/>
                      <w14:textFill>
                        <w14:solidFill>
                          <w14:schemeClr w14:val="tx1"/>
                        </w14:solidFill>
                      </w14:textFill>
                    </w:rPr>
                    <w:t>1#厂房酸性废气</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经收集后引至“</w:t>
                  </w:r>
                  <w:r>
                    <w:rPr>
                      <w:rFonts w:hint="default"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t>碱液喷淋塔</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”处理后由1根</w:t>
                  </w:r>
                  <w:r>
                    <w:rPr>
                      <w:rFonts w:hint="eastAsia" w:ascii="Times New Roman" w:hAnsi="Times New Roman" w:cs="Times New Roman"/>
                      <w:color w:val="000000" w:themeColor="text1"/>
                      <w:spacing w:val="0"/>
                      <w:w w:val="100"/>
                      <w:kern w:val="0"/>
                      <w:position w:val="0"/>
                      <w:sz w:val="21"/>
                      <w:szCs w:val="21"/>
                      <w:highlight w:val="none"/>
                      <w:lang w:val="en-US" w:eastAsia="zh-CN"/>
                      <w14:textFill>
                        <w14:solidFill>
                          <w14:schemeClr w14:val="tx1"/>
                        </w14:solidFill>
                      </w14:textFill>
                    </w:rPr>
                    <w:t>30</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m高排气筒排放</w:t>
                  </w:r>
                  <w:r>
                    <w:rPr>
                      <w:rFonts w:hint="eastAsia" w:ascii="Times New Roman" w:hAnsi="Times New Roman" w:cs="Times New Roman"/>
                      <w:color w:val="000000" w:themeColor="text1"/>
                      <w:spacing w:val="0"/>
                      <w:w w:val="100"/>
                      <w:kern w:val="0"/>
                      <w:position w:val="0"/>
                      <w:sz w:val="21"/>
                      <w:szCs w:val="21"/>
                      <w:highlight w:val="none"/>
                      <w:lang w:eastAsia="zh-CN"/>
                      <w14:textFill>
                        <w14:solidFill>
                          <w14:schemeClr w14:val="tx1"/>
                        </w14:solidFill>
                      </w14:textFill>
                    </w:rPr>
                    <w:t>；</w:t>
                  </w:r>
                </w:p>
                <w:p w14:paraId="3031FD67">
                  <w:pPr>
                    <w:pStyle w:val="36"/>
                    <w:keepNext w:val="0"/>
                    <w:keepLines w:val="0"/>
                    <w:pageBreakBefore w:val="0"/>
                    <w:widowControl w:val="0"/>
                    <w:kinsoku/>
                    <w:wordWrap/>
                    <w:overflowPunct/>
                    <w:topLinePunct w:val="0"/>
                    <w:bidi w:val="0"/>
                    <w:adjustRightInd/>
                    <w:snapToGrid/>
                    <w:spacing w:before="0" w:line="240" w:lineRule="auto"/>
                    <w:ind w:left="0" w:right="0"/>
                    <w:jc w:val="both"/>
                    <w:textAlignment w:val="auto"/>
                    <w:rPr>
                      <w:rFonts w:hint="eastAsia"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pacing w:val="0"/>
                      <w:w w:val="100"/>
                      <w:kern w:val="0"/>
                      <w:position w:val="0"/>
                      <w:sz w:val="21"/>
                      <w:szCs w:val="21"/>
                      <w:highlight w:val="none"/>
                      <w:lang w:val="en-US" w:eastAsia="zh-CN"/>
                      <w14:textFill>
                        <w14:solidFill>
                          <w14:schemeClr w14:val="tx1"/>
                        </w14:solidFill>
                      </w14:textFill>
                    </w:rPr>
                    <w:t>4.1#厂房碱性废气</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经收集后引至“</w:t>
                  </w:r>
                  <w:r>
                    <w:rPr>
                      <w:rFonts w:hint="default"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t>稀硫酸喷淋塔</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”处理后由1根</w:t>
                  </w:r>
                  <w:r>
                    <w:rPr>
                      <w:rFonts w:hint="eastAsia" w:ascii="Times New Roman" w:hAnsi="Times New Roman" w:cs="Times New Roman"/>
                      <w:color w:val="000000" w:themeColor="text1"/>
                      <w:spacing w:val="0"/>
                      <w:w w:val="100"/>
                      <w:kern w:val="0"/>
                      <w:position w:val="0"/>
                      <w:sz w:val="21"/>
                      <w:szCs w:val="21"/>
                      <w:highlight w:val="none"/>
                      <w:lang w:val="en-US" w:eastAsia="zh-CN"/>
                      <w14:textFill>
                        <w14:solidFill>
                          <w14:schemeClr w14:val="tx1"/>
                        </w14:solidFill>
                      </w14:textFill>
                    </w:rPr>
                    <w:t>30</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m高排气筒排放。</w:t>
                  </w:r>
                </w:p>
              </w:tc>
              <w:tc>
                <w:tcPr>
                  <w:tcW w:w="3162" w:type="dxa"/>
                  <w:tcBorders>
                    <w:tl2br w:val="nil"/>
                    <w:tr2bl w:val="nil"/>
                  </w:tcBorders>
                  <w:vAlign w:val="center"/>
                </w:tcPr>
                <w:p w14:paraId="01A8A40F">
                  <w:pPr>
                    <w:pStyle w:val="36"/>
                    <w:keepNext w:val="0"/>
                    <w:keepLines w:val="0"/>
                    <w:pageBreakBefore w:val="0"/>
                    <w:widowControl w:val="0"/>
                    <w:kinsoku/>
                    <w:wordWrap/>
                    <w:overflowPunct/>
                    <w:topLinePunct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p>
              </w:tc>
              <w:tc>
                <w:tcPr>
                  <w:tcW w:w="1438" w:type="dxa"/>
                  <w:tcBorders>
                    <w:tl2br w:val="nil"/>
                    <w:tr2bl w:val="nil"/>
                  </w:tcBorders>
                  <w:vAlign w:val="center"/>
                </w:tcPr>
                <w:p w14:paraId="777C3170">
                  <w:pPr>
                    <w:pStyle w:val="36"/>
                    <w:keepNext w:val="0"/>
                    <w:keepLines w:val="0"/>
                    <w:pageBreakBefore w:val="0"/>
                    <w:widowControl w:val="0"/>
                    <w:kinsoku/>
                    <w:wordWrap/>
                    <w:overflowPunct/>
                    <w:topLinePunct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pacing w:val="0"/>
                      <w:w w:val="100"/>
                      <w:kern w:val="0"/>
                      <w:position w:val="0"/>
                      <w:sz w:val="21"/>
                      <w:szCs w:val="21"/>
                      <w:highlight w:val="none"/>
                      <w:lang w:val="en-US" w:eastAsia="zh-CN"/>
                      <w14:textFill>
                        <w14:solidFill>
                          <w14:schemeClr w14:val="tx1"/>
                        </w14:solidFill>
                      </w14:textFill>
                    </w:rPr>
                    <w:t>2#厂房废气治理措施不变，新增1#厂房废气治理措施</w:t>
                  </w:r>
                </w:p>
              </w:tc>
            </w:tr>
            <w:tr w14:paraId="56CFA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786" w:type="dxa"/>
                  <w:vMerge w:val="continue"/>
                  <w:tcBorders>
                    <w:tl2br w:val="nil"/>
                    <w:tr2bl w:val="nil"/>
                  </w:tcBorders>
                  <w:vAlign w:val="center"/>
                </w:tcPr>
                <w:p w14:paraId="49355A3F">
                  <w:pPr>
                    <w:keepNext w:val="0"/>
                    <w:keepLines w:val="0"/>
                    <w:pageBreakBefore w:val="0"/>
                    <w:widowControl w:val="0"/>
                    <w:kinsoku/>
                    <w:wordWrap/>
                    <w:overflowPunct/>
                    <w:topLinePunct w:val="0"/>
                    <w:bidi w:val="0"/>
                    <w:adjustRightInd/>
                    <w:snapToGrid/>
                    <w:spacing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p>
              </w:tc>
              <w:tc>
                <w:tcPr>
                  <w:tcW w:w="1635" w:type="dxa"/>
                  <w:gridSpan w:val="2"/>
                  <w:vMerge w:val="restart"/>
                  <w:tcBorders>
                    <w:tl2br w:val="nil"/>
                    <w:tr2bl w:val="nil"/>
                  </w:tcBorders>
                  <w:vAlign w:val="center"/>
                </w:tcPr>
                <w:p w14:paraId="6640AC8A">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t>固废处置</w:t>
                  </w:r>
                </w:p>
              </w:tc>
              <w:tc>
                <w:tcPr>
                  <w:tcW w:w="3240" w:type="dxa"/>
                  <w:tcBorders>
                    <w:tl2br w:val="nil"/>
                    <w:tr2bl w:val="nil"/>
                  </w:tcBorders>
                  <w:vAlign w:val="center"/>
                </w:tcPr>
                <w:p w14:paraId="27B3602D">
                  <w:pPr>
                    <w:pStyle w:val="36"/>
                    <w:keepNext w:val="0"/>
                    <w:keepLines w:val="0"/>
                    <w:pageBreakBefore w:val="0"/>
                    <w:widowControl w:val="0"/>
                    <w:kinsoku/>
                    <w:wordWrap/>
                    <w:overflowPunct/>
                    <w:topLinePunct w:val="0"/>
                    <w:bidi w:val="0"/>
                    <w:adjustRightInd/>
                    <w:snapToGrid/>
                    <w:spacing w:before="0" w:line="240" w:lineRule="auto"/>
                    <w:ind w:left="0" w:leftChars="0" w:right="0" w:rightChars="0"/>
                    <w:jc w:val="both"/>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一般固废暂存在一般固废贮存库，定期外售给物资回收单位回收利用。</w:t>
                  </w:r>
                </w:p>
              </w:tc>
              <w:tc>
                <w:tcPr>
                  <w:tcW w:w="3165" w:type="dxa"/>
                  <w:tcBorders>
                    <w:tl2br w:val="nil"/>
                    <w:tr2bl w:val="nil"/>
                  </w:tcBorders>
                  <w:vAlign w:val="center"/>
                </w:tcPr>
                <w:p w14:paraId="41690DE5">
                  <w:pPr>
                    <w:pStyle w:val="36"/>
                    <w:keepNext w:val="0"/>
                    <w:keepLines w:val="0"/>
                    <w:pageBreakBefore w:val="0"/>
                    <w:widowControl w:val="0"/>
                    <w:kinsoku/>
                    <w:wordWrap/>
                    <w:overflowPunct/>
                    <w:topLinePunct w:val="0"/>
                    <w:bidi w:val="0"/>
                    <w:adjustRightInd/>
                    <w:snapToGrid/>
                    <w:spacing w:before="0" w:line="240" w:lineRule="auto"/>
                    <w:ind w:left="0" w:leftChars="0" w:right="0" w:rightChars="0"/>
                    <w:jc w:val="both"/>
                    <w:textAlignment w:val="auto"/>
                    <w:rPr>
                      <w:rFonts w:hint="eastAsia"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一般固废暂存在一般固废贮存库，定期外售给物资回收单位回收利用。</w:t>
                  </w:r>
                </w:p>
              </w:tc>
              <w:tc>
                <w:tcPr>
                  <w:tcW w:w="3162" w:type="dxa"/>
                  <w:tcBorders>
                    <w:tl2br w:val="nil"/>
                    <w:tr2bl w:val="nil"/>
                  </w:tcBorders>
                  <w:vAlign w:val="center"/>
                </w:tcPr>
                <w:p w14:paraId="0EE4548F">
                  <w:pPr>
                    <w:pStyle w:val="36"/>
                    <w:keepNext w:val="0"/>
                    <w:keepLines w:val="0"/>
                    <w:pageBreakBefore w:val="0"/>
                    <w:widowControl w:val="0"/>
                    <w:kinsoku/>
                    <w:wordWrap/>
                    <w:overflowPunct/>
                    <w:topLinePunct w:val="0"/>
                    <w:bidi w:val="0"/>
                    <w:adjustRightInd/>
                    <w:snapToGrid/>
                    <w:spacing w:before="0" w:line="240" w:lineRule="auto"/>
                    <w:ind w:left="0" w:leftChars="0" w:right="0" w:rightChars="0"/>
                    <w:jc w:val="both"/>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一般固废暂存在一般固废贮存库，定期外售给物资回收单位回收利用。</w:t>
                  </w:r>
                </w:p>
              </w:tc>
              <w:tc>
                <w:tcPr>
                  <w:tcW w:w="1438" w:type="dxa"/>
                  <w:tcBorders>
                    <w:tl2br w:val="nil"/>
                    <w:tr2bl w:val="nil"/>
                  </w:tcBorders>
                  <w:vAlign w:val="center"/>
                </w:tcPr>
                <w:p w14:paraId="4F9268A0">
                  <w:pPr>
                    <w:pStyle w:val="36"/>
                    <w:keepNext w:val="0"/>
                    <w:keepLines w:val="0"/>
                    <w:pageBreakBefore w:val="0"/>
                    <w:widowControl w:val="0"/>
                    <w:kinsoku/>
                    <w:wordWrap/>
                    <w:overflowPunct/>
                    <w:topLinePunct w:val="0"/>
                    <w:bidi w:val="0"/>
                    <w:adjustRightInd/>
                    <w:snapToGrid/>
                    <w:spacing w:before="0" w:line="240" w:lineRule="auto"/>
                    <w:ind w:left="0" w:leftChars="0" w:right="0" w:rightChars="0"/>
                    <w:jc w:val="both"/>
                    <w:textAlignment w:val="auto"/>
                    <w:rPr>
                      <w:rFonts w:hint="default"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pacing w:val="0"/>
                      <w:w w:val="100"/>
                      <w:kern w:val="0"/>
                      <w:position w:val="0"/>
                      <w:sz w:val="21"/>
                      <w:szCs w:val="21"/>
                      <w:highlight w:val="none"/>
                      <w:lang w:val="en-US" w:eastAsia="zh-CN"/>
                      <w14:textFill>
                        <w14:solidFill>
                          <w14:schemeClr w14:val="tx1"/>
                        </w14:solidFill>
                      </w14:textFill>
                    </w:rPr>
                    <w:t>新建</w:t>
                  </w:r>
                </w:p>
              </w:tc>
            </w:tr>
            <w:tr w14:paraId="6CB95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786" w:type="dxa"/>
                  <w:vMerge w:val="continue"/>
                  <w:tcBorders>
                    <w:tl2br w:val="nil"/>
                    <w:tr2bl w:val="nil"/>
                  </w:tcBorders>
                  <w:vAlign w:val="center"/>
                </w:tcPr>
                <w:p w14:paraId="3E51A269">
                  <w:pPr>
                    <w:keepNext w:val="0"/>
                    <w:keepLines w:val="0"/>
                    <w:pageBreakBefore w:val="0"/>
                    <w:widowControl w:val="0"/>
                    <w:kinsoku/>
                    <w:wordWrap/>
                    <w:overflowPunct/>
                    <w:topLinePunct w:val="0"/>
                    <w:bidi w:val="0"/>
                    <w:adjustRightInd/>
                    <w:snapToGrid/>
                    <w:spacing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p>
              </w:tc>
              <w:tc>
                <w:tcPr>
                  <w:tcW w:w="1635" w:type="dxa"/>
                  <w:gridSpan w:val="2"/>
                  <w:vMerge w:val="continue"/>
                  <w:tcBorders>
                    <w:tl2br w:val="nil"/>
                    <w:tr2bl w:val="nil"/>
                  </w:tcBorders>
                  <w:vAlign w:val="center"/>
                </w:tcPr>
                <w:p w14:paraId="5B84756C">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eastAsia"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pPr>
                </w:p>
              </w:tc>
              <w:tc>
                <w:tcPr>
                  <w:tcW w:w="3240" w:type="dxa"/>
                  <w:tcBorders>
                    <w:tl2br w:val="nil"/>
                    <w:tr2bl w:val="nil"/>
                  </w:tcBorders>
                  <w:vAlign w:val="center"/>
                </w:tcPr>
                <w:p w14:paraId="3D86FBA4">
                  <w:pPr>
                    <w:pStyle w:val="36"/>
                    <w:keepNext w:val="0"/>
                    <w:keepLines w:val="0"/>
                    <w:pageBreakBefore w:val="0"/>
                    <w:widowControl w:val="0"/>
                    <w:kinsoku/>
                    <w:wordWrap/>
                    <w:overflowPunct/>
                    <w:topLinePunct w:val="0"/>
                    <w:bidi w:val="0"/>
                    <w:adjustRightInd/>
                    <w:snapToGrid/>
                    <w:spacing w:before="0" w:line="240" w:lineRule="auto"/>
                    <w:ind w:left="0" w:leftChars="0" w:right="0" w:rightChars="0"/>
                    <w:jc w:val="both"/>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危险废物暂存危废间，定期委托福建绿洲固体废物处置有限公司处置。</w:t>
                  </w:r>
                </w:p>
              </w:tc>
              <w:tc>
                <w:tcPr>
                  <w:tcW w:w="3165" w:type="dxa"/>
                  <w:tcBorders>
                    <w:tl2br w:val="nil"/>
                    <w:tr2bl w:val="nil"/>
                  </w:tcBorders>
                  <w:vAlign w:val="center"/>
                </w:tcPr>
                <w:p w14:paraId="06C8E56E">
                  <w:pPr>
                    <w:pStyle w:val="36"/>
                    <w:keepNext w:val="0"/>
                    <w:keepLines w:val="0"/>
                    <w:pageBreakBefore w:val="0"/>
                    <w:widowControl w:val="0"/>
                    <w:kinsoku/>
                    <w:wordWrap/>
                    <w:overflowPunct/>
                    <w:topLinePunct w:val="0"/>
                    <w:bidi w:val="0"/>
                    <w:adjustRightInd/>
                    <w:snapToGrid/>
                    <w:spacing w:before="0" w:line="240" w:lineRule="auto"/>
                    <w:ind w:left="0" w:leftChars="0" w:right="0" w:rightChars="0"/>
                    <w:jc w:val="both"/>
                    <w:textAlignment w:val="auto"/>
                    <w:rPr>
                      <w:rFonts w:hint="eastAsia"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危险废物暂存危废间，定期委托</w:t>
                  </w:r>
                  <w:r>
                    <w:rPr>
                      <w:rFonts w:hint="eastAsia" w:ascii="Times New Roman" w:hAnsi="Times New Roman" w:cs="Times New Roman"/>
                      <w:color w:val="000000" w:themeColor="text1"/>
                      <w:spacing w:val="0"/>
                      <w:w w:val="100"/>
                      <w:kern w:val="0"/>
                      <w:position w:val="0"/>
                      <w:sz w:val="21"/>
                      <w:szCs w:val="21"/>
                      <w:highlight w:val="none"/>
                      <w:lang w:val="en-US" w:eastAsia="zh-CN"/>
                      <w14:textFill>
                        <w14:solidFill>
                          <w14:schemeClr w14:val="tx1"/>
                        </w14:solidFill>
                      </w14:textFill>
                    </w:rPr>
                    <w:t>有资质单位</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处置。</w:t>
                  </w:r>
                </w:p>
              </w:tc>
              <w:tc>
                <w:tcPr>
                  <w:tcW w:w="3162" w:type="dxa"/>
                  <w:tcBorders>
                    <w:tl2br w:val="nil"/>
                    <w:tr2bl w:val="nil"/>
                  </w:tcBorders>
                  <w:vAlign w:val="center"/>
                </w:tcPr>
                <w:p w14:paraId="2173D0B0">
                  <w:pPr>
                    <w:pStyle w:val="36"/>
                    <w:keepNext w:val="0"/>
                    <w:keepLines w:val="0"/>
                    <w:pageBreakBefore w:val="0"/>
                    <w:widowControl w:val="0"/>
                    <w:kinsoku/>
                    <w:wordWrap/>
                    <w:overflowPunct/>
                    <w:topLinePunct w:val="0"/>
                    <w:bidi w:val="0"/>
                    <w:adjustRightInd/>
                    <w:snapToGrid/>
                    <w:spacing w:before="0" w:line="240" w:lineRule="auto"/>
                    <w:ind w:left="0" w:leftChars="0" w:right="0" w:rightChars="0"/>
                    <w:jc w:val="both"/>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危险废物暂存危废间，定期委托</w:t>
                  </w:r>
                  <w:r>
                    <w:rPr>
                      <w:rFonts w:hint="eastAsia" w:ascii="Times New Roman" w:hAnsi="Times New Roman" w:cs="Times New Roman"/>
                      <w:color w:val="000000" w:themeColor="text1"/>
                      <w:spacing w:val="0"/>
                      <w:w w:val="100"/>
                      <w:kern w:val="0"/>
                      <w:position w:val="0"/>
                      <w:sz w:val="21"/>
                      <w:szCs w:val="21"/>
                      <w:highlight w:val="none"/>
                      <w:lang w:val="en-US" w:eastAsia="zh-CN"/>
                      <w14:textFill>
                        <w14:solidFill>
                          <w14:schemeClr w14:val="tx1"/>
                        </w14:solidFill>
                      </w14:textFill>
                    </w:rPr>
                    <w:t>有资质单位</w:t>
                  </w: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处置。</w:t>
                  </w:r>
                </w:p>
              </w:tc>
              <w:tc>
                <w:tcPr>
                  <w:tcW w:w="1438" w:type="dxa"/>
                  <w:tcBorders>
                    <w:tl2br w:val="nil"/>
                    <w:tr2bl w:val="nil"/>
                  </w:tcBorders>
                  <w:vAlign w:val="center"/>
                </w:tcPr>
                <w:p w14:paraId="296B1DF6">
                  <w:pPr>
                    <w:pStyle w:val="36"/>
                    <w:keepNext w:val="0"/>
                    <w:keepLines w:val="0"/>
                    <w:pageBreakBefore w:val="0"/>
                    <w:widowControl w:val="0"/>
                    <w:kinsoku/>
                    <w:wordWrap/>
                    <w:overflowPunct/>
                    <w:topLinePunct w:val="0"/>
                    <w:bidi w:val="0"/>
                    <w:adjustRightInd/>
                    <w:snapToGrid/>
                    <w:spacing w:before="0" w:line="240" w:lineRule="auto"/>
                    <w:ind w:left="0" w:leftChars="0" w:right="0" w:rightChars="0"/>
                    <w:jc w:val="both"/>
                    <w:textAlignment w:val="auto"/>
                    <w:rPr>
                      <w:rFonts w:hint="eastAsia"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pacing w:val="0"/>
                      <w:w w:val="100"/>
                      <w:kern w:val="0"/>
                      <w:position w:val="0"/>
                      <w:sz w:val="21"/>
                      <w:szCs w:val="21"/>
                      <w:highlight w:val="none"/>
                      <w:lang w:val="en-US" w:eastAsia="zh-CN"/>
                      <w14:textFill>
                        <w14:solidFill>
                          <w14:schemeClr w14:val="tx1"/>
                        </w14:solidFill>
                      </w14:textFill>
                    </w:rPr>
                    <w:t>新建</w:t>
                  </w:r>
                </w:p>
              </w:tc>
            </w:tr>
            <w:tr w14:paraId="45844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786" w:type="dxa"/>
                  <w:vMerge w:val="continue"/>
                  <w:tcBorders>
                    <w:tl2br w:val="nil"/>
                    <w:tr2bl w:val="nil"/>
                  </w:tcBorders>
                  <w:vAlign w:val="center"/>
                </w:tcPr>
                <w:p w14:paraId="57E90595">
                  <w:pPr>
                    <w:keepNext w:val="0"/>
                    <w:keepLines w:val="0"/>
                    <w:pageBreakBefore w:val="0"/>
                    <w:widowControl w:val="0"/>
                    <w:kinsoku/>
                    <w:wordWrap/>
                    <w:overflowPunct/>
                    <w:topLinePunct w:val="0"/>
                    <w:bidi w:val="0"/>
                    <w:adjustRightInd/>
                    <w:snapToGrid/>
                    <w:spacing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p>
              </w:tc>
              <w:tc>
                <w:tcPr>
                  <w:tcW w:w="1635" w:type="dxa"/>
                  <w:gridSpan w:val="2"/>
                  <w:vMerge w:val="continue"/>
                  <w:tcBorders>
                    <w:tl2br w:val="nil"/>
                    <w:tr2bl w:val="nil"/>
                  </w:tcBorders>
                  <w:vAlign w:val="center"/>
                </w:tcPr>
                <w:p w14:paraId="6F5311BF">
                  <w:pPr>
                    <w:pStyle w:val="36"/>
                    <w:keepNext w:val="0"/>
                    <w:keepLines w:val="0"/>
                    <w:pageBreakBefore w:val="0"/>
                    <w:widowControl w:val="0"/>
                    <w:kinsoku/>
                    <w:wordWrap/>
                    <w:overflowPunct/>
                    <w:topLinePunct w:val="0"/>
                    <w:bidi w:val="0"/>
                    <w:adjustRightInd/>
                    <w:snapToGrid/>
                    <w:spacing w:before="0" w:line="240" w:lineRule="auto"/>
                    <w:ind w:left="0" w:right="0"/>
                    <w:jc w:val="center"/>
                    <w:textAlignment w:val="auto"/>
                    <w:rPr>
                      <w:rFonts w:hint="eastAsia"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pPr>
                </w:p>
              </w:tc>
              <w:tc>
                <w:tcPr>
                  <w:tcW w:w="3240" w:type="dxa"/>
                  <w:tcBorders>
                    <w:tl2br w:val="nil"/>
                    <w:tr2bl w:val="nil"/>
                  </w:tcBorders>
                  <w:vAlign w:val="center"/>
                </w:tcPr>
                <w:p w14:paraId="01A6BCDA">
                  <w:pPr>
                    <w:pStyle w:val="36"/>
                    <w:keepNext w:val="0"/>
                    <w:keepLines w:val="0"/>
                    <w:pageBreakBefore w:val="0"/>
                    <w:widowControl w:val="0"/>
                    <w:kinsoku/>
                    <w:wordWrap/>
                    <w:overflowPunct/>
                    <w:topLinePunct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生活垃圾委托环卫部门定期清运。</w:t>
                  </w:r>
                </w:p>
              </w:tc>
              <w:tc>
                <w:tcPr>
                  <w:tcW w:w="3165" w:type="dxa"/>
                  <w:tcBorders>
                    <w:tl2br w:val="nil"/>
                    <w:tr2bl w:val="nil"/>
                  </w:tcBorders>
                  <w:vAlign w:val="center"/>
                </w:tcPr>
                <w:p w14:paraId="082B4666">
                  <w:pPr>
                    <w:pStyle w:val="36"/>
                    <w:keepNext w:val="0"/>
                    <w:keepLines w:val="0"/>
                    <w:pageBreakBefore w:val="0"/>
                    <w:widowControl w:val="0"/>
                    <w:kinsoku/>
                    <w:wordWrap/>
                    <w:overflowPunct/>
                    <w:topLinePunct w:val="0"/>
                    <w:bidi w:val="0"/>
                    <w:adjustRightInd/>
                    <w:snapToGrid/>
                    <w:spacing w:before="0" w:line="240" w:lineRule="auto"/>
                    <w:ind w:left="0" w:leftChars="0" w:right="0" w:rightChars="0"/>
                    <w:jc w:val="both"/>
                    <w:textAlignment w:val="auto"/>
                    <w:rPr>
                      <w:rFonts w:hint="eastAsia"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依托现有</w:t>
                  </w:r>
                </w:p>
              </w:tc>
              <w:tc>
                <w:tcPr>
                  <w:tcW w:w="3162" w:type="dxa"/>
                  <w:tcBorders>
                    <w:tl2br w:val="nil"/>
                    <w:tr2bl w:val="nil"/>
                  </w:tcBorders>
                  <w:vAlign w:val="center"/>
                </w:tcPr>
                <w:p w14:paraId="1E5171C8">
                  <w:pPr>
                    <w:pStyle w:val="36"/>
                    <w:keepNext w:val="0"/>
                    <w:keepLines w:val="0"/>
                    <w:pageBreakBefore w:val="0"/>
                    <w:widowControl w:val="0"/>
                    <w:kinsoku/>
                    <w:wordWrap/>
                    <w:overflowPunct/>
                    <w:topLinePunct w:val="0"/>
                    <w:bidi w:val="0"/>
                    <w:adjustRightInd/>
                    <w:snapToGrid/>
                    <w:spacing w:before="0" w:line="240" w:lineRule="auto"/>
                    <w:ind w:left="0" w:leftChars="0" w:right="0" w:rightChars="0"/>
                    <w:jc w:val="both"/>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生活垃圾委托环卫部门定期清运。</w:t>
                  </w:r>
                </w:p>
              </w:tc>
              <w:tc>
                <w:tcPr>
                  <w:tcW w:w="1438" w:type="dxa"/>
                  <w:tcBorders>
                    <w:tl2br w:val="nil"/>
                    <w:tr2bl w:val="nil"/>
                  </w:tcBorders>
                  <w:vAlign w:val="center"/>
                </w:tcPr>
                <w:p w14:paraId="65CC6E56">
                  <w:pPr>
                    <w:pStyle w:val="36"/>
                    <w:keepNext w:val="0"/>
                    <w:keepLines w:val="0"/>
                    <w:pageBreakBefore w:val="0"/>
                    <w:widowControl w:val="0"/>
                    <w:kinsoku/>
                    <w:wordWrap/>
                    <w:overflowPunct/>
                    <w:topLinePunct w:val="0"/>
                    <w:bidi w:val="0"/>
                    <w:adjustRightInd/>
                    <w:snapToGrid/>
                    <w:spacing w:before="0" w:line="240" w:lineRule="auto"/>
                    <w:ind w:left="0" w:leftChars="0" w:right="0" w:rightChars="0"/>
                    <w:jc w:val="both"/>
                    <w:textAlignment w:val="auto"/>
                    <w:rPr>
                      <w:rFonts w:hint="eastAsia"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依托现有</w:t>
                  </w:r>
                </w:p>
              </w:tc>
            </w:tr>
            <w:tr w14:paraId="13FB8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786" w:type="dxa"/>
                  <w:vMerge w:val="continue"/>
                  <w:tcBorders>
                    <w:tl2br w:val="nil"/>
                    <w:tr2bl w:val="nil"/>
                  </w:tcBorders>
                  <w:vAlign w:val="center"/>
                </w:tcPr>
                <w:p w14:paraId="7A20E45C">
                  <w:pPr>
                    <w:keepNext w:val="0"/>
                    <w:keepLines w:val="0"/>
                    <w:pageBreakBefore w:val="0"/>
                    <w:widowControl w:val="0"/>
                    <w:kinsoku/>
                    <w:wordWrap/>
                    <w:overflowPunct/>
                    <w:topLinePunct w:val="0"/>
                    <w:bidi w:val="0"/>
                    <w:adjustRightInd/>
                    <w:snapToGrid/>
                    <w:spacing w:line="240" w:lineRule="auto"/>
                    <w:ind w:left="0"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p>
              </w:tc>
              <w:tc>
                <w:tcPr>
                  <w:tcW w:w="1635" w:type="dxa"/>
                  <w:gridSpan w:val="2"/>
                  <w:tcBorders>
                    <w:tl2br w:val="nil"/>
                    <w:tr2bl w:val="nil"/>
                  </w:tcBorders>
                  <w:vAlign w:val="center"/>
                </w:tcPr>
                <w:p w14:paraId="708BAA9B">
                  <w:pPr>
                    <w:pStyle w:val="36"/>
                    <w:keepNext w:val="0"/>
                    <w:keepLines w:val="0"/>
                    <w:pageBreakBefore w:val="0"/>
                    <w:widowControl w:val="0"/>
                    <w:kinsoku/>
                    <w:wordWrap/>
                    <w:overflowPunct/>
                    <w:topLinePunct w:val="0"/>
                    <w:bidi w:val="0"/>
                    <w:adjustRightInd/>
                    <w:snapToGrid/>
                    <w:spacing w:before="0" w:line="240" w:lineRule="auto"/>
                    <w:ind w:left="0" w:leftChars="0" w:right="0" w:rightChars="0"/>
                    <w:jc w:val="center"/>
                    <w:textAlignment w:val="auto"/>
                    <w:rPr>
                      <w:rFonts w:hint="eastAsia" w:ascii="Times New Roman" w:hAnsi="Times New Roman" w:eastAsia="宋体" w:cs="Times New Roman"/>
                      <w:color w:val="000000" w:themeColor="text1"/>
                      <w:spacing w:val="0"/>
                      <w:w w:val="10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噪声控制</w:t>
                  </w:r>
                </w:p>
              </w:tc>
              <w:tc>
                <w:tcPr>
                  <w:tcW w:w="3240" w:type="dxa"/>
                  <w:tcBorders>
                    <w:tl2br w:val="nil"/>
                    <w:tr2bl w:val="nil"/>
                  </w:tcBorders>
                  <w:vAlign w:val="center"/>
                </w:tcPr>
                <w:p w14:paraId="5F8B828B">
                  <w:pPr>
                    <w:pStyle w:val="36"/>
                    <w:keepNext w:val="0"/>
                    <w:keepLines w:val="0"/>
                    <w:pageBreakBefore w:val="0"/>
                    <w:widowControl w:val="0"/>
                    <w:kinsoku/>
                    <w:wordWrap/>
                    <w:overflowPunct/>
                    <w:topLinePunct w:val="0"/>
                    <w:bidi w:val="0"/>
                    <w:adjustRightInd/>
                    <w:snapToGrid/>
                    <w:spacing w:before="0" w:line="240" w:lineRule="auto"/>
                    <w:ind w:left="0" w:leftChars="0" w:right="0" w:rightChars="0"/>
                    <w:jc w:val="both"/>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选用低噪声设备，加强设备的维护管理；对高噪声设备进行基础减振、通过厂房墙体隔声等综合降噪措施</w:t>
                  </w:r>
                </w:p>
              </w:tc>
              <w:tc>
                <w:tcPr>
                  <w:tcW w:w="3165" w:type="dxa"/>
                  <w:tcBorders>
                    <w:tl2br w:val="nil"/>
                    <w:tr2bl w:val="nil"/>
                  </w:tcBorders>
                  <w:vAlign w:val="center"/>
                </w:tcPr>
                <w:p w14:paraId="139DD2B2">
                  <w:pPr>
                    <w:pStyle w:val="36"/>
                    <w:keepNext w:val="0"/>
                    <w:keepLines w:val="0"/>
                    <w:pageBreakBefore w:val="0"/>
                    <w:widowControl w:val="0"/>
                    <w:kinsoku/>
                    <w:wordWrap/>
                    <w:overflowPunct/>
                    <w:topLinePunct w:val="0"/>
                    <w:bidi w:val="0"/>
                    <w:adjustRightInd/>
                    <w:snapToGrid/>
                    <w:spacing w:before="0" w:line="240" w:lineRule="auto"/>
                    <w:ind w:left="0" w:leftChars="0" w:right="0" w:rightChars="0"/>
                    <w:jc w:val="both"/>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选用低噪声设备，加强设备的维护管理；对高噪声设备进行基础减振、通过厂房墙体隔声等综合降噪措施</w:t>
                  </w:r>
                </w:p>
              </w:tc>
              <w:tc>
                <w:tcPr>
                  <w:tcW w:w="3162" w:type="dxa"/>
                  <w:tcBorders>
                    <w:tl2br w:val="nil"/>
                    <w:tr2bl w:val="nil"/>
                  </w:tcBorders>
                  <w:vAlign w:val="center"/>
                </w:tcPr>
                <w:p w14:paraId="15050405">
                  <w:pPr>
                    <w:pStyle w:val="36"/>
                    <w:keepNext w:val="0"/>
                    <w:keepLines w:val="0"/>
                    <w:pageBreakBefore w:val="0"/>
                    <w:widowControl w:val="0"/>
                    <w:kinsoku/>
                    <w:wordWrap/>
                    <w:overflowPunct/>
                    <w:topLinePunct w:val="0"/>
                    <w:bidi w:val="0"/>
                    <w:adjustRightInd/>
                    <w:snapToGrid/>
                    <w:spacing w:before="0" w:line="240" w:lineRule="auto"/>
                    <w:ind w:left="0" w:leftChars="0" w:right="0" w:rightChars="0"/>
                    <w:jc w:val="both"/>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选用低噪声设备，加强设备的维护管理；对高噪声设备进行基础减振、通过厂房墙体隔声等综合降噪措施</w:t>
                  </w:r>
                </w:p>
              </w:tc>
              <w:tc>
                <w:tcPr>
                  <w:tcW w:w="1438" w:type="dxa"/>
                  <w:tcBorders>
                    <w:tl2br w:val="nil"/>
                    <w:tr2bl w:val="nil"/>
                  </w:tcBorders>
                  <w:vAlign w:val="center"/>
                </w:tcPr>
                <w:p w14:paraId="1543CBCA">
                  <w:pPr>
                    <w:pStyle w:val="36"/>
                    <w:keepNext w:val="0"/>
                    <w:keepLines w:val="0"/>
                    <w:pageBreakBefore w:val="0"/>
                    <w:widowControl w:val="0"/>
                    <w:kinsoku/>
                    <w:wordWrap/>
                    <w:overflowPunct/>
                    <w:topLinePunct w:val="0"/>
                    <w:bidi w:val="0"/>
                    <w:adjustRightInd/>
                    <w:snapToGrid/>
                    <w:spacing w:before="0" w:line="240" w:lineRule="auto"/>
                    <w:ind w:left="0" w:leftChars="0" w:right="0" w:rightChars="0"/>
                    <w:jc w:val="both"/>
                    <w:textAlignment w:val="auto"/>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14:textFill>
                        <w14:solidFill>
                          <w14:schemeClr w14:val="tx1"/>
                        </w14:solidFill>
                      </w14:textFill>
                    </w:rPr>
                    <w:t>新增</w:t>
                  </w:r>
                </w:p>
              </w:tc>
            </w:tr>
          </w:tbl>
          <w:p w14:paraId="4B1361C2">
            <w:pPr>
              <w:pStyle w:val="37"/>
              <w:rPr>
                <w:b w:val="0"/>
                <w:color w:val="000000" w:themeColor="text1"/>
                <w:sz w:val="24"/>
                <w:szCs w:val="21"/>
                <w:highlight w:val="none"/>
                <w14:textFill>
                  <w14:solidFill>
                    <w14:schemeClr w14:val="tx1"/>
                  </w14:solidFill>
                </w14:textFill>
              </w:rPr>
            </w:pPr>
          </w:p>
          <w:p w14:paraId="547E4980">
            <w:pPr>
              <w:pStyle w:val="37"/>
              <w:rPr>
                <w:b w:val="0"/>
                <w:color w:val="000000" w:themeColor="text1"/>
                <w:sz w:val="24"/>
                <w:szCs w:val="21"/>
                <w:highlight w:val="none"/>
                <w14:textFill>
                  <w14:solidFill>
                    <w14:schemeClr w14:val="tx1"/>
                  </w14:solidFill>
                </w14:textFill>
              </w:rPr>
            </w:pPr>
          </w:p>
          <w:p w14:paraId="05C0E00F">
            <w:pPr>
              <w:pStyle w:val="37"/>
              <w:rPr>
                <w:rFonts w:hint="eastAsia"/>
                <w:b w:val="0"/>
                <w:color w:val="000000" w:themeColor="text1"/>
                <w:sz w:val="24"/>
                <w:szCs w:val="21"/>
                <w:highlight w:val="none"/>
                <w:lang w:val="en-US" w:eastAsia="zh-CN"/>
                <w14:textFill>
                  <w14:solidFill>
                    <w14:schemeClr w14:val="tx1"/>
                  </w14:solidFill>
                </w14:textFill>
              </w:rPr>
            </w:pPr>
            <w:r>
              <w:rPr>
                <w:b w:val="0"/>
                <w:color w:val="000000" w:themeColor="text1"/>
                <w:sz w:val="24"/>
                <w:szCs w:val="21"/>
                <w:highlight w:val="none"/>
                <w14:textFill>
                  <w14:solidFill>
                    <w14:schemeClr w14:val="tx1"/>
                  </w14:solidFill>
                </w14:textFill>
              </w:rPr>
              <w:t>2.</w:t>
            </w:r>
            <w:r>
              <w:rPr>
                <w:rFonts w:hint="eastAsia"/>
                <w:b w:val="0"/>
                <w:color w:val="000000" w:themeColor="text1"/>
                <w:sz w:val="24"/>
                <w:szCs w:val="21"/>
                <w:highlight w:val="none"/>
                <w:lang w:val="en-US" w:eastAsia="zh-CN"/>
                <w14:textFill>
                  <w14:solidFill>
                    <w14:schemeClr w14:val="tx1"/>
                  </w14:solidFill>
                </w14:textFill>
              </w:rPr>
              <w:t>4</w:t>
            </w:r>
            <w:r>
              <w:rPr>
                <w:b w:val="0"/>
                <w:color w:val="000000" w:themeColor="text1"/>
                <w:sz w:val="24"/>
                <w:szCs w:val="21"/>
                <w:highlight w:val="none"/>
                <w14:textFill>
                  <w14:solidFill>
                    <w14:schemeClr w14:val="tx1"/>
                  </w14:solidFill>
                </w14:textFill>
              </w:rPr>
              <w:t xml:space="preserve"> </w:t>
            </w:r>
            <w:r>
              <w:rPr>
                <w:rFonts w:hint="eastAsia"/>
                <w:b w:val="0"/>
                <w:color w:val="000000" w:themeColor="text1"/>
                <w:sz w:val="24"/>
                <w:szCs w:val="21"/>
                <w:highlight w:val="none"/>
                <w:lang w:val="en-US" w:eastAsia="zh-CN"/>
                <w14:textFill>
                  <w14:solidFill>
                    <w14:schemeClr w14:val="tx1"/>
                  </w14:solidFill>
                </w14:textFill>
              </w:rPr>
              <w:t>项目主要原辅材料</w:t>
            </w:r>
          </w:p>
          <w:p w14:paraId="680C194C">
            <w:pPr>
              <w:pStyle w:val="12"/>
              <w:spacing w:before="160"/>
              <w:ind w:left="721"/>
              <w:rPr>
                <w:rFonts w:hint="eastAsia" w:ascii="Times New Roman" w:hAnsi="Times New Roman" w:eastAsia="宋体" w:cs="Times New Roman"/>
                <w:color w:val="000000" w:themeColor="text1"/>
                <w:kern w:val="2"/>
                <w:sz w:val="24"/>
                <w:szCs w:val="32"/>
                <w:highlight w:val="none"/>
                <w:lang w:val="en-US" w:eastAsia="zh-CN" w:bidi="ar-SA"/>
                <w14:textFill>
                  <w14:solidFill>
                    <w14:schemeClr w14:val="tx1"/>
                  </w14:solidFill>
                </w14:textFill>
              </w:rPr>
            </w:pPr>
            <w:r>
              <w:rPr>
                <w:rFonts w:hint="eastAsia" w:cs="Times New Roman"/>
                <w:color w:val="000000" w:themeColor="text1"/>
                <w:kern w:val="2"/>
                <w:sz w:val="24"/>
                <w:szCs w:val="32"/>
                <w:highlight w:val="none"/>
                <w:lang w:val="en-US" w:eastAsia="zh-CN" w:bidi="ar-SA"/>
                <w14:textFill>
                  <w14:solidFill>
                    <w14:schemeClr w14:val="tx1"/>
                  </w14:solidFill>
                </w14:textFill>
              </w:rPr>
              <w:t>本</w:t>
            </w:r>
            <w:r>
              <w:rPr>
                <w:rFonts w:hint="eastAsia" w:ascii="Times New Roman" w:hAnsi="Times New Roman" w:eastAsia="宋体" w:cs="Times New Roman"/>
                <w:color w:val="000000" w:themeColor="text1"/>
                <w:kern w:val="2"/>
                <w:sz w:val="24"/>
                <w:szCs w:val="32"/>
                <w:highlight w:val="none"/>
                <w:lang w:val="en-US" w:eastAsia="zh-CN" w:bidi="ar-SA"/>
                <w14:textFill>
                  <w14:solidFill>
                    <w14:schemeClr w14:val="tx1"/>
                  </w14:solidFill>
                </w14:textFill>
              </w:rPr>
              <w:t>项目的主要原辅材料的</w:t>
            </w:r>
            <w:r>
              <w:rPr>
                <w:rFonts w:hint="eastAsia" w:cs="Times New Roman"/>
                <w:color w:val="000000" w:themeColor="text1"/>
                <w:kern w:val="2"/>
                <w:sz w:val="24"/>
                <w:szCs w:val="32"/>
                <w:highlight w:val="none"/>
                <w:lang w:val="en-US" w:eastAsia="zh-CN" w:bidi="ar-SA"/>
                <w14:textFill>
                  <w14:solidFill>
                    <w14:schemeClr w14:val="tx1"/>
                  </w14:solidFill>
                </w14:textFill>
              </w:rPr>
              <w:t>情况</w:t>
            </w:r>
            <w:r>
              <w:rPr>
                <w:rFonts w:hint="eastAsia" w:ascii="Times New Roman" w:hAnsi="Times New Roman" w:eastAsia="宋体" w:cs="Times New Roman"/>
                <w:color w:val="000000" w:themeColor="text1"/>
                <w:kern w:val="2"/>
                <w:sz w:val="24"/>
                <w:szCs w:val="32"/>
                <w:highlight w:val="none"/>
                <w:lang w:val="en-US" w:eastAsia="zh-CN" w:bidi="ar-SA"/>
                <w14:textFill>
                  <w14:solidFill>
                    <w14:schemeClr w14:val="tx1"/>
                  </w14:solidFill>
                </w14:textFill>
              </w:rPr>
              <w:t>见</w:t>
            </w:r>
            <w:r>
              <w:rPr>
                <w:rFonts w:hint="eastAsia" w:cs="Times New Roman"/>
                <w:color w:val="000000" w:themeColor="text1"/>
                <w:kern w:val="2"/>
                <w:sz w:val="24"/>
                <w:szCs w:val="32"/>
                <w:highlight w:val="none"/>
                <w:lang w:val="en-US" w:eastAsia="zh-CN" w:bidi="ar-SA"/>
                <w14:textFill>
                  <w14:solidFill>
                    <w14:schemeClr w14:val="tx1"/>
                  </w14:solidFill>
                </w14:textFill>
              </w:rPr>
              <w:t>下</w:t>
            </w:r>
            <w:r>
              <w:rPr>
                <w:rFonts w:hint="eastAsia" w:ascii="Times New Roman" w:hAnsi="Times New Roman" w:eastAsia="宋体" w:cs="Times New Roman"/>
                <w:color w:val="000000" w:themeColor="text1"/>
                <w:kern w:val="2"/>
                <w:sz w:val="24"/>
                <w:szCs w:val="32"/>
                <w:highlight w:val="none"/>
                <w:lang w:val="en-US" w:eastAsia="zh-CN" w:bidi="ar-SA"/>
                <w14:textFill>
                  <w14:solidFill>
                    <w14:schemeClr w14:val="tx1"/>
                  </w14:solidFill>
                </w14:textFill>
              </w:rPr>
              <w:t>表</w:t>
            </w:r>
            <w:r>
              <w:rPr>
                <w:rFonts w:hint="eastAsia" w:cs="Times New Roman"/>
                <w:color w:val="000000" w:themeColor="text1"/>
                <w:kern w:val="2"/>
                <w:sz w:val="24"/>
                <w:szCs w:val="32"/>
                <w:highlight w:val="none"/>
                <w:lang w:val="en-US" w:eastAsia="zh-CN" w:bidi="ar-SA"/>
                <w14:textFill>
                  <w14:solidFill>
                    <w14:schemeClr w14:val="tx1"/>
                  </w14:solidFill>
                </w14:textFill>
              </w:rPr>
              <w:t>。</w:t>
            </w:r>
          </w:p>
          <w:p w14:paraId="5946BF7A">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eastAsia" w:ascii="Times New Roman" w:hAnsi="Times New Roman" w:eastAsia="宋体" w:cs="Times New Roman"/>
                <w:color w:val="000000" w:themeColor="text1"/>
                <w:kern w:val="2"/>
                <w:sz w:val="24"/>
                <w:szCs w:val="32"/>
                <w:highlight w:val="none"/>
                <w:lang w:val="en-US" w:eastAsia="zh-CN" w:bidi="ar-SA"/>
                <w14:textFill>
                  <w14:solidFill>
                    <w14:schemeClr w14:val="tx1"/>
                  </w14:solidFill>
                </w14:textFill>
              </w:rPr>
            </w:pPr>
            <w:r>
              <w:rPr>
                <w:rFonts w:hint="eastAsia"/>
                <w:b/>
                <w:color w:val="000000" w:themeColor="text1"/>
                <w:sz w:val="24"/>
                <w:szCs w:val="24"/>
                <w:highlight w:val="none"/>
                <w14:textFill>
                  <w14:solidFill>
                    <w14:schemeClr w14:val="tx1"/>
                  </w14:solidFill>
                </w14:textFill>
              </w:rPr>
              <w:t>表</w:t>
            </w:r>
            <w:r>
              <w:rPr>
                <w:rFonts w:hint="eastAsia"/>
                <w:b/>
                <w:color w:val="000000" w:themeColor="text1"/>
                <w:sz w:val="24"/>
                <w:szCs w:val="24"/>
                <w:highlight w:val="none"/>
                <w:lang w:val="en-US" w:eastAsia="zh-CN"/>
                <w14:textFill>
                  <w14:solidFill>
                    <w14:schemeClr w14:val="tx1"/>
                  </w14:solidFill>
                </w14:textFill>
              </w:rPr>
              <w:t>2.4-1</w:t>
            </w:r>
            <w:r>
              <w:rPr>
                <w:b/>
                <w:color w:val="000000" w:themeColor="text1"/>
                <w:sz w:val="24"/>
                <w:szCs w:val="24"/>
                <w:highlight w:val="none"/>
                <w14:textFill>
                  <w14:solidFill>
                    <w14:schemeClr w14:val="tx1"/>
                  </w14:solidFill>
                </w14:textFill>
              </w:rPr>
              <w:t xml:space="preserve"> </w:t>
            </w:r>
            <w:r>
              <w:rPr>
                <w:rFonts w:hint="eastAsia"/>
                <w:b/>
                <w:color w:val="000000" w:themeColor="text1"/>
                <w:sz w:val="24"/>
                <w:szCs w:val="24"/>
                <w:highlight w:val="none"/>
                <w:lang w:val="en-US" w:eastAsia="zh-CN"/>
                <w14:textFill>
                  <w14:solidFill>
                    <w14:schemeClr w14:val="tx1"/>
                  </w14:solidFill>
                </w14:textFill>
              </w:rPr>
              <w:t>本项目</w:t>
            </w:r>
            <w:r>
              <w:rPr>
                <w:b/>
                <w:color w:val="000000" w:themeColor="text1"/>
                <w:sz w:val="24"/>
                <w:szCs w:val="24"/>
                <w:highlight w:val="none"/>
                <w14:textFill>
                  <w14:solidFill>
                    <w14:schemeClr w14:val="tx1"/>
                  </w14:solidFill>
                </w14:textFill>
              </w:rPr>
              <w:t>原辅材料</w:t>
            </w:r>
            <w:r>
              <w:rPr>
                <w:rFonts w:hint="eastAsia"/>
                <w:b/>
                <w:color w:val="000000" w:themeColor="text1"/>
                <w:sz w:val="24"/>
                <w:szCs w:val="24"/>
                <w:highlight w:val="none"/>
                <w:lang w:val="en-US" w:eastAsia="zh-CN"/>
                <w14:textFill>
                  <w14:solidFill>
                    <w14:schemeClr w14:val="tx1"/>
                  </w14:solidFill>
                </w14:textFill>
              </w:rPr>
              <w:t>情况</w:t>
            </w:r>
            <w:r>
              <w:rPr>
                <w:b/>
                <w:color w:val="000000" w:themeColor="text1"/>
                <w:sz w:val="24"/>
                <w:szCs w:val="24"/>
                <w:highlight w:val="none"/>
                <w14:textFill>
                  <w14:solidFill>
                    <w14:schemeClr w14:val="tx1"/>
                  </w14:solidFill>
                </w14:textFill>
              </w:rPr>
              <w:t>一览表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1915"/>
              <w:gridCol w:w="3134"/>
              <w:gridCol w:w="2094"/>
              <w:gridCol w:w="2094"/>
              <w:gridCol w:w="2094"/>
              <w:gridCol w:w="2095"/>
            </w:tblGrid>
            <w:tr w14:paraId="6419EC3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tcBorders>
                    <w:tl2br w:val="nil"/>
                    <w:tr2bl w:val="nil"/>
                  </w:tcBorders>
                  <w:noWrap w:val="0"/>
                  <w:vAlign w:val="center"/>
                </w:tcPr>
                <w:p w14:paraId="71A8B682">
                  <w:pPr>
                    <w:widowControl/>
                    <w:jc w:val="center"/>
                    <w:textAlignment w:val="top"/>
                    <w:rPr>
                      <w:bCs/>
                      <w:color w:val="000000" w:themeColor="text1"/>
                      <w:kern w:val="0"/>
                      <w:szCs w:val="21"/>
                      <w:highlight w:val="none"/>
                      <w14:textFill>
                        <w14:solidFill>
                          <w14:schemeClr w14:val="tx1"/>
                        </w14:solidFill>
                      </w14:textFill>
                    </w:rPr>
                  </w:pPr>
                  <w:r>
                    <w:rPr>
                      <w:bCs/>
                      <w:color w:val="000000" w:themeColor="text1"/>
                      <w:kern w:val="0"/>
                      <w:szCs w:val="21"/>
                      <w:highlight w:val="none"/>
                      <w14:textFill>
                        <w14:solidFill>
                          <w14:schemeClr w14:val="tx1"/>
                        </w14:solidFill>
                      </w14:textFill>
                    </w:rPr>
                    <w:t>产品名称</w:t>
                  </w:r>
                </w:p>
              </w:tc>
              <w:tc>
                <w:tcPr>
                  <w:tcW w:w="3136" w:type="dxa"/>
                  <w:tcBorders>
                    <w:tl2br w:val="nil"/>
                    <w:tr2bl w:val="nil"/>
                  </w:tcBorders>
                  <w:noWrap w:val="0"/>
                  <w:vAlign w:val="center"/>
                </w:tcPr>
                <w:p w14:paraId="18FD182E">
                  <w:pPr>
                    <w:widowControl/>
                    <w:jc w:val="center"/>
                    <w:textAlignment w:val="top"/>
                    <w:rPr>
                      <w:bCs/>
                      <w:color w:val="000000" w:themeColor="text1"/>
                      <w:szCs w:val="21"/>
                      <w:highlight w:val="none"/>
                      <w14:textFill>
                        <w14:solidFill>
                          <w14:schemeClr w14:val="tx1"/>
                        </w14:solidFill>
                      </w14:textFill>
                    </w:rPr>
                  </w:pPr>
                  <w:r>
                    <w:rPr>
                      <w:bCs/>
                      <w:color w:val="000000" w:themeColor="text1"/>
                      <w:kern w:val="0"/>
                      <w:szCs w:val="21"/>
                      <w:highlight w:val="none"/>
                      <w14:textFill>
                        <w14:solidFill>
                          <w14:schemeClr w14:val="tx1"/>
                        </w14:solidFill>
                      </w14:textFill>
                    </w:rPr>
                    <w:t>名称</w:t>
                  </w:r>
                </w:p>
              </w:tc>
              <w:tc>
                <w:tcPr>
                  <w:tcW w:w="2096" w:type="dxa"/>
                  <w:tcBorders>
                    <w:tl2br w:val="nil"/>
                    <w:tr2bl w:val="nil"/>
                  </w:tcBorders>
                  <w:noWrap w:val="0"/>
                  <w:vAlign w:val="center"/>
                </w:tcPr>
                <w:p w14:paraId="20906BE5">
                  <w:pPr>
                    <w:widowControl/>
                    <w:jc w:val="center"/>
                    <w:textAlignment w:val="top"/>
                    <w:rPr>
                      <w:bCs/>
                      <w:color w:val="000000" w:themeColor="text1"/>
                      <w:szCs w:val="21"/>
                      <w:highlight w:val="none"/>
                      <w14:textFill>
                        <w14:solidFill>
                          <w14:schemeClr w14:val="tx1"/>
                        </w14:solidFill>
                      </w14:textFill>
                    </w:rPr>
                  </w:pPr>
                  <w:r>
                    <w:rPr>
                      <w:bCs/>
                      <w:color w:val="000000" w:themeColor="text1"/>
                      <w:kern w:val="0"/>
                      <w:szCs w:val="21"/>
                      <w:highlight w:val="none"/>
                      <w14:textFill>
                        <w14:solidFill>
                          <w14:schemeClr w14:val="tx1"/>
                        </w14:solidFill>
                      </w14:textFill>
                    </w:rPr>
                    <w:t>年用量</w:t>
                  </w:r>
                </w:p>
              </w:tc>
              <w:tc>
                <w:tcPr>
                  <w:tcW w:w="2096" w:type="dxa"/>
                  <w:tcBorders>
                    <w:tl2br w:val="nil"/>
                    <w:tr2bl w:val="nil"/>
                  </w:tcBorders>
                  <w:noWrap w:val="0"/>
                  <w:vAlign w:val="center"/>
                </w:tcPr>
                <w:p w14:paraId="3AD9B3FA">
                  <w:pPr>
                    <w:widowControl/>
                    <w:jc w:val="center"/>
                    <w:textAlignment w:val="top"/>
                    <w:rPr>
                      <w:bCs/>
                      <w:color w:val="000000" w:themeColor="text1"/>
                      <w:szCs w:val="21"/>
                      <w:highlight w:val="none"/>
                      <w14:textFill>
                        <w14:solidFill>
                          <w14:schemeClr w14:val="tx1"/>
                        </w14:solidFill>
                      </w14:textFill>
                    </w:rPr>
                  </w:pPr>
                  <w:r>
                    <w:rPr>
                      <w:bCs/>
                      <w:color w:val="000000" w:themeColor="text1"/>
                      <w:kern w:val="0"/>
                      <w:szCs w:val="21"/>
                      <w:highlight w:val="none"/>
                      <w14:textFill>
                        <w14:solidFill>
                          <w14:schemeClr w14:val="tx1"/>
                        </w14:solidFill>
                      </w14:textFill>
                    </w:rPr>
                    <w:t>最大储存量</w:t>
                  </w:r>
                </w:p>
              </w:tc>
              <w:tc>
                <w:tcPr>
                  <w:tcW w:w="2096" w:type="dxa"/>
                  <w:tcBorders>
                    <w:tl2br w:val="nil"/>
                    <w:tr2bl w:val="nil"/>
                  </w:tcBorders>
                  <w:noWrap w:val="0"/>
                  <w:vAlign w:val="center"/>
                </w:tcPr>
                <w:p w14:paraId="7D045AE0">
                  <w:pPr>
                    <w:widowControl/>
                    <w:jc w:val="center"/>
                    <w:textAlignment w:val="top"/>
                    <w:rPr>
                      <w:rFonts w:hint="default" w:eastAsia="宋体"/>
                      <w:bCs/>
                      <w:color w:val="000000" w:themeColor="text1"/>
                      <w:kern w:val="0"/>
                      <w:szCs w:val="21"/>
                      <w:highlight w:val="none"/>
                      <w:lang w:val="en-US" w:eastAsia="zh-CN"/>
                      <w14:textFill>
                        <w14:solidFill>
                          <w14:schemeClr w14:val="tx1"/>
                        </w14:solidFill>
                      </w14:textFill>
                    </w:rPr>
                  </w:pPr>
                  <w:r>
                    <w:rPr>
                      <w:rFonts w:hint="eastAsia"/>
                      <w:bCs/>
                      <w:color w:val="000000" w:themeColor="text1"/>
                      <w:kern w:val="0"/>
                      <w:szCs w:val="21"/>
                      <w:highlight w:val="none"/>
                      <w:lang w:val="en-US" w:eastAsia="zh-CN"/>
                      <w14:textFill>
                        <w14:solidFill>
                          <w14:schemeClr w14:val="tx1"/>
                        </w14:solidFill>
                      </w14:textFill>
                    </w:rPr>
                    <w:t>储存形态</w:t>
                  </w:r>
                </w:p>
              </w:tc>
              <w:tc>
                <w:tcPr>
                  <w:tcW w:w="2096" w:type="dxa"/>
                  <w:tcBorders>
                    <w:tl2br w:val="nil"/>
                    <w:tr2bl w:val="nil"/>
                  </w:tcBorders>
                  <w:noWrap w:val="0"/>
                  <w:vAlign w:val="center"/>
                </w:tcPr>
                <w:p w14:paraId="33D769C4">
                  <w:pPr>
                    <w:widowControl/>
                    <w:jc w:val="center"/>
                    <w:textAlignment w:val="top"/>
                    <w:rPr>
                      <w:bCs/>
                      <w:color w:val="000000" w:themeColor="text1"/>
                      <w:szCs w:val="21"/>
                      <w:highlight w:val="none"/>
                      <w14:textFill>
                        <w14:solidFill>
                          <w14:schemeClr w14:val="tx1"/>
                        </w14:solidFill>
                      </w14:textFill>
                    </w:rPr>
                  </w:pPr>
                  <w:r>
                    <w:rPr>
                      <w:bCs/>
                      <w:color w:val="000000" w:themeColor="text1"/>
                      <w:kern w:val="0"/>
                      <w:szCs w:val="21"/>
                      <w:highlight w:val="none"/>
                      <w14:textFill>
                        <w14:solidFill>
                          <w14:schemeClr w14:val="tx1"/>
                        </w14:solidFill>
                      </w14:textFill>
                    </w:rPr>
                    <w:t>贮存位置</w:t>
                  </w:r>
                </w:p>
              </w:tc>
            </w:tr>
            <w:tr w14:paraId="65B88C3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restart"/>
                  <w:tcBorders>
                    <w:tl2br w:val="nil"/>
                    <w:tr2bl w:val="nil"/>
                  </w:tcBorders>
                  <w:noWrap w:val="0"/>
                  <w:vAlign w:val="center"/>
                </w:tcPr>
                <w:p w14:paraId="4921320D">
                  <w:pPr>
                    <w:widowControl/>
                    <w:jc w:val="center"/>
                    <w:textAlignment w:val="top"/>
                    <w:rPr>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超精密光学元器件1吸盘产品</w:t>
                  </w:r>
                </w:p>
              </w:tc>
              <w:tc>
                <w:tcPr>
                  <w:tcW w:w="3136" w:type="dxa"/>
                  <w:tcBorders>
                    <w:tl2br w:val="nil"/>
                    <w:tr2bl w:val="nil"/>
                  </w:tcBorders>
                  <w:noWrap w:val="0"/>
                  <w:vAlign w:val="center"/>
                </w:tcPr>
                <w:p w14:paraId="510AB4DB">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无水乙醇</w:t>
                  </w:r>
                </w:p>
              </w:tc>
              <w:tc>
                <w:tcPr>
                  <w:tcW w:w="2096" w:type="dxa"/>
                  <w:tcBorders>
                    <w:tl2br w:val="nil"/>
                    <w:tr2bl w:val="nil"/>
                  </w:tcBorders>
                  <w:noWrap w:val="0"/>
                  <w:vAlign w:val="center"/>
                </w:tcPr>
                <w:p w14:paraId="767BB626">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1BAF64EF">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48939BCD">
                  <w:pPr>
                    <w:jc w:val="center"/>
                    <w:rPr>
                      <w:rFonts w:hint="eastAsia"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液体</w:t>
                  </w:r>
                </w:p>
              </w:tc>
              <w:tc>
                <w:tcPr>
                  <w:tcW w:w="2096" w:type="dxa"/>
                  <w:tcBorders>
                    <w:tl2br w:val="nil"/>
                    <w:tr2bl w:val="nil"/>
                  </w:tcBorders>
                  <w:noWrap w:val="0"/>
                  <w:vAlign w:val="center"/>
                </w:tcPr>
                <w:p w14:paraId="19AC0E63">
                  <w:pPr>
                    <w:widowControl/>
                    <w:jc w:val="center"/>
                    <w:textAlignment w:val="top"/>
                    <w:rPr>
                      <w:color w:val="000000" w:themeColor="text1"/>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化学品仓</w:t>
                  </w:r>
                </w:p>
              </w:tc>
            </w:tr>
            <w:tr w14:paraId="65F07AD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2E76D8FB">
                  <w:pPr>
                    <w:widowControl/>
                    <w:jc w:val="center"/>
                    <w:textAlignment w:val="top"/>
                    <w:rPr>
                      <w:color w:val="000000" w:themeColor="text1"/>
                      <w:szCs w:val="21"/>
                      <w:highlight w:val="none"/>
                      <w14:textFill>
                        <w14:solidFill>
                          <w14:schemeClr w14:val="tx1"/>
                        </w14:solidFill>
                      </w14:textFill>
                    </w:rPr>
                  </w:pPr>
                </w:p>
              </w:tc>
              <w:tc>
                <w:tcPr>
                  <w:tcW w:w="3136" w:type="dxa"/>
                  <w:tcBorders>
                    <w:tl2br w:val="nil"/>
                    <w:tr2bl w:val="nil"/>
                  </w:tcBorders>
                  <w:noWrap w:val="0"/>
                  <w:vAlign w:val="center"/>
                </w:tcPr>
                <w:p w14:paraId="3C940EAF">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无水乙醚</w:t>
                  </w:r>
                </w:p>
              </w:tc>
              <w:tc>
                <w:tcPr>
                  <w:tcW w:w="2096" w:type="dxa"/>
                  <w:tcBorders>
                    <w:tl2br w:val="nil"/>
                    <w:tr2bl w:val="nil"/>
                  </w:tcBorders>
                  <w:noWrap w:val="0"/>
                  <w:vAlign w:val="center"/>
                </w:tcPr>
                <w:p w14:paraId="5FBF5B30">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5E639024">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23C7C2CD">
                  <w:pPr>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液体</w:t>
                  </w:r>
                </w:p>
              </w:tc>
              <w:tc>
                <w:tcPr>
                  <w:tcW w:w="2096" w:type="dxa"/>
                  <w:tcBorders>
                    <w:tl2br w:val="nil"/>
                    <w:tr2bl w:val="nil"/>
                  </w:tcBorders>
                  <w:noWrap w:val="0"/>
                  <w:vAlign w:val="center"/>
                </w:tcPr>
                <w:p w14:paraId="26DE5285">
                  <w:pPr>
                    <w:widowControl/>
                    <w:jc w:val="center"/>
                    <w:textAlignment w:val="top"/>
                    <w:rPr>
                      <w:color w:val="000000" w:themeColor="text1"/>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化学品仓</w:t>
                  </w:r>
                </w:p>
              </w:tc>
            </w:tr>
            <w:tr w14:paraId="04634D3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25BBDBFD">
                  <w:pPr>
                    <w:widowControl/>
                    <w:jc w:val="center"/>
                    <w:textAlignment w:val="top"/>
                    <w:rPr>
                      <w:color w:val="000000" w:themeColor="text1"/>
                      <w:szCs w:val="21"/>
                      <w:highlight w:val="none"/>
                      <w14:textFill>
                        <w14:solidFill>
                          <w14:schemeClr w14:val="tx1"/>
                        </w14:solidFill>
                      </w14:textFill>
                    </w:rPr>
                  </w:pPr>
                </w:p>
              </w:tc>
              <w:tc>
                <w:tcPr>
                  <w:tcW w:w="3136" w:type="dxa"/>
                  <w:tcBorders>
                    <w:tl2br w:val="nil"/>
                    <w:tr2bl w:val="nil"/>
                  </w:tcBorders>
                  <w:noWrap w:val="0"/>
                  <w:vAlign w:val="center"/>
                </w:tcPr>
                <w:p w14:paraId="03E8891B">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抛光粉</w:t>
                  </w:r>
                </w:p>
              </w:tc>
              <w:tc>
                <w:tcPr>
                  <w:tcW w:w="2096" w:type="dxa"/>
                  <w:tcBorders>
                    <w:tl2br w:val="nil"/>
                    <w:tr2bl w:val="nil"/>
                  </w:tcBorders>
                  <w:noWrap w:val="0"/>
                  <w:vAlign w:val="center"/>
                </w:tcPr>
                <w:p w14:paraId="54AAB3CA">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5560F82F">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56C83928">
                  <w:pPr>
                    <w:jc w:val="center"/>
                    <w:rPr>
                      <w:rFonts w:hint="eastAsia"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固体</w:t>
                  </w:r>
                </w:p>
              </w:tc>
              <w:tc>
                <w:tcPr>
                  <w:tcW w:w="2096" w:type="dxa"/>
                  <w:tcBorders>
                    <w:tl2br w:val="nil"/>
                    <w:tr2bl w:val="nil"/>
                  </w:tcBorders>
                  <w:noWrap w:val="0"/>
                  <w:vAlign w:val="center"/>
                </w:tcPr>
                <w:p w14:paraId="33AF7F5A">
                  <w:pPr>
                    <w:widowControl/>
                    <w:jc w:val="center"/>
                    <w:textAlignment w:val="center"/>
                    <w:rPr>
                      <w:color w:val="000000" w:themeColor="text1"/>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物料区</w:t>
                  </w:r>
                </w:p>
              </w:tc>
            </w:tr>
            <w:tr w14:paraId="203642C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40081866">
                  <w:pPr>
                    <w:widowControl/>
                    <w:jc w:val="center"/>
                    <w:textAlignment w:val="top"/>
                    <w:rPr>
                      <w:color w:val="000000" w:themeColor="text1"/>
                      <w:szCs w:val="21"/>
                      <w:highlight w:val="none"/>
                      <w14:textFill>
                        <w14:solidFill>
                          <w14:schemeClr w14:val="tx1"/>
                        </w14:solidFill>
                      </w14:textFill>
                    </w:rPr>
                  </w:pPr>
                </w:p>
              </w:tc>
              <w:tc>
                <w:tcPr>
                  <w:tcW w:w="3136" w:type="dxa"/>
                  <w:tcBorders>
                    <w:tl2br w:val="nil"/>
                    <w:tr2bl w:val="nil"/>
                  </w:tcBorders>
                  <w:noWrap w:val="0"/>
                  <w:vAlign w:val="center"/>
                </w:tcPr>
                <w:p w14:paraId="32C63DC7">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抛光液</w:t>
                  </w:r>
                </w:p>
              </w:tc>
              <w:tc>
                <w:tcPr>
                  <w:tcW w:w="2096" w:type="dxa"/>
                  <w:tcBorders>
                    <w:tl2br w:val="nil"/>
                    <w:tr2bl w:val="nil"/>
                  </w:tcBorders>
                  <w:noWrap w:val="0"/>
                  <w:vAlign w:val="center"/>
                </w:tcPr>
                <w:p w14:paraId="39801B5E">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251A666B">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724D92A9">
                  <w:pPr>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液体</w:t>
                  </w:r>
                </w:p>
              </w:tc>
              <w:tc>
                <w:tcPr>
                  <w:tcW w:w="2096" w:type="dxa"/>
                  <w:tcBorders>
                    <w:tl2br w:val="nil"/>
                    <w:tr2bl w:val="nil"/>
                  </w:tcBorders>
                  <w:noWrap w:val="0"/>
                  <w:vAlign w:val="center"/>
                </w:tcPr>
                <w:p w14:paraId="2FCD2198">
                  <w:pPr>
                    <w:widowControl/>
                    <w:jc w:val="center"/>
                    <w:textAlignment w:val="center"/>
                    <w:rPr>
                      <w:color w:val="000000" w:themeColor="text1"/>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物料区</w:t>
                  </w:r>
                </w:p>
              </w:tc>
            </w:tr>
            <w:tr w14:paraId="2F37CB8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7050B990">
                  <w:pPr>
                    <w:widowControl/>
                    <w:jc w:val="center"/>
                    <w:textAlignment w:val="top"/>
                    <w:rPr>
                      <w:color w:val="000000" w:themeColor="text1"/>
                      <w:szCs w:val="21"/>
                      <w:highlight w:val="none"/>
                      <w14:textFill>
                        <w14:solidFill>
                          <w14:schemeClr w14:val="tx1"/>
                        </w14:solidFill>
                      </w14:textFill>
                    </w:rPr>
                  </w:pPr>
                </w:p>
              </w:tc>
              <w:tc>
                <w:tcPr>
                  <w:tcW w:w="3136" w:type="dxa"/>
                  <w:tcBorders>
                    <w:tl2br w:val="nil"/>
                    <w:tr2bl w:val="nil"/>
                  </w:tcBorders>
                  <w:noWrap w:val="0"/>
                  <w:vAlign w:val="center"/>
                </w:tcPr>
                <w:p w14:paraId="76DEEEB3">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丙酮</w:t>
                  </w:r>
                </w:p>
              </w:tc>
              <w:tc>
                <w:tcPr>
                  <w:tcW w:w="2096" w:type="dxa"/>
                  <w:tcBorders>
                    <w:tl2br w:val="nil"/>
                    <w:tr2bl w:val="nil"/>
                  </w:tcBorders>
                  <w:noWrap w:val="0"/>
                  <w:vAlign w:val="center"/>
                </w:tcPr>
                <w:p w14:paraId="22B0A7E6">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0210D42A">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1699877C">
                  <w:pPr>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液体</w:t>
                  </w:r>
                </w:p>
              </w:tc>
              <w:tc>
                <w:tcPr>
                  <w:tcW w:w="2096" w:type="dxa"/>
                  <w:tcBorders>
                    <w:tl2br w:val="nil"/>
                    <w:tr2bl w:val="nil"/>
                  </w:tcBorders>
                  <w:noWrap w:val="0"/>
                  <w:vAlign w:val="center"/>
                </w:tcPr>
                <w:p w14:paraId="3D0C5499">
                  <w:pPr>
                    <w:widowControl/>
                    <w:jc w:val="center"/>
                    <w:textAlignment w:val="top"/>
                    <w:rPr>
                      <w:color w:val="000000" w:themeColor="text1"/>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化学品仓</w:t>
                  </w:r>
                </w:p>
              </w:tc>
            </w:tr>
            <w:tr w14:paraId="1DA4D70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59A8C436">
                  <w:pPr>
                    <w:widowControl/>
                    <w:jc w:val="center"/>
                    <w:textAlignment w:val="top"/>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658FCF5D">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金刚砂</w:t>
                  </w:r>
                </w:p>
              </w:tc>
              <w:tc>
                <w:tcPr>
                  <w:tcW w:w="2096" w:type="dxa"/>
                  <w:tcBorders>
                    <w:tl2br w:val="nil"/>
                    <w:tr2bl w:val="nil"/>
                  </w:tcBorders>
                  <w:noWrap w:val="0"/>
                  <w:vAlign w:val="center"/>
                </w:tcPr>
                <w:p w14:paraId="5A84174F">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194911F3">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0DCF769E">
                  <w:pPr>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固体</w:t>
                  </w:r>
                </w:p>
              </w:tc>
              <w:tc>
                <w:tcPr>
                  <w:tcW w:w="2096" w:type="dxa"/>
                  <w:tcBorders>
                    <w:tl2br w:val="nil"/>
                    <w:tr2bl w:val="nil"/>
                  </w:tcBorders>
                  <w:noWrap w:val="0"/>
                  <w:vAlign w:val="center"/>
                </w:tcPr>
                <w:p w14:paraId="7A6EC623">
                  <w:pPr>
                    <w:widowControl/>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物料区</w:t>
                  </w:r>
                </w:p>
              </w:tc>
            </w:tr>
            <w:tr w14:paraId="0AE9C4D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2ACF6DC0">
                  <w:pPr>
                    <w:widowControl/>
                    <w:jc w:val="center"/>
                    <w:textAlignment w:val="top"/>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3478A57C">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切削液</w:t>
                  </w:r>
                </w:p>
              </w:tc>
              <w:tc>
                <w:tcPr>
                  <w:tcW w:w="2096" w:type="dxa"/>
                  <w:tcBorders>
                    <w:tl2br w:val="nil"/>
                    <w:tr2bl w:val="nil"/>
                  </w:tcBorders>
                  <w:noWrap w:val="0"/>
                  <w:vAlign w:val="center"/>
                </w:tcPr>
                <w:p w14:paraId="585163F1">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4AA97BE1">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571F0A89">
                  <w:pPr>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液体</w:t>
                  </w:r>
                </w:p>
              </w:tc>
              <w:tc>
                <w:tcPr>
                  <w:tcW w:w="2096" w:type="dxa"/>
                  <w:tcBorders>
                    <w:tl2br w:val="nil"/>
                    <w:tr2bl w:val="nil"/>
                  </w:tcBorders>
                  <w:noWrap w:val="0"/>
                  <w:vAlign w:val="center"/>
                </w:tcPr>
                <w:p w14:paraId="30FD5217">
                  <w:pPr>
                    <w:widowControl/>
                    <w:jc w:val="center"/>
                    <w:textAlignment w:val="top"/>
                    <w:rPr>
                      <w:color w:val="000000" w:themeColor="text1"/>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化学品仓</w:t>
                  </w:r>
                </w:p>
              </w:tc>
            </w:tr>
            <w:tr w14:paraId="1A0BF72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3052271E">
                  <w:pPr>
                    <w:widowControl/>
                    <w:jc w:val="center"/>
                    <w:textAlignment w:val="center"/>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3D3574EA">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全合成玻璃磨削液</w:t>
                  </w:r>
                </w:p>
              </w:tc>
              <w:tc>
                <w:tcPr>
                  <w:tcW w:w="2096" w:type="dxa"/>
                  <w:tcBorders>
                    <w:tl2br w:val="nil"/>
                    <w:tr2bl w:val="nil"/>
                  </w:tcBorders>
                  <w:noWrap w:val="0"/>
                  <w:vAlign w:val="center"/>
                </w:tcPr>
                <w:p w14:paraId="13F5BBEC">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7F82E0EC">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5EE52B73">
                  <w:pPr>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液体</w:t>
                  </w:r>
                </w:p>
              </w:tc>
              <w:tc>
                <w:tcPr>
                  <w:tcW w:w="2096" w:type="dxa"/>
                  <w:tcBorders>
                    <w:tl2br w:val="nil"/>
                    <w:tr2bl w:val="nil"/>
                  </w:tcBorders>
                  <w:noWrap w:val="0"/>
                  <w:vAlign w:val="center"/>
                </w:tcPr>
                <w:p w14:paraId="3DEBFAD2">
                  <w:pPr>
                    <w:widowControl/>
                    <w:jc w:val="center"/>
                    <w:textAlignment w:val="top"/>
                    <w:rPr>
                      <w:color w:val="000000" w:themeColor="text1"/>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化学品仓</w:t>
                  </w:r>
                </w:p>
              </w:tc>
            </w:tr>
            <w:tr w14:paraId="5B0C01D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40004868">
                  <w:pPr>
                    <w:widowControl/>
                    <w:jc w:val="center"/>
                    <w:textAlignment w:val="center"/>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4B785BF4">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冷却液</w:t>
                  </w:r>
                </w:p>
              </w:tc>
              <w:tc>
                <w:tcPr>
                  <w:tcW w:w="2096" w:type="dxa"/>
                  <w:tcBorders>
                    <w:tl2br w:val="nil"/>
                    <w:tr2bl w:val="nil"/>
                  </w:tcBorders>
                  <w:noWrap w:val="0"/>
                  <w:vAlign w:val="center"/>
                </w:tcPr>
                <w:p w14:paraId="1AD487A1">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07C50EAD">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443AF9C3">
                  <w:pPr>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液体</w:t>
                  </w:r>
                </w:p>
              </w:tc>
              <w:tc>
                <w:tcPr>
                  <w:tcW w:w="2096" w:type="dxa"/>
                  <w:tcBorders>
                    <w:tl2br w:val="nil"/>
                    <w:tr2bl w:val="nil"/>
                  </w:tcBorders>
                  <w:noWrap w:val="0"/>
                  <w:vAlign w:val="center"/>
                </w:tcPr>
                <w:p w14:paraId="0B6A5EC1">
                  <w:pPr>
                    <w:widowControl/>
                    <w:jc w:val="center"/>
                    <w:textAlignment w:val="top"/>
                    <w:rPr>
                      <w:color w:val="000000" w:themeColor="text1"/>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化学品仓</w:t>
                  </w:r>
                </w:p>
              </w:tc>
            </w:tr>
            <w:tr w14:paraId="34ABAA5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2E68713C">
                  <w:pPr>
                    <w:widowControl/>
                    <w:jc w:val="center"/>
                    <w:textAlignment w:val="center"/>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66175065">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NOA 61胶水</w:t>
                  </w:r>
                </w:p>
              </w:tc>
              <w:tc>
                <w:tcPr>
                  <w:tcW w:w="2096" w:type="dxa"/>
                  <w:tcBorders>
                    <w:tl2br w:val="nil"/>
                    <w:tr2bl w:val="nil"/>
                  </w:tcBorders>
                  <w:noWrap w:val="0"/>
                  <w:vAlign w:val="center"/>
                </w:tcPr>
                <w:p w14:paraId="33788A67">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7B9D68C7">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3FA1AF2F">
                  <w:pPr>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液体</w:t>
                  </w:r>
                </w:p>
              </w:tc>
              <w:tc>
                <w:tcPr>
                  <w:tcW w:w="2096" w:type="dxa"/>
                  <w:tcBorders>
                    <w:tl2br w:val="nil"/>
                    <w:tr2bl w:val="nil"/>
                  </w:tcBorders>
                  <w:noWrap w:val="0"/>
                  <w:vAlign w:val="center"/>
                </w:tcPr>
                <w:p w14:paraId="15EA9062">
                  <w:pPr>
                    <w:widowControl/>
                    <w:jc w:val="center"/>
                    <w:textAlignment w:val="top"/>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物料区</w:t>
                  </w:r>
                </w:p>
              </w:tc>
            </w:tr>
            <w:tr w14:paraId="2F4EDAF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456FCE4E">
                  <w:pPr>
                    <w:widowControl/>
                    <w:jc w:val="center"/>
                    <w:textAlignment w:val="center"/>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2ADFCC6C">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清洗剂</w:t>
                  </w:r>
                </w:p>
              </w:tc>
              <w:tc>
                <w:tcPr>
                  <w:tcW w:w="2096" w:type="dxa"/>
                  <w:tcBorders>
                    <w:tl2br w:val="nil"/>
                    <w:tr2bl w:val="nil"/>
                  </w:tcBorders>
                  <w:noWrap w:val="0"/>
                  <w:vAlign w:val="center"/>
                </w:tcPr>
                <w:p w14:paraId="48226B85">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79FBB71C">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108E249C">
                  <w:pPr>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液体</w:t>
                  </w:r>
                </w:p>
              </w:tc>
              <w:tc>
                <w:tcPr>
                  <w:tcW w:w="2096" w:type="dxa"/>
                  <w:tcBorders>
                    <w:tl2br w:val="nil"/>
                    <w:tr2bl w:val="nil"/>
                  </w:tcBorders>
                  <w:noWrap w:val="0"/>
                  <w:vAlign w:val="center"/>
                </w:tcPr>
                <w:p w14:paraId="549CD512">
                  <w:pPr>
                    <w:widowControl/>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化学品仓</w:t>
                  </w:r>
                </w:p>
              </w:tc>
            </w:tr>
            <w:tr w14:paraId="4B8CB7E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782D8A5D">
                  <w:pPr>
                    <w:widowControl/>
                    <w:jc w:val="center"/>
                    <w:textAlignment w:val="center"/>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65FD0FAF">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光学玻璃</w:t>
                  </w:r>
                </w:p>
              </w:tc>
              <w:tc>
                <w:tcPr>
                  <w:tcW w:w="2096" w:type="dxa"/>
                  <w:tcBorders>
                    <w:tl2br w:val="nil"/>
                    <w:tr2bl w:val="nil"/>
                  </w:tcBorders>
                  <w:noWrap w:val="0"/>
                  <w:vAlign w:val="center"/>
                </w:tcPr>
                <w:p w14:paraId="6BBDB971">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1D589C79">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771FB15D">
                  <w:pPr>
                    <w:jc w:val="center"/>
                    <w:rPr>
                      <w:rFonts w:hint="eastAsia"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固体</w:t>
                  </w:r>
                </w:p>
              </w:tc>
              <w:tc>
                <w:tcPr>
                  <w:tcW w:w="2096" w:type="dxa"/>
                  <w:tcBorders>
                    <w:tl2br w:val="nil"/>
                    <w:tr2bl w:val="nil"/>
                  </w:tcBorders>
                  <w:noWrap w:val="0"/>
                  <w:vAlign w:val="center"/>
                </w:tcPr>
                <w:p w14:paraId="44E47258">
                  <w:pPr>
                    <w:widowControl/>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物料区</w:t>
                  </w:r>
                </w:p>
              </w:tc>
            </w:tr>
            <w:tr w14:paraId="1192BA6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401A6F83">
                  <w:pPr>
                    <w:widowControl/>
                    <w:jc w:val="center"/>
                    <w:textAlignment w:val="center"/>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6C43593D">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Al</w:t>
                  </w:r>
                  <w:r>
                    <w:rPr>
                      <w:color w:val="000000" w:themeColor="text1"/>
                      <w:szCs w:val="21"/>
                      <w:highlight w:val="none"/>
                      <w:vertAlign w:val="subscript"/>
                      <w14:textFill>
                        <w14:solidFill>
                          <w14:schemeClr w14:val="tx1"/>
                        </w14:solidFill>
                      </w14:textFill>
                    </w:rPr>
                    <w:t>2</w:t>
                  </w:r>
                  <w:r>
                    <w:rPr>
                      <w:color w:val="000000" w:themeColor="text1"/>
                      <w:szCs w:val="21"/>
                      <w:highlight w:val="none"/>
                      <w14:textFill>
                        <w14:solidFill>
                          <w14:schemeClr w14:val="tx1"/>
                        </w14:solidFill>
                      </w14:textFill>
                    </w:rPr>
                    <w:t>O</w:t>
                  </w:r>
                  <w:r>
                    <w:rPr>
                      <w:color w:val="000000" w:themeColor="text1"/>
                      <w:szCs w:val="21"/>
                      <w:highlight w:val="none"/>
                      <w:vertAlign w:val="subscript"/>
                      <w14:textFill>
                        <w14:solidFill>
                          <w14:schemeClr w14:val="tx1"/>
                        </w14:solidFill>
                      </w14:textFill>
                    </w:rPr>
                    <w:t>3</w:t>
                  </w:r>
                </w:p>
              </w:tc>
              <w:tc>
                <w:tcPr>
                  <w:tcW w:w="2096" w:type="dxa"/>
                  <w:tcBorders>
                    <w:tl2br w:val="nil"/>
                    <w:tr2bl w:val="nil"/>
                  </w:tcBorders>
                  <w:noWrap w:val="0"/>
                  <w:vAlign w:val="center"/>
                </w:tcPr>
                <w:p w14:paraId="3B84E015">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71E6AD90">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5F28CAE2">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固体</w:t>
                  </w:r>
                </w:p>
              </w:tc>
              <w:tc>
                <w:tcPr>
                  <w:tcW w:w="2096" w:type="dxa"/>
                  <w:tcBorders>
                    <w:tl2br w:val="nil"/>
                    <w:tr2bl w:val="nil"/>
                  </w:tcBorders>
                  <w:noWrap w:val="0"/>
                  <w:vAlign w:val="center"/>
                </w:tcPr>
                <w:p w14:paraId="226C71C5">
                  <w:pPr>
                    <w:widowControl/>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物料区</w:t>
                  </w:r>
                </w:p>
              </w:tc>
            </w:tr>
            <w:tr w14:paraId="18FAD15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6F2B90DC">
                  <w:pPr>
                    <w:widowControl/>
                    <w:jc w:val="center"/>
                    <w:textAlignment w:val="center"/>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48D98572">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SiO</w:t>
                  </w:r>
                  <w:r>
                    <w:rPr>
                      <w:color w:val="000000" w:themeColor="text1"/>
                      <w:szCs w:val="21"/>
                      <w:highlight w:val="none"/>
                      <w:vertAlign w:val="subscript"/>
                      <w14:textFill>
                        <w14:solidFill>
                          <w14:schemeClr w14:val="tx1"/>
                        </w14:solidFill>
                      </w14:textFill>
                    </w:rPr>
                    <w:t>2</w:t>
                  </w:r>
                </w:p>
              </w:tc>
              <w:tc>
                <w:tcPr>
                  <w:tcW w:w="2096" w:type="dxa"/>
                  <w:tcBorders>
                    <w:tl2br w:val="nil"/>
                    <w:tr2bl w:val="nil"/>
                  </w:tcBorders>
                  <w:noWrap w:val="0"/>
                  <w:vAlign w:val="center"/>
                </w:tcPr>
                <w:p w14:paraId="3FB203FA">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3B881A46">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0E5F245B">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固体</w:t>
                  </w:r>
                </w:p>
              </w:tc>
              <w:tc>
                <w:tcPr>
                  <w:tcW w:w="2096" w:type="dxa"/>
                  <w:tcBorders>
                    <w:tl2br w:val="nil"/>
                    <w:tr2bl w:val="nil"/>
                  </w:tcBorders>
                  <w:noWrap w:val="0"/>
                  <w:vAlign w:val="center"/>
                </w:tcPr>
                <w:p w14:paraId="5798824A">
                  <w:pPr>
                    <w:widowControl/>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物料区</w:t>
                  </w:r>
                </w:p>
              </w:tc>
            </w:tr>
            <w:tr w14:paraId="35B40A8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687CFE21">
                  <w:pPr>
                    <w:widowControl/>
                    <w:jc w:val="center"/>
                    <w:textAlignment w:val="center"/>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335CD4FA">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TiO</w:t>
                  </w:r>
                  <w:r>
                    <w:rPr>
                      <w:color w:val="000000" w:themeColor="text1"/>
                      <w:szCs w:val="21"/>
                      <w:highlight w:val="none"/>
                      <w:vertAlign w:val="subscript"/>
                      <w14:textFill>
                        <w14:solidFill>
                          <w14:schemeClr w14:val="tx1"/>
                        </w14:solidFill>
                      </w14:textFill>
                    </w:rPr>
                    <w:t>2</w:t>
                  </w:r>
                </w:p>
              </w:tc>
              <w:tc>
                <w:tcPr>
                  <w:tcW w:w="2096" w:type="dxa"/>
                  <w:tcBorders>
                    <w:tl2br w:val="nil"/>
                    <w:tr2bl w:val="nil"/>
                  </w:tcBorders>
                  <w:noWrap w:val="0"/>
                  <w:vAlign w:val="center"/>
                </w:tcPr>
                <w:p w14:paraId="4D55CB1C">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10F6A44D">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0F994CC9">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固体</w:t>
                  </w:r>
                </w:p>
              </w:tc>
              <w:tc>
                <w:tcPr>
                  <w:tcW w:w="2096" w:type="dxa"/>
                  <w:tcBorders>
                    <w:tl2br w:val="nil"/>
                    <w:tr2bl w:val="nil"/>
                  </w:tcBorders>
                  <w:noWrap w:val="0"/>
                  <w:vAlign w:val="center"/>
                </w:tcPr>
                <w:p w14:paraId="01B0321B">
                  <w:pPr>
                    <w:widowControl/>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物料区</w:t>
                  </w:r>
                </w:p>
              </w:tc>
            </w:tr>
            <w:tr w14:paraId="1566DD4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24404346">
                  <w:pPr>
                    <w:widowControl/>
                    <w:jc w:val="center"/>
                    <w:textAlignment w:val="center"/>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35CAB254">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Ta</w:t>
                  </w:r>
                  <w:r>
                    <w:rPr>
                      <w:color w:val="000000" w:themeColor="text1"/>
                      <w:szCs w:val="21"/>
                      <w:highlight w:val="none"/>
                      <w:vertAlign w:val="subscript"/>
                      <w14:textFill>
                        <w14:solidFill>
                          <w14:schemeClr w14:val="tx1"/>
                        </w14:solidFill>
                      </w14:textFill>
                    </w:rPr>
                    <w:t>2</w:t>
                  </w:r>
                  <w:r>
                    <w:rPr>
                      <w:color w:val="000000" w:themeColor="text1"/>
                      <w:szCs w:val="21"/>
                      <w:highlight w:val="none"/>
                      <w14:textFill>
                        <w14:solidFill>
                          <w14:schemeClr w14:val="tx1"/>
                        </w14:solidFill>
                      </w14:textFill>
                    </w:rPr>
                    <w:t>O</w:t>
                  </w:r>
                  <w:r>
                    <w:rPr>
                      <w:color w:val="000000" w:themeColor="text1"/>
                      <w:szCs w:val="21"/>
                      <w:highlight w:val="none"/>
                      <w:vertAlign w:val="subscript"/>
                      <w14:textFill>
                        <w14:solidFill>
                          <w14:schemeClr w14:val="tx1"/>
                        </w14:solidFill>
                      </w14:textFill>
                    </w:rPr>
                    <w:t>5</w:t>
                  </w:r>
                </w:p>
              </w:tc>
              <w:tc>
                <w:tcPr>
                  <w:tcW w:w="2096" w:type="dxa"/>
                  <w:tcBorders>
                    <w:tl2br w:val="nil"/>
                    <w:tr2bl w:val="nil"/>
                  </w:tcBorders>
                  <w:noWrap w:val="0"/>
                  <w:vAlign w:val="center"/>
                </w:tcPr>
                <w:p w14:paraId="3B2F07FD">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749E2419">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3919B795">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固体</w:t>
                  </w:r>
                </w:p>
              </w:tc>
              <w:tc>
                <w:tcPr>
                  <w:tcW w:w="2096" w:type="dxa"/>
                  <w:tcBorders>
                    <w:tl2br w:val="nil"/>
                    <w:tr2bl w:val="nil"/>
                  </w:tcBorders>
                  <w:noWrap w:val="0"/>
                  <w:vAlign w:val="center"/>
                </w:tcPr>
                <w:p w14:paraId="4EADAA64">
                  <w:pPr>
                    <w:widowControl/>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物料区</w:t>
                  </w:r>
                </w:p>
              </w:tc>
            </w:tr>
            <w:tr w14:paraId="741B09F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0B3C4ADD">
                  <w:pPr>
                    <w:widowControl/>
                    <w:jc w:val="center"/>
                    <w:textAlignment w:val="center"/>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31F3B8C4">
                  <w:pPr>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98%</w:t>
                  </w:r>
                  <w:r>
                    <w:rPr>
                      <w:rFonts w:hint="eastAsia"/>
                      <w:color w:val="000000" w:themeColor="text1"/>
                      <w:szCs w:val="21"/>
                      <w:highlight w:val="none"/>
                      <w14:textFill>
                        <w14:solidFill>
                          <w14:schemeClr w14:val="tx1"/>
                        </w14:solidFill>
                      </w14:textFill>
                    </w:rPr>
                    <w:t>硫酸</w:t>
                  </w:r>
                </w:p>
              </w:tc>
              <w:tc>
                <w:tcPr>
                  <w:tcW w:w="2096" w:type="dxa"/>
                  <w:tcBorders>
                    <w:tl2br w:val="nil"/>
                    <w:tr2bl w:val="nil"/>
                  </w:tcBorders>
                  <w:noWrap w:val="0"/>
                  <w:vAlign w:val="center"/>
                </w:tcPr>
                <w:p w14:paraId="3D4E3B4D">
                  <w:pPr>
                    <w:jc w:val="center"/>
                    <w:rPr>
                      <w:rFonts w:hint="eastAsia"/>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5263318C">
                  <w:pPr>
                    <w:jc w:val="center"/>
                    <w:rPr>
                      <w:rFonts w:hint="eastAsia"/>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520DC98D">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液体</w:t>
                  </w:r>
                </w:p>
              </w:tc>
              <w:tc>
                <w:tcPr>
                  <w:tcW w:w="2096" w:type="dxa"/>
                  <w:tcBorders>
                    <w:tl2br w:val="nil"/>
                    <w:tr2bl w:val="nil"/>
                  </w:tcBorders>
                  <w:noWrap w:val="0"/>
                  <w:vAlign w:val="center"/>
                </w:tcPr>
                <w:p w14:paraId="04E12880">
                  <w:pPr>
                    <w:widowControl/>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化学品仓</w:t>
                  </w:r>
                </w:p>
              </w:tc>
            </w:tr>
            <w:tr w14:paraId="0E515A6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restart"/>
                  <w:tcBorders>
                    <w:tl2br w:val="nil"/>
                    <w:tr2bl w:val="nil"/>
                  </w:tcBorders>
                  <w:noWrap w:val="0"/>
                  <w:vAlign w:val="center"/>
                </w:tcPr>
                <w:p w14:paraId="54E8AF3E">
                  <w:pPr>
                    <w:widowControl/>
                    <w:jc w:val="center"/>
                    <w:textAlignment w:val="center"/>
                    <w:rPr>
                      <w:color w:val="000000" w:themeColor="text1"/>
                      <w:kern w:val="0"/>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超精密光学元器件2微纳产品</w:t>
                  </w:r>
                </w:p>
              </w:tc>
              <w:tc>
                <w:tcPr>
                  <w:tcW w:w="3136" w:type="dxa"/>
                  <w:tcBorders>
                    <w:tl2br w:val="nil"/>
                    <w:tr2bl w:val="nil"/>
                  </w:tcBorders>
                  <w:noWrap w:val="0"/>
                  <w:vAlign w:val="center"/>
                </w:tcPr>
                <w:p w14:paraId="36170CF4">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AZ</w:t>
                  </w:r>
                  <w:r>
                    <w:rPr>
                      <w:color w:val="000000" w:themeColor="text1"/>
                      <w:szCs w:val="21"/>
                      <w:highlight w:val="none"/>
                      <w14:textFill>
                        <w14:solidFill>
                          <w14:schemeClr w14:val="tx1"/>
                        </w14:solidFill>
                      </w14:textFill>
                    </w:rPr>
                    <w:t>光刻胶</w:t>
                  </w:r>
                </w:p>
              </w:tc>
              <w:tc>
                <w:tcPr>
                  <w:tcW w:w="2096" w:type="dxa"/>
                  <w:tcBorders>
                    <w:tl2br w:val="nil"/>
                    <w:tr2bl w:val="nil"/>
                  </w:tcBorders>
                  <w:noWrap w:val="0"/>
                  <w:vAlign w:val="center"/>
                </w:tcPr>
                <w:p w14:paraId="6F919D0D">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0307945A">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46CB8215">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液体</w:t>
                  </w:r>
                </w:p>
              </w:tc>
              <w:tc>
                <w:tcPr>
                  <w:tcW w:w="2096" w:type="dxa"/>
                  <w:tcBorders>
                    <w:tl2br w:val="nil"/>
                    <w:tr2bl w:val="nil"/>
                  </w:tcBorders>
                  <w:noWrap w:val="0"/>
                  <w:vAlign w:val="center"/>
                </w:tcPr>
                <w:p w14:paraId="766A40E6">
                  <w:pPr>
                    <w:widowControl/>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化学品仓</w:t>
                  </w:r>
                </w:p>
              </w:tc>
            </w:tr>
            <w:tr w14:paraId="1AA703F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2F0EC22D">
                  <w:pPr>
                    <w:widowControl/>
                    <w:jc w:val="center"/>
                    <w:textAlignment w:val="center"/>
                    <w:rPr>
                      <w:rFonts w:hint="eastAsia"/>
                      <w:color w:val="000000" w:themeColor="text1"/>
                      <w:highlight w:val="none"/>
                      <w14:textFill>
                        <w14:solidFill>
                          <w14:schemeClr w14:val="tx1"/>
                        </w14:solidFill>
                      </w14:textFill>
                    </w:rPr>
                  </w:pPr>
                </w:p>
              </w:tc>
              <w:tc>
                <w:tcPr>
                  <w:tcW w:w="3136" w:type="dxa"/>
                  <w:tcBorders>
                    <w:tl2br w:val="nil"/>
                    <w:tr2bl w:val="nil"/>
                  </w:tcBorders>
                  <w:noWrap w:val="0"/>
                  <w:vAlign w:val="center"/>
                </w:tcPr>
                <w:p w14:paraId="2D19C212">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基片</w:t>
                  </w:r>
                </w:p>
              </w:tc>
              <w:tc>
                <w:tcPr>
                  <w:tcW w:w="2096" w:type="dxa"/>
                  <w:tcBorders>
                    <w:tl2br w:val="nil"/>
                    <w:tr2bl w:val="nil"/>
                  </w:tcBorders>
                  <w:noWrap w:val="0"/>
                  <w:vAlign w:val="center"/>
                </w:tcPr>
                <w:p w14:paraId="0919760E">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78625FA8">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4A109921">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固体</w:t>
                  </w:r>
                </w:p>
              </w:tc>
              <w:tc>
                <w:tcPr>
                  <w:tcW w:w="2096" w:type="dxa"/>
                  <w:tcBorders>
                    <w:tl2br w:val="nil"/>
                    <w:tr2bl w:val="nil"/>
                  </w:tcBorders>
                  <w:noWrap w:val="0"/>
                  <w:vAlign w:val="center"/>
                </w:tcPr>
                <w:p w14:paraId="31DAC98D">
                  <w:pPr>
                    <w:widowControl/>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物料区</w:t>
                  </w:r>
                </w:p>
              </w:tc>
            </w:tr>
            <w:tr w14:paraId="13FBEA2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648E7E04">
                  <w:pPr>
                    <w:widowControl/>
                    <w:jc w:val="center"/>
                    <w:textAlignment w:val="center"/>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2E3FB33D">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显影液2.38% 四甲基氢氧化铵显影液</w:t>
                  </w:r>
                </w:p>
              </w:tc>
              <w:tc>
                <w:tcPr>
                  <w:tcW w:w="2096" w:type="dxa"/>
                  <w:tcBorders>
                    <w:tl2br w:val="nil"/>
                    <w:tr2bl w:val="nil"/>
                  </w:tcBorders>
                  <w:noWrap w:val="0"/>
                  <w:vAlign w:val="center"/>
                </w:tcPr>
                <w:p w14:paraId="058CE94D">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716AC533">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463B4FB2">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液体</w:t>
                  </w:r>
                </w:p>
              </w:tc>
              <w:tc>
                <w:tcPr>
                  <w:tcW w:w="2096" w:type="dxa"/>
                  <w:tcBorders>
                    <w:tl2br w:val="nil"/>
                    <w:tr2bl w:val="nil"/>
                  </w:tcBorders>
                  <w:noWrap w:val="0"/>
                  <w:vAlign w:val="center"/>
                </w:tcPr>
                <w:p w14:paraId="0C016FA4">
                  <w:pPr>
                    <w:widowControl/>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化学品仓</w:t>
                  </w:r>
                </w:p>
              </w:tc>
            </w:tr>
            <w:tr w14:paraId="5562754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1804232B">
                  <w:pPr>
                    <w:widowControl/>
                    <w:jc w:val="center"/>
                    <w:textAlignment w:val="center"/>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378882FC">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增粘剂六甲基二硅杂氮烷</w:t>
                  </w:r>
                </w:p>
              </w:tc>
              <w:tc>
                <w:tcPr>
                  <w:tcW w:w="2096" w:type="dxa"/>
                  <w:tcBorders>
                    <w:tl2br w:val="nil"/>
                    <w:tr2bl w:val="nil"/>
                  </w:tcBorders>
                  <w:noWrap w:val="0"/>
                  <w:vAlign w:val="center"/>
                </w:tcPr>
                <w:p w14:paraId="144DB2A6">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0A537F70">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1CDB5032">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液体</w:t>
                  </w:r>
                </w:p>
              </w:tc>
              <w:tc>
                <w:tcPr>
                  <w:tcW w:w="2096" w:type="dxa"/>
                  <w:tcBorders>
                    <w:tl2br w:val="nil"/>
                    <w:tr2bl w:val="nil"/>
                  </w:tcBorders>
                  <w:noWrap w:val="0"/>
                  <w:vAlign w:val="center"/>
                </w:tcPr>
                <w:p w14:paraId="7B0C7051">
                  <w:pPr>
                    <w:widowControl/>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化学品仓</w:t>
                  </w:r>
                </w:p>
              </w:tc>
            </w:tr>
            <w:tr w14:paraId="36B903E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4A2F84DA">
                  <w:pPr>
                    <w:widowControl/>
                    <w:jc w:val="center"/>
                    <w:textAlignment w:val="center"/>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3E4D37B6">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稀释剂1-2-丙二醇甲醚醋酸酯</w:t>
                  </w:r>
                </w:p>
              </w:tc>
              <w:tc>
                <w:tcPr>
                  <w:tcW w:w="2096" w:type="dxa"/>
                  <w:tcBorders>
                    <w:tl2br w:val="nil"/>
                    <w:tr2bl w:val="nil"/>
                  </w:tcBorders>
                  <w:noWrap w:val="0"/>
                  <w:vAlign w:val="center"/>
                </w:tcPr>
                <w:p w14:paraId="535A52BB">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62F9523F">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7CC8F511">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液体</w:t>
                  </w:r>
                </w:p>
              </w:tc>
              <w:tc>
                <w:tcPr>
                  <w:tcW w:w="2096" w:type="dxa"/>
                  <w:tcBorders>
                    <w:tl2br w:val="nil"/>
                    <w:tr2bl w:val="nil"/>
                  </w:tcBorders>
                  <w:noWrap w:val="0"/>
                  <w:vAlign w:val="center"/>
                </w:tcPr>
                <w:p w14:paraId="7352D014">
                  <w:pPr>
                    <w:widowControl/>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化学品仓</w:t>
                  </w:r>
                </w:p>
              </w:tc>
            </w:tr>
            <w:tr w14:paraId="2E082EF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0A0976AF">
                  <w:pPr>
                    <w:widowControl/>
                    <w:jc w:val="center"/>
                    <w:textAlignment w:val="center"/>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7FE1866D">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无水乙醇</w:t>
                  </w:r>
                </w:p>
              </w:tc>
              <w:tc>
                <w:tcPr>
                  <w:tcW w:w="2096" w:type="dxa"/>
                  <w:tcBorders>
                    <w:tl2br w:val="nil"/>
                    <w:tr2bl w:val="nil"/>
                  </w:tcBorders>
                  <w:noWrap w:val="0"/>
                  <w:vAlign w:val="center"/>
                </w:tcPr>
                <w:p w14:paraId="716EB591">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1D54DABA">
                  <w:pPr>
                    <w:jc w:val="center"/>
                    <w:rPr>
                      <w:rFonts w:hint="eastAsia"/>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35BD91A9">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液体</w:t>
                  </w:r>
                </w:p>
              </w:tc>
              <w:tc>
                <w:tcPr>
                  <w:tcW w:w="2096" w:type="dxa"/>
                  <w:tcBorders>
                    <w:tl2br w:val="nil"/>
                    <w:tr2bl w:val="nil"/>
                  </w:tcBorders>
                  <w:noWrap w:val="0"/>
                  <w:vAlign w:val="center"/>
                </w:tcPr>
                <w:p w14:paraId="65E339BF">
                  <w:pPr>
                    <w:widowControl/>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化学品仓</w:t>
                  </w:r>
                </w:p>
              </w:tc>
            </w:tr>
            <w:tr w14:paraId="1CB9630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2729BF42">
                  <w:pPr>
                    <w:widowControl/>
                    <w:jc w:val="center"/>
                    <w:textAlignment w:val="center"/>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7B3853F0">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无水乙醚</w:t>
                  </w:r>
                </w:p>
              </w:tc>
              <w:tc>
                <w:tcPr>
                  <w:tcW w:w="2096" w:type="dxa"/>
                  <w:tcBorders>
                    <w:tl2br w:val="nil"/>
                    <w:tr2bl w:val="nil"/>
                  </w:tcBorders>
                  <w:noWrap w:val="0"/>
                  <w:vAlign w:val="center"/>
                </w:tcPr>
                <w:p w14:paraId="4FE03CA4">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4C1753BB">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48BC854C">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液体</w:t>
                  </w:r>
                </w:p>
              </w:tc>
              <w:tc>
                <w:tcPr>
                  <w:tcW w:w="2096" w:type="dxa"/>
                  <w:tcBorders>
                    <w:tl2br w:val="nil"/>
                    <w:tr2bl w:val="nil"/>
                  </w:tcBorders>
                  <w:noWrap w:val="0"/>
                  <w:vAlign w:val="center"/>
                </w:tcPr>
                <w:p w14:paraId="616F1E81">
                  <w:pPr>
                    <w:widowControl/>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化学品仓</w:t>
                  </w:r>
                </w:p>
              </w:tc>
            </w:tr>
            <w:tr w14:paraId="4F649A2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79773FBE">
                  <w:pPr>
                    <w:widowControl/>
                    <w:jc w:val="center"/>
                    <w:textAlignment w:val="center"/>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72ACC6A6">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无水丙酮</w:t>
                  </w:r>
                </w:p>
              </w:tc>
              <w:tc>
                <w:tcPr>
                  <w:tcW w:w="2096" w:type="dxa"/>
                  <w:tcBorders>
                    <w:tl2br w:val="nil"/>
                    <w:tr2bl w:val="nil"/>
                  </w:tcBorders>
                  <w:noWrap w:val="0"/>
                  <w:vAlign w:val="center"/>
                </w:tcPr>
                <w:p w14:paraId="22E966B3">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25D4AD5B">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1E87BED9">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液体</w:t>
                  </w:r>
                </w:p>
              </w:tc>
              <w:tc>
                <w:tcPr>
                  <w:tcW w:w="2096" w:type="dxa"/>
                  <w:tcBorders>
                    <w:tl2br w:val="nil"/>
                    <w:tr2bl w:val="nil"/>
                  </w:tcBorders>
                  <w:noWrap w:val="0"/>
                  <w:vAlign w:val="center"/>
                </w:tcPr>
                <w:p w14:paraId="1946B861">
                  <w:pPr>
                    <w:widowControl/>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化学品仓</w:t>
                  </w:r>
                </w:p>
              </w:tc>
            </w:tr>
            <w:tr w14:paraId="176F552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68F8976F">
                  <w:pPr>
                    <w:widowControl/>
                    <w:jc w:val="center"/>
                    <w:textAlignment w:val="center"/>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1A3241BA">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氮气</w:t>
                  </w:r>
                </w:p>
              </w:tc>
              <w:tc>
                <w:tcPr>
                  <w:tcW w:w="2096" w:type="dxa"/>
                  <w:tcBorders>
                    <w:tl2br w:val="nil"/>
                    <w:tr2bl w:val="nil"/>
                  </w:tcBorders>
                  <w:noWrap w:val="0"/>
                  <w:vAlign w:val="center"/>
                </w:tcPr>
                <w:p w14:paraId="27FA5229">
                  <w:pPr>
                    <w:jc w:val="center"/>
                    <w:rPr>
                      <w:rFonts w:hint="eastAsia"/>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3DA4AA2D">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02FA7A3C">
                  <w:pPr>
                    <w:jc w:val="center"/>
                    <w:rPr>
                      <w:rFonts w:hint="eastAsia"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气体</w:t>
                  </w:r>
                </w:p>
              </w:tc>
              <w:tc>
                <w:tcPr>
                  <w:tcW w:w="2096" w:type="dxa"/>
                  <w:tcBorders>
                    <w:tl2br w:val="nil"/>
                    <w:tr2bl w:val="nil"/>
                  </w:tcBorders>
                  <w:noWrap w:val="0"/>
                  <w:vAlign w:val="center"/>
                </w:tcPr>
                <w:p w14:paraId="127CC06D">
                  <w:pPr>
                    <w:widowControl/>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设备后机房</w:t>
                  </w:r>
                </w:p>
              </w:tc>
            </w:tr>
            <w:tr w14:paraId="6BF658F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4D27FED9">
                  <w:pPr>
                    <w:widowControl/>
                    <w:jc w:val="center"/>
                    <w:textAlignment w:val="center"/>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41973ECA">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氩气</w:t>
                  </w:r>
                </w:p>
              </w:tc>
              <w:tc>
                <w:tcPr>
                  <w:tcW w:w="2096" w:type="dxa"/>
                  <w:tcBorders>
                    <w:tl2br w:val="nil"/>
                    <w:tr2bl w:val="nil"/>
                  </w:tcBorders>
                  <w:noWrap w:val="0"/>
                  <w:vAlign w:val="center"/>
                </w:tcPr>
                <w:p w14:paraId="13EF5A9D">
                  <w:pPr>
                    <w:jc w:val="center"/>
                    <w:rPr>
                      <w:rFonts w:hint="eastAsia"/>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1FF3EDB8">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01E322D1">
                  <w:pPr>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气体</w:t>
                  </w:r>
                </w:p>
              </w:tc>
              <w:tc>
                <w:tcPr>
                  <w:tcW w:w="2096" w:type="dxa"/>
                  <w:tcBorders>
                    <w:tl2br w:val="nil"/>
                    <w:tr2bl w:val="nil"/>
                  </w:tcBorders>
                  <w:noWrap w:val="0"/>
                  <w:vAlign w:val="center"/>
                </w:tcPr>
                <w:p w14:paraId="0F72D934">
                  <w:pPr>
                    <w:widowControl/>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设备后机房</w:t>
                  </w:r>
                </w:p>
              </w:tc>
            </w:tr>
            <w:tr w14:paraId="374D2B0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77943B72">
                  <w:pPr>
                    <w:widowControl/>
                    <w:jc w:val="center"/>
                    <w:textAlignment w:val="center"/>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1AB47F4F">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氧气</w:t>
                  </w:r>
                </w:p>
              </w:tc>
              <w:tc>
                <w:tcPr>
                  <w:tcW w:w="2096" w:type="dxa"/>
                  <w:tcBorders>
                    <w:tl2br w:val="nil"/>
                    <w:tr2bl w:val="nil"/>
                  </w:tcBorders>
                  <w:noWrap w:val="0"/>
                  <w:vAlign w:val="center"/>
                </w:tcPr>
                <w:p w14:paraId="46C65C3C">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503133FF">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22C53DDB">
                  <w:pPr>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气体</w:t>
                  </w:r>
                </w:p>
              </w:tc>
              <w:tc>
                <w:tcPr>
                  <w:tcW w:w="2096" w:type="dxa"/>
                  <w:tcBorders>
                    <w:tl2br w:val="nil"/>
                    <w:tr2bl w:val="nil"/>
                  </w:tcBorders>
                  <w:noWrap w:val="0"/>
                  <w:vAlign w:val="center"/>
                </w:tcPr>
                <w:p w14:paraId="0D70E733">
                  <w:pPr>
                    <w:widowControl/>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设备后机房</w:t>
                  </w:r>
                </w:p>
              </w:tc>
            </w:tr>
            <w:tr w14:paraId="7B82203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3D0DEEBA">
                  <w:pPr>
                    <w:widowControl/>
                    <w:jc w:val="center"/>
                    <w:textAlignment w:val="center"/>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62F7093B">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清洁胶</w:t>
                  </w:r>
                </w:p>
              </w:tc>
              <w:tc>
                <w:tcPr>
                  <w:tcW w:w="2096" w:type="dxa"/>
                  <w:tcBorders>
                    <w:tl2br w:val="nil"/>
                    <w:tr2bl w:val="nil"/>
                  </w:tcBorders>
                  <w:noWrap w:val="0"/>
                  <w:vAlign w:val="center"/>
                </w:tcPr>
                <w:p w14:paraId="4C57B8D8">
                  <w:pPr>
                    <w:jc w:val="center"/>
                    <w:rPr>
                      <w:rFonts w:hint="eastAsia"/>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0D196B4A">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2AEF0969">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液体</w:t>
                  </w:r>
                </w:p>
              </w:tc>
              <w:tc>
                <w:tcPr>
                  <w:tcW w:w="2096" w:type="dxa"/>
                  <w:tcBorders>
                    <w:tl2br w:val="nil"/>
                    <w:tr2bl w:val="nil"/>
                  </w:tcBorders>
                  <w:noWrap w:val="0"/>
                  <w:vAlign w:val="center"/>
                </w:tcPr>
                <w:p w14:paraId="23056BD0">
                  <w:pPr>
                    <w:widowControl/>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化学品仓</w:t>
                  </w:r>
                </w:p>
              </w:tc>
            </w:tr>
            <w:tr w14:paraId="4D92039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0EED58B2">
                  <w:pPr>
                    <w:widowControl/>
                    <w:jc w:val="center"/>
                    <w:textAlignment w:val="center"/>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0EC025A7">
                  <w:pPr>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100%</w:t>
                  </w:r>
                  <w:r>
                    <w:rPr>
                      <w:rFonts w:hint="eastAsia"/>
                      <w:color w:val="000000" w:themeColor="text1"/>
                      <w:szCs w:val="21"/>
                      <w:highlight w:val="none"/>
                      <w14:textFill>
                        <w14:solidFill>
                          <w14:schemeClr w14:val="tx1"/>
                        </w14:solidFill>
                      </w14:textFill>
                    </w:rPr>
                    <w:t>N-甲基吡咯烷酮</w:t>
                  </w:r>
                </w:p>
              </w:tc>
              <w:tc>
                <w:tcPr>
                  <w:tcW w:w="2096" w:type="dxa"/>
                  <w:tcBorders>
                    <w:tl2br w:val="nil"/>
                    <w:tr2bl w:val="nil"/>
                  </w:tcBorders>
                  <w:noWrap w:val="0"/>
                  <w:vAlign w:val="center"/>
                </w:tcPr>
                <w:p w14:paraId="01075ED9">
                  <w:pPr>
                    <w:jc w:val="center"/>
                    <w:rPr>
                      <w:rFonts w:hint="eastAsia"/>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3F883288">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4F9195F5">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液体</w:t>
                  </w:r>
                </w:p>
              </w:tc>
              <w:tc>
                <w:tcPr>
                  <w:tcW w:w="2096" w:type="dxa"/>
                  <w:tcBorders>
                    <w:tl2br w:val="nil"/>
                    <w:tr2bl w:val="nil"/>
                  </w:tcBorders>
                  <w:noWrap w:val="0"/>
                  <w:vAlign w:val="center"/>
                </w:tcPr>
                <w:p w14:paraId="495257D2">
                  <w:pPr>
                    <w:widowControl/>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化学品仓</w:t>
                  </w:r>
                </w:p>
              </w:tc>
            </w:tr>
            <w:tr w14:paraId="111A21E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00D78FA7">
                  <w:pPr>
                    <w:widowControl/>
                    <w:jc w:val="center"/>
                    <w:textAlignment w:val="center"/>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2E6F1756">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10%</w:t>
                  </w:r>
                  <w:r>
                    <w:rPr>
                      <w:rFonts w:hint="eastAsia"/>
                      <w:color w:val="000000" w:themeColor="text1"/>
                      <w:szCs w:val="21"/>
                      <w:highlight w:val="none"/>
                      <w14:textFill>
                        <w14:solidFill>
                          <w14:schemeClr w14:val="tx1"/>
                        </w14:solidFill>
                      </w14:textFill>
                    </w:rPr>
                    <w:t>氢氟酸</w:t>
                  </w:r>
                </w:p>
              </w:tc>
              <w:tc>
                <w:tcPr>
                  <w:tcW w:w="2096" w:type="dxa"/>
                  <w:tcBorders>
                    <w:tl2br w:val="nil"/>
                    <w:tr2bl w:val="nil"/>
                  </w:tcBorders>
                  <w:noWrap w:val="0"/>
                  <w:vAlign w:val="center"/>
                </w:tcPr>
                <w:p w14:paraId="74107572">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40BE62F0">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6E198CBE">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液体</w:t>
                  </w:r>
                </w:p>
              </w:tc>
              <w:tc>
                <w:tcPr>
                  <w:tcW w:w="2096" w:type="dxa"/>
                  <w:tcBorders>
                    <w:tl2br w:val="nil"/>
                    <w:tr2bl w:val="nil"/>
                  </w:tcBorders>
                  <w:noWrap w:val="0"/>
                  <w:vAlign w:val="center"/>
                </w:tcPr>
                <w:p w14:paraId="13529417">
                  <w:pPr>
                    <w:widowControl/>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化学品仓</w:t>
                  </w:r>
                </w:p>
              </w:tc>
            </w:tr>
            <w:tr w14:paraId="350F7B5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2EEC57AC">
                  <w:pPr>
                    <w:widowControl/>
                    <w:jc w:val="center"/>
                    <w:textAlignment w:val="center"/>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7B0E812A">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100%</w:t>
                  </w:r>
                  <w:r>
                    <w:rPr>
                      <w:rFonts w:hint="eastAsia"/>
                      <w:color w:val="000000" w:themeColor="text1"/>
                      <w:szCs w:val="21"/>
                      <w:highlight w:val="none"/>
                      <w14:textFill>
                        <w14:solidFill>
                          <w14:schemeClr w14:val="tx1"/>
                        </w14:solidFill>
                      </w14:textFill>
                    </w:rPr>
                    <w:t>硝酸铈铵</w:t>
                  </w:r>
                </w:p>
              </w:tc>
              <w:tc>
                <w:tcPr>
                  <w:tcW w:w="2096" w:type="dxa"/>
                  <w:tcBorders>
                    <w:tl2br w:val="nil"/>
                    <w:tr2bl w:val="nil"/>
                  </w:tcBorders>
                  <w:noWrap w:val="0"/>
                  <w:vAlign w:val="center"/>
                </w:tcPr>
                <w:p w14:paraId="123D0C5D">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34ADDE01">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110A557F">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固体</w:t>
                  </w:r>
                </w:p>
              </w:tc>
              <w:tc>
                <w:tcPr>
                  <w:tcW w:w="2096" w:type="dxa"/>
                  <w:tcBorders>
                    <w:tl2br w:val="nil"/>
                    <w:tr2bl w:val="nil"/>
                  </w:tcBorders>
                  <w:noWrap w:val="0"/>
                  <w:vAlign w:val="center"/>
                </w:tcPr>
                <w:p w14:paraId="2B1B8CB9">
                  <w:pPr>
                    <w:widowControl/>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化学品仓</w:t>
                  </w:r>
                </w:p>
              </w:tc>
            </w:tr>
            <w:tr w14:paraId="5E99D9C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31EEF9A2">
                  <w:pPr>
                    <w:widowControl/>
                    <w:jc w:val="center"/>
                    <w:textAlignment w:val="center"/>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1F7E648B">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68%</w:t>
                  </w:r>
                  <w:r>
                    <w:rPr>
                      <w:rFonts w:hint="eastAsia"/>
                      <w:color w:val="000000" w:themeColor="text1"/>
                      <w:szCs w:val="21"/>
                      <w:highlight w:val="none"/>
                      <w14:textFill>
                        <w14:solidFill>
                          <w14:schemeClr w14:val="tx1"/>
                        </w14:solidFill>
                      </w14:textFill>
                    </w:rPr>
                    <w:t>硝酸</w:t>
                  </w:r>
                </w:p>
              </w:tc>
              <w:tc>
                <w:tcPr>
                  <w:tcW w:w="2096" w:type="dxa"/>
                  <w:tcBorders>
                    <w:tl2br w:val="nil"/>
                    <w:tr2bl w:val="nil"/>
                  </w:tcBorders>
                  <w:noWrap w:val="0"/>
                  <w:vAlign w:val="center"/>
                </w:tcPr>
                <w:p w14:paraId="25ED81BE">
                  <w:pPr>
                    <w:jc w:val="center"/>
                    <w:rPr>
                      <w:rFonts w:hint="eastAsia"/>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112CC646">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42FAEF7C">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液体</w:t>
                  </w:r>
                </w:p>
              </w:tc>
              <w:tc>
                <w:tcPr>
                  <w:tcW w:w="2096" w:type="dxa"/>
                  <w:tcBorders>
                    <w:tl2br w:val="nil"/>
                    <w:tr2bl w:val="nil"/>
                  </w:tcBorders>
                  <w:noWrap w:val="0"/>
                  <w:vAlign w:val="center"/>
                </w:tcPr>
                <w:p w14:paraId="2B45E780">
                  <w:pPr>
                    <w:widowControl/>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化学品仓</w:t>
                  </w:r>
                </w:p>
              </w:tc>
            </w:tr>
            <w:tr w14:paraId="592F848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22A2CBE7">
                  <w:pPr>
                    <w:widowControl/>
                    <w:jc w:val="center"/>
                    <w:textAlignment w:val="center"/>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14B40EEB">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100%</w:t>
                  </w:r>
                  <w:r>
                    <w:rPr>
                      <w:rFonts w:hint="eastAsia"/>
                      <w:color w:val="000000" w:themeColor="text1"/>
                      <w:szCs w:val="21"/>
                      <w:highlight w:val="none"/>
                      <w14:textFill>
                        <w14:solidFill>
                          <w14:schemeClr w14:val="tx1"/>
                        </w14:solidFill>
                      </w14:textFill>
                    </w:rPr>
                    <w:t>冰乙酸</w:t>
                  </w:r>
                </w:p>
              </w:tc>
              <w:tc>
                <w:tcPr>
                  <w:tcW w:w="2096" w:type="dxa"/>
                  <w:tcBorders>
                    <w:tl2br w:val="nil"/>
                    <w:tr2bl w:val="nil"/>
                  </w:tcBorders>
                  <w:noWrap w:val="0"/>
                  <w:vAlign w:val="center"/>
                </w:tcPr>
                <w:p w14:paraId="522D9A4F">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071DB72F">
                  <w:pPr>
                    <w:jc w:val="center"/>
                    <w:rPr>
                      <w:rFonts w:hint="eastAsia"/>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680B2BB3">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液体</w:t>
                  </w:r>
                </w:p>
              </w:tc>
              <w:tc>
                <w:tcPr>
                  <w:tcW w:w="2096" w:type="dxa"/>
                  <w:tcBorders>
                    <w:tl2br w:val="nil"/>
                    <w:tr2bl w:val="nil"/>
                  </w:tcBorders>
                  <w:noWrap w:val="0"/>
                  <w:vAlign w:val="center"/>
                </w:tcPr>
                <w:p w14:paraId="7B1F3F93">
                  <w:pPr>
                    <w:widowControl/>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化学品仓</w:t>
                  </w:r>
                </w:p>
              </w:tc>
            </w:tr>
            <w:tr w14:paraId="5C5B56D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5F723C00">
                  <w:pPr>
                    <w:widowControl/>
                    <w:jc w:val="center"/>
                    <w:textAlignment w:val="center"/>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5334C83E">
                  <w:pPr>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85%</w:t>
                  </w:r>
                  <w:r>
                    <w:rPr>
                      <w:rFonts w:hint="eastAsia"/>
                      <w:color w:val="000000" w:themeColor="text1"/>
                      <w:szCs w:val="21"/>
                      <w:highlight w:val="none"/>
                      <w14:textFill>
                        <w14:solidFill>
                          <w14:schemeClr w14:val="tx1"/>
                        </w14:solidFill>
                      </w14:textFill>
                    </w:rPr>
                    <w:t>磷酸</w:t>
                  </w:r>
                </w:p>
              </w:tc>
              <w:tc>
                <w:tcPr>
                  <w:tcW w:w="2096" w:type="dxa"/>
                  <w:tcBorders>
                    <w:tl2br w:val="nil"/>
                    <w:tr2bl w:val="nil"/>
                  </w:tcBorders>
                  <w:noWrap w:val="0"/>
                  <w:vAlign w:val="center"/>
                </w:tcPr>
                <w:p w14:paraId="54CAB317">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2D11B5BB">
                  <w:pPr>
                    <w:jc w:val="center"/>
                    <w:rPr>
                      <w:rFonts w:hint="eastAsia"/>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7B2417A7">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液体</w:t>
                  </w:r>
                </w:p>
              </w:tc>
              <w:tc>
                <w:tcPr>
                  <w:tcW w:w="2096" w:type="dxa"/>
                  <w:tcBorders>
                    <w:tl2br w:val="nil"/>
                    <w:tr2bl w:val="nil"/>
                  </w:tcBorders>
                  <w:noWrap w:val="0"/>
                  <w:vAlign w:val="center"/>
                </w:tcPr>
                <w:p w14:paraId="2EBA4211">
                  <w:pPr>
                    <w:widowControl/>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化学品仓</w:t>
                  </w:r>
                </w:p>
              </w:tc>
            </w:tr>
            <w:tr w14:paraId="3A0A36E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298A2A9D">
                  <w:pPr>
                    <w:widowControl/>
                    <w:jc w:val="center"/>
                    <w:textAlignment w:val="center"/>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5E5F8D06">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100%</w:t>
                  </w:r>
                  <w:r>
                    <w:rPr>
                      <w:rFonts w:hint="eastAsia"/>
                      <w:color w:val="000000" w:themeColor="text1"/>
                      <w:szCs w:val="21"/>
                      <w:highlight w:val="none"/>
                      <w14:textFill>
                        <w14:solidFill>
                          <w14:schemeClr w14:val="tx1"/>
                        </w14:solidFill>
                      </w14:textFill>
                    </w:rPr>
                    <w:t>氟化铵</w:t>
                  </w:r>
                </w:p>
              </w:tc>
              <w:tc>
                <w:tcPr>
                  <w:tcW w:w="2096" w:type="dxa"/>
                  <w:tcBorders>
                    <w:tl2br w:val="nil"/>
                    <w:tr2bl w:val="nil"/>
                  </w:tcBorders>
                  <w:noWrap w:val="0"/>
                  <w:vAlign w:val="center"/>
                </w:tcPr>
                <w:p w14:paraId="1E811132">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48225F8B">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4E4D0E87">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固体</w:t>
                  </w:r>
                </w:p>
              </w:tc>
              <w:tc>
                <w:tcPr>
                  <w:tcW w:w="2096" w:type="dxa"/>
                  <w:tcBorders>
                    <w:tl2br w:val="nil"/>
                    <w:tr2bl w:val="nil"/>
                  </w:tcBorders>
                  <w:noWrap w:val="0"/>
                  <w:vAlign w:val="center"/>
                </w:tcPr>
                <w:p w14:paraId="7D213EFC">
                  <w:pPr>
                    <w:widowControl/>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化学品仓</w:t>
                  </w:r>
                </w:p>
              </w:tc>
            </w:tr>
            <w:tr w14:paraId="21C1FB3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16" w:type="dxa"/>
                  <w:vMerge w:val="continue"/>
                  <w:tcBorders>
                    <w:tl2br w:val="nil"/>
                    <w:tr2bl w:val="nil"/>
                  </w:tcBorders>
                  <w:noWrap w:val="0"/>
                  <w:vAlign w:val="center"/>
                </w:tcPr>
                <w:p w14:paraId="34EE7B57">
                  <w:pPr>
                    <w:widowControl/>
                    <w:jc w:val="center"/>
                    <w:textAlignment w:val="center"/>
                    <w:rPr>
                      <w:color w:val="000000" w:themeColor="text1"/>
                      <w:kern w:val="0"/>
                      <w:szCs w:val="21"/>
                      <w:highlight w:val="none"/>
                      <w14:textFill>
                        <w14:solidFill>
                          <w14:schemeClr w14:val="tx1"/>
                        </w14:solidFill>
                      </w14:textFill>
                    </w:rPr>
                  </w:pPr>
                </w:p>
              </w:tc>
              <w:tc>
                <w:tcPr>
                  <w:tcW w:w="3136" w:type="dxa"/>
                  <w:tcBorders>
                    <w:tl2br w:val="nil"/>
                    <w:tr2bl w:val="nil"/>
                  </w:tcBorders>
                  <w:noWrap w:val="0"/>
                  <w:vAlign w:val="center"/>
                </w:tcPr>
                <w:p w14:paraId="7527B016">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37%</w:t>
                  </w:r>
                  <w:r>
                    <w:rPr>
                      <w:rFonts w:hint="eastAsia"/>
                      <w:color w:val="000000" w:themeColor="text1"/>
                      <w:szCs w:val="21"/>
                      <w:highlight w:val="none"/>
                      <w14:textFill>
                        <w14:solidFill>
                          <w14:schemeClr w14:val="tx1"/>
                        </w14:solidFill>
                      </w14:textFill>
                    </w:rPr>
                    <w:t>盐酸</w:t>
                  </w:r>
                </w:p>
              </w:tc>
              <w:tc>
                <w:tcPr>
                  <w:tcW w:w="2096" w:type="dxa"/>
                  <w:tcBorders>
                    <w:tl2br w:val="nil"/>
                    <w:tr2bl w:val="nil"/>
                  </w:tcBorders>
                  <w:noWrap w:val="0"/>
                  <w:vAlign w:val="center"/>
                </w:tcPr>
                <w:p w14:paraId="0B0F99FE">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3B387B3F">
                  <w:pPr>
                    <w:jc w:val="center"/>
                    <w:rPr>
                      <w:color w:val="000000" w:themeColor="text1"/>
                      <w:szCs w:val="21"/>
                      <w:highlight w:val="none"/>
                      <w14:textFill>
                        <w14:solidFill>
                          <w14:schemeClr w14:val="tx1"/>
                        </w14:solidFill>
                      </w14:textFill>
                    </w:rPr>
                  </w:pPr>
                </w:p>
              </w:tc>
              <w:tc>
                <w:tcPr>
                  <w:tcW w:w="2096" w:type="dxa"/>
                  <w:tcBorders>
                    <w:tl2br w:val="nil"/>
                    <w:tr2bl w:val="nil"/>
                  </w:tcBorders>
                  <w:noWrap w:val="0"/>
                  <w:vAlign w:val="center"/>
                </w:tcPr>
                <w:p w14:paraId="2EC3C8A9">
                  <w:pPr>
                    <w:jc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液体</w:t>
                  </w:r>
                </w:p>
              </w:tc>
              <w:tc>
                <w:tcPr>
                  <w:tcW w:w="2096" w:type="dxa"/>
                  <w:tcBorders>
                    <w:tl2br w:val="nil"/>
                    <w:tr2bl w:val="nil"/>
                  </w:tcBorders>
                  <w:noWrap w:val="0"/>
                  <w:vAlign w:val="center"/>
                </w:tcPr>
                <w:p w14:paraId="7958C206">
                  <w:pPr>
                    <w:widowControl/>
                    <w:jc w:val="center"/>
                    <w:textAlignment w:val="top"/>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化学品仓</w:t>
                  </w:r>
                </w:p>
              </w:tc>
            </w:tr>
          </w:tbl>
          <w:p w14:paraId="769276DB">
            <w:pPr>
              <w:pStyle w:val="12"/>
              <w:spacing w:before="160"/>
              <w:ind w:left="721"/>
              <w:rPr>
                <w:rFonts w:hint="eastAsia" w:ascii="Times New Roman" w:hAnsi="Times New Roman" w:eastAsia="宋体" w:cs="Times New Roman"/>
                <w:color w:val="000000" w:themeColor="text1"/>
                <w:kern w:val="2"/>
                <w:sz w:val="24"/>
                <w:szCs w:val="32"/>
                <w:highlight w:val="none"/>
                <w:lang w:val="en-US" w:eastAsia="zh-CN" w:bidi="ar-SA"/>
                <w14:textFill>
                  <w14:solidFill>
                    <w14:schemeClr w14:val="tx1"/>
                  </w14:solidFill>
                </w14:textFill>
              </w:rPr>
            </w:pPr>
            <w:r>
              <w:rPr>
                <w:rFonts w:hint="eastAsia" w:cs="Times New Roman"/>
                <w:color w:val="000000" w:themeColor="text1"/>
                <w:kern w:val="2"/>
                <w:sz w:val="24"/>
                <w:szCs w:val="32"/>
                <w:highlight w:val="none"/>
                <w:lang w:val="en-US" w:eastAsia="zh-CN" w:bidi="ar-SA"/>
                <w14:textFill>
                  <w14:solidFill>
                    <w14:schemeClr w14:val="tx1"/>
                  </w14:solidFill>
                </w14:textFill>
              </w:rPr>
              <w:t>本项目建成后全厂</w:t>
            </w:r>
            <w:r>
              <w:rPr>
                <w:rFonts w:hint="eastAsia" w:ascii="Times New Roman" w:hAnsi="Times New Roman" w:eastAsia="宋体" w:cs="Times New Roman"/>
                <w:color w:val="000000" w:themeColor="text1"/>
                <w:kern w:val="2"/>
                <w:sz w:val="24"/>
                <w:szCs w:val="32"/>
                <w:highlight w:val="none"/>
                <w:lang w:val="en-US" w:eastAsia="zh-CN" w:bidi="ar-SA"/>
                <w14:textFill>
                  <w14:solidFill>
                    <w14:schemeClr w14:val="tx1"/>
                  </w14:solidFill>
                </w14:textFill>
              </w:rPr>
              <w:t>主要原辅材料</w:t>
            </w:r>
            <w:r>
              <w:rPr>
                <w:rFonts w:hint="eastAsia" w:cs="Times New Roman"/>
                <w:color w:val="000000" w:themeColor="text1"/>
                <w:kern w:val="2"/>
                <w:sz w:val="24"/>
                <w:szCs w:val="32"/>
                <w:highlight w:val="none"/>
                <w:lang w:val="en-US" w:eastAsia="zh-CN" w:bidi="ar-SA"/>
                <w14:textFill>
                  <w14:solidFill>
                    <w14:schemeClr w14:val="tx1"/>
                  </w14:solidFill>
                </w14:textFill>
              </w:rPr>
              <w:t>情况</w:t>
            </w:r>
            <w:r>
              <w:rPr>
                <w:rFonts w:hint="eastAsia" w:ascii="Times New Roman" w:hAnsi="Times New Roman" w:eastAsia="宋体" w:cs="Times New Roman"/>
                <w:color w:val="000000" w:themeColor="text1"/>
                <w:kern w:val="2"/>
                <w:sz w:val="24"/>
                <w:szCs w:val="32"/>
                <w:highlight w:val="none"/>
                <w:lang w:val="en-US" w:eastAsia="zh-CN" w:bidi="ar-SA"/>
                <w14:textFill>
                  <w14:solidFill>
                    <w14:schemeClr w14:val="tx1"/>
                  </w14:solidFill>
                </w14:textFill>
              </w:rPr>
              <w:t>见</w:t>
            </w:r>
            <w:r>
              <w:rPr>
                <w:rFonts w:hint="eastAsia" w:cs="Times New Roman"/>
                <w:color w:val="000000" w:themeColor="text1"/>
                <w:kern w:val="2"/>
                <w:sz w:val="24"/>
                <w:szCs w:val="32"/>
                <w:highlight w:val="none"/>
                <w:lang w:val="en-US" w:eastAsia="zh-CN" w:bidi="ar-SA"/>
                <w14:textFill>
                  <w14:solidFill>
                    <w14:schemeClr w14:val="tx1"/>
                  </w14:solidFill>
                </w14:textFill>
              </w:rPr>
              <w:t>下</w:t>
            </w:r>
            <w:r>
              <w:rPr>
                <w:rFonts w:hint="eastAsia" w:ascii="Times New Roman" w:hAnsi="Times New Roman" w:eastAsia="宋体" w:cs="Times New Roman"/>
                <w:color w:val="000000" w:themeColor="text1"/>
                <w:kern w:val="2"/>
                <w:sz w:val="24"/>
                <w:szCs w:val="32"/>
                <w:highlight w:val="none"/>
                <w:lang w:val="en-US" w:eastAsia="zh-CN" w:bidi="ar-SA"/>
                <w14:textFill>
                  <w14:solidFill>
                    <w14:schemeClr w14:val="tx1"/>
                  </w14:solidFill>
                </w14:textFill>
              </w:rPr>
              <w:t>表。</w:t>
            </w:r>
          </w:p>
          <w:p w14:paraId="11FA52AC">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eastAsia" w:ascii="Times New Roman" w:hAnsi="Times New Roman" w:eastAsia="宋体" w:cs="Times New Roman"/>
                <w:color w:val="000000" w:themeColor="text1"/>
                <w:kern w:val="2"/>
                <w:sz w:val="24"/>
                <w:szCs w:val="32"/>
                <w:highlight w:val="none"/>
                <w:lang w:val="en-US" w:eastAsia="zh-CN" w:bidi="ar-SA"/>
                <w14:textFill>
                  <w14:solidFill>
                    <w14:schemeClr w14:val="tx1"/>
                  </w14:solidFill>
                </w14:textFill>
              </w:rPr>
            </w:pPr>
            <w:r>
              <w:rPr>
                <w:rFonts w:hint="eastAsia"/>
                <w:b/>
                <w:color w:val="000000" w:themeColor="text1"/>
                <w:sz w:val="24"/>
                <w:szCs w:val="24"/>
                <w:highlight w:val="none"/>
                <w14:textFill>
                  <w14:solidFill>
                    <w14:schemeClr w14:val="tx1"/>
                  </w14:solidFill>
                </w14:textFill>
              </w:rPr>
              <w:t>表</w:t>
            </w:r>
            <w:r>
              <w:rPr>
                <w:rFonts w:hint="eastAsia"/>
                <w:b/>
                <w:color w:val="000000" w:themeColor="text1"/>
                <w:sz w:val="24"/>
                <w:szCs w:val="24"/>
                <w:highlight w:val="none"/>
                <w:lang w:val="en-US" w:eastAsia="zh-CN"/>
                <w14:textFill>
                  <w14:solidFill>
                    <w14:schemeClr w14:val="tx1"/>
                  </w14:solidFill>
                </w14:textFill>
              </w:rPr>
              <w:t>2.4-2</w:t>
            </w:r>
            <w:r>
              <w:rPr>
                <w:b/>
                <w:color w:val="000000" w:themeColor="text1"/>
                <w:sz w:val="24"/>
                <w:szCs w:val="24"/>
                <w:highlight w:val="none"/>
                <w14:textFill>
                  <w14:solidFill>
                    <w14:schemeClr w14:val="tx1"/>
                  </w14:solidFill>
                </w14:textFill>
              </w:rPr>
              <w:t xml:space="preserve"> </w:t>
            </w:r>
            <w:r>
              <w:rPr>
                <w:rFonts w:hint="eastAsia"/>
                <w:b/>
                <w:color w:val="000000" w:themeColor="text1"/>
                <w:sz w:val="24"/>
                <w:szCs w:val="24"/>
                <w:highlight w:val="none"/>
                <w:lang w:val="en-US" w:eastAsia="zh-CN"/>
                <w14:textFill>
                  <w14:solidFill>
                    <w14:schemeClr w14:val="tx1"/>
                  </w14:solidFill>
                </w14:textFill>
              </w:rPr>
              <w:t>本项目建成后全厂</w:t>
            </w:r>
            <w:r>
              <w:rPr>
                <w:b/>
                <w:color w:val="000000" w:themeColor="text1"/>
                <w:sz w:val="24"/>
                <w:szCs w:val="24"/>
                <w:highlight w:val="none"/>
                <w14:textFill>
                  <w14:solidFill>
                    <w14:schemeClr w14:val="tx1"/>
                  </w14:solidFill>
                </w14:textFill>
              </w:rPr>
              <w:t>原辅材料</w:t>
            </w:r>
            <w:r>
              <w:rPr>
                <w:rFonts w:hint="eastAsia"/>
                <w:b/>
                <w:color w:val="000000" w:themeColor="text1"/>
                <w:sz w:val="24"/>
                <w:szCs w:val="24"/>
                <w:highlight w:val="none"/>
                <w:lang w:val="en-US" w:eastAsia="zh-CN"/>
                <w14:textFill>
                  <w14:solidFill>
                    <w14:schemeClr w14:val="tx1"/>
                  </w14:solidFill>
                </w14:textFill>
              </w:rPr>
              <w:t>情况</w:t>
            </w:r>
            <w:r>
              <w:rPr>
                <w:b/>
                <w:color w:val="000000" w:themeColor="text1"/>
                <w:sz w:val="24"/>
                <w:szCs w:val="24"/>
                <w:highlight w:val="none"/>
                <w14:textFill>
                  <w14:solidFill>
                    <w14:schemeClr w14:val="tx1"/>
                  </w14:solidFill>
                </w14:textFill>
              </w:rPr>
              <w:t>一览表</w:t>
            </w:r>
          </w:p>
          <w:tbl>
            <w:tblPr>
              <w:tblStyle w:val="30"/>
              <w:tblW w:w="134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4"/>
              <w:gridCol w:w="3103"/>
              <w:gridCol w:w="1330"/>
              <w:gridCol w:w="1941"/>
              <w:gridCol w:w="1941"/>
              <w:gridCol w:w="1942"/>
              <w:gridCol w:w="2395"/>
            </w:tblGrid>
            <w:tr w14:paraId="378A6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774" w:type="dxa"/>
                  <w:vMerge w:val="restart"/>
                  <w:tcBorders>
                    <w:tl2br w:val="nil"/>
                    <w:tr2bl w:val="nil"/>
                  </w:tcBorders>
                  <w:vAlign w:val="center"/>
                </w:tcPr>
                <w:p w14:paraId="3548B80C">
                  <w:pPr>
                    <w:bidi w:val="0"/>
                    <w:jc w:val="center"/>
                    <w:rPr>
                      <w:rFonts w:hint="default"/>
                      <w:color w:val="000000" w:themeColor="text1"/>
                      <w:kern w:val="0"/>
                      <w:sz w:val="21"/>
                      <w:highlight w:val="none"/>
                      <w14:textFill>
                        <w14:solidFill>
                          <w14:schemeClr w14:val="tx1"/>
                        </w14:solidFill>
                      </w14:textFill>
                    </w:rPr>
                  </w:pPr>
                  <w:r>
                    <w:rPr>
                      <w:color w:val="000000" w:themeColor="text1"/>
                      <w:kern w:val="0"/>
                      <w:sz w:val="21"/>
                      <w:highlight w:val="none"/>
                      <w14:textFill>
                        <w14:solidFill>
                          <w14:schemeClr w14:val="tx1"/>
                        </w14:solidFill>
                      </w14:textFill>
                    </w:rPr>
                    <w:t>序号</w:t>
                  </w:r>
                </w:p>
              </w:tc>
              <w:tc>
                <w:tcPr>
                  <w:tcW w:w="3103" w:type="dxa"/>
                  <w:vMerge w:val="restart"/>
                  <w:tcBorders>
                    <w:tl2br w:val="nil"/>
                    <w:tr2bl w:val="nil"/>
                  </w:tcBorders>
                  <w:vAlign w:val="center"/>
                </w:tcPr>
                <w:p w14:paraId="7315EAF3">
                  <w:pPr>
                    <w:bidi w:val="0"/>
                    <w:jc w:val="center"/>
                    <w:rPr>
                      <w:rFonts w:hint="default"/>
                      <w:color w:val="000000" w:themeColor="text1"/>
                      <w:kern w:val="0"/>
                      <w:sz w:val="21"/>
                      <w:highlight w:val="none"/>
                      <w14:textFill>
                        <w14:solidFill>
                          <w14:schemeClr w14:val="tx1"/>
                        </w14:solidFill>
                      </w14:textFill>
                    </w:rPr>
                  </w:pPr>
                  <w:r>
                    <w:rPr>
                      <w:color w:val="000000" w:themeColor="text1"/>
                      <w:kern w:val="0"/>
                      <w:sz w:val="21"/>
                      <w:highlight w:val="none"/>
                      <w14:textFill>
                        <w14:solidFill>
                          <w14:schemeClr w14:val="tx1"/>
                        </w14:solidFill>
                      </w14:textFill>
                    </w:rPr>
                    <w:t>原辅材料名称</w:t>
                  </w:r>
                </w:p>
              </w:tc>
              <w:tc>
                <w:tcPr>
                  <w:tcW w:w="1330" w:type="dxa"/>
                  <w:vMerge w:val="restart"/>
                  <w:tcBorders>
                    <w:tl2br w:val="nil"/>
                    <w:tr2bl w:val="nil"/>
                  </w:tcBorders>
                  <w:vAlign w:val="center"/>
                </w:tcPr>
                <w:p w14:paraId="618749C6">
                  <w:pPr>
                    <w:bidi w:val="0"/>
                    <w:jc w:val="center"/>
                    <w:rPr>
                      <w:rFonts w:hint="default"/>
                      <w:color w:val="000000" w:themeColor="text1"/>
                      <w:kern w:val="0"/>
                      <w:sz w:val="21"/>
                      <w:highlight w:val="none"/>
                      <w14:textFill>
                        <w14:solidFill>
                          <w14:schemeClr w14:val="tx1"/>
                        </w14:solidFill>
                      </w14:textFill>
                    </w:rPr>
                  </w:pPr>
                  <w:r>
                    <w:rPr>
                      <w:color w:val="000000" w:themeColor="text1"/>
                      <w:kern w:val="0"/>
                      <w:sz w:val="21"/>
                      <w:highlight w:val="none"/>
                      <w14:textFill>
                        <w14:solidFill>
                          <w14:schemeClr w14:val="tx1"/>
                        </w14:solidFill>
                      </w14:textFill>
                    </w:rPr>
                    <w:t>单位</w:t>
                  </w:r>
                </w:p>
              </w:tc>
              <w:tc>
                <w:tcPr>
                  <w:tcW w:w="5824" w:type="dxa"/>
                  <w:gridSpan w:val="3"/>
                  <w:tcBorders>
                    <w:tl2br w:val="nil"/>
                    <w:tr2bl w:val="nil"/>
                  </w:tcBorders>
                  <w:vAlign w:val="center"/>
                </w:tcPr>
                <w:p w14:paraId="4DB7FDBE">
                  <w:pPr>
                    <w:bidi w:val="0"/>
                    <w:jc w:val="center"/>
                    <w:rPr>
                      <w:rFonts w:hint="default"/>
                      <w:color w:val="000000" w:themeColor="text1"/>
                      <w:kern w:val="0"/>
                      <w:sz w:val="21"/>
                      <w:highlight w:val="none"/>
                      <w14:textFill>
                        <w14:solidFill>
                          <w14:schemeClr w14:val="tx1"/>
                        </w14:solidFill>
                      </w14:textFill>
                    </w:rPr>
                  </w:pPr>
                  <w:r>
                    <w:rPr>
                      <w:color w:val="000000" w:themeColor="text1"/>
                      <w:kern w:val="0"/>
                      <w:sz w:val="21"/>
                      <w:highlight w:val="none"/>
                      <w14:textFill>
                        <w14:solidFill>
                          <w14:schemeClr w14:val="tx1"/>
                        </w14:solidFill>
                      </w14:textFill>
                    </w:rPr>
                    <w:t>耗用量</w:t>
                  </w:r>
                </w:p>
              </w:tc>
              <w:tc>
                <w:tcPr>
                  <w:tcW w:w="2395" w:type="dxa"/>
                  <w:vMerge w:val="restart"/>
                  <w:tcBorders>
                    <w:tl2br w:val="nil"/>
                    <w:tr2bl w:val="nil"/>
                  </w:tcBorders>
                  <w:vAlign w:val="center"/>
                </w:tcPr>
                <w:p w14:paraId="6C22B67C">
                  <w:pPr>
                    <w:bidi w:val="0"/>
                    <w:jc w:val="center"/>
                    <w:rPr>
                      <w:rFonts w:hint="default"/>
                      <w:color w:val="000000" w:themeColor="text1"/>
                      <w:kern w:val="0"/>
                      <w:sz w:val="21"/>
                      <w:highlight w:val="none"/>
                      <w14:textFill>
                        <w14:solidFill>
                          <w14:schemeClr w14:val="tx1"/>
                        </w14:solidFill>
                      </w14:textFill>
                    </w:rPr>
                  </w:pPr>
                  <w:r>
                    <w:rPr>
                      <w:color w:val="000000" w:themeColor="text1"/>
                      <w:kern w:val="0"/>
                      <w:sz w:val="21"/>
                      <w:highlight w:val="none"/>
                      <w14:textFill>
                        <w14:solidFill>
                          <w14:schemeClr w14:val="tx1"/>
                        </w14:solidFill>
                      </w14:textFill>
                    </w:rPr>
                    <w:t>储存形态</w:t>
                  </w:r>
                </w:p>
              </w:tc>
            </w:tr>
            <w:tr w14:paraId="3C3E0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774" w:type="dxa"/>
                  <w:vMerge w:val="continue"/>
                  <w:tcBorders>
                    <w:tl2br w:val="nil"/>
                    <w:tr2bl w:val="nil"/>
                  </w:tcBorders>
                  <w:vAlign w:val="center"/>
                </w:tcPr>
                <w:p w14:paraId="77E1FF52">
                  <w:pPr>
                    <w:bidi w:val="0"/>
                    <w:jc w:val="center"/>
                    <w:rPr>
                      <w:rFonts w:hint="default"/>
                      <w:color w:val="000000" w:themeColor="text1"/>
                      <w:kern w:val="0"/>
                      <w:sz w:val="21"/>
                      <w:highlight w:val="none"/>
                      <w14:textFill>
                        <w14:solidFill>
                          <w14:schemeClr w14:val="tx1"/>
                        </w14:solidFill>
                      </w14:textFill>
                    </w:rPr>
                  </w:pPr>
                </w:p>
              </w:tc>
              <w:tc>
                <w:tcPr>
                  <w:tcW w:w="3103" w:type="dxa"/>
                  <w:vMerge w:val="continue"/>
                  <w:tcBorders>
                    <w:tl2br w:val="nil"/>
                    <w:tr2bl w:val="nil"/>
                  </w:tcBorders>
                  <w:vAlign w:val="center"/>
                </w:tcPr>
                <w:p w14:paraId="4D3163D3">
                  <w:pPr>
                    <w:bidi w:val="0"/>
                    <w:jc w:val="center"/>
                    <w:rPr>
                      <w:rFonts w:hint="default"/>
                      <w:color w:val="000000" w:themeColor="text1"/>
                      <w:kern w:val="0"/>
                      <w:sz w:val="21"/>
                      <w:highlight w:val="none"/>
                      <w14:textFill>
                        <w14:solidFill>
                          <w14:schemeClr w14:val="tx1"/>
                        </w14:solidFill>
                      </w14:textFill>
                    </w:rPr>
                  </w:pPr>
                </w:p>
              </w:tc>
              <w:tc>
                <w:tcPr>
                  <w:tcW w:w="1330" w:type="dxa"/>
                  <w:vMerge w:val="continue"/>
                  <w:tcBorders>
                    <w:tl2br w:val="nil"/>
                    <w:tr2bl w:val="nil"/>
                  </w:tcBorders>
                  <w:vAlign w:val="center"/>
                </w:tcPr>
                <w:p w14:paraId="41D192A4">
                  <w:pPr>
                    <w:bidi w:val="0"/>
                    <w:jc w:val="center"/>
                    <w:rPr>
                      <w:rFonts w:hint="default"/>
                      <w:color w:val="000000" w:themeColor="text1"/>
                      <w:kern w:val="0"/>
                      <w:sz w:val="21"/>
                      <w:highlight w:val="none"/>
                      <w14:textFill>
                        <w14:solidFill>
                          <w14:schemeClr w14:val="tx1"/>
                        </w14:solidFill>
                      </w14:textFill>
                    </w:rPr>
                  </w:pPr>
                </w:p>
              </w:tc>
              <w:tc>
                <w:tcPr>
                  <w:tcW w:w="1941" w:type="dxa"/>
                  <w:tcBorders>
                    <w:tl2br w:val="nil"/>
                    <w:tr2bl w:val="nil"/>
                  </w:tcBorders>
                  <w:vAlign w:val="center"/>
                </w:tcPr>
                <w:p w14:paraId="32C13FC5">
                  <w:pPr>
                    <w:bidi w:val="0"/>
                    <w:jc w:val="center"/>
                    <w:rPr>
                      <w:rFonts w:hint="default"/>
                      <w:color w:val="000000" w:themeColor="text1"/>
                      <w:kern w:val="0"/>
                      <w:sz w:val="21"/>
                      <w:highlight w:val="none"/>
                      <w14:textFill>
                        <w14:solidFill>
                          <w14:schemeClr w14:val="tx1"/>
                        </w14:solidFill>
                      </w14:textFill>
                    </w:rPr>
                  </w:pPr>
                  <w:r>
                    <w:rPr>
                      <w:color w:val="000000" w:themeColor="text1"/>
                      <w:kern w:val="0"/>
                      <w:sz w:val="21"/>
                      <w:highlight w:val="none"/>
                      <w14:textFill>
                        <w14:solidFill>
                          <w14:schemeClr w14:val="tx1"/>
                        </w14:solidFill>
                      </w14:textFill>
                    </w:rPr>
                    <w:t>现有工程</w:t>
                  </w:r>
                </w:p>
              </w:tc>
              <w:tc>
                <w:tcPr>
                  <w:tcW w:w="1941" w:type="dxa"/>
                  <w:tcBorders>
                    <w:tl2br w:val="nil"/>
                    <w:tr2bl w:val="nil"/>
                  </w:tcBorders>
                  <w:vAlign w:val="center"/>
                </w:tcPr>
                <w:p w14:paraId="26F281CC">
                  <w:pPr>
                    <w:bidi w:val="0"/>
                    <w:jc w:val="center"/>
                    <w:rPr>
                      <w:rFonts w:hint="default"/>
                      <w:color w:val="000000" w:themeColor="text1"/>
                      <w:kern w:val="0"/>
                      <w:sz w:val="21"/>
                      <w:highlight w:val="none"/>
                      <w14:textFill>
                        <w14:solidFill>
                          <w14:schemeClr w14:val="tx1"/>
                        </w14:solidFill>
                      </w14:textFill>
                    </w:rPr>
                  </w:pPr>
                  <w:r>
                    <w:rPr>
                      <w:rFonts w:hint="eastAsia"/>
                      <w:color w:val="000000" w:themeColor="text1"/>
                      <w:kern w:val="0"/>
                      <w:sz w:val="21"/>
                      <w:highlight w:val="none"/>
                      <w:lang w:val="en-US" w:eastAsia="zh-CN"/>
                      <w14:textFill>
                        <w14:solidFill>
                          <w14:schemeClr w14:val="tx1"/>
                        </w14:solidFill>
                      </w14:textFill>
                    </w:rPr>
                    <w:t>本期</w:t>
                  </w:r>
                  <w:r>
                    <w:rPr>
                      <w:color w:val="000000" w:themeColor="text1"/>
                      <w:kern w:val="0"/>
                      <w:sz w:val="21"/>
                      <w:highlight w:val="none"/>
                      <w14:textFill>
                        <w14:solidFill>
                          <w14:schemeClr w14:val="tx1"/>
                        </w14:solidFill>
                      </w14:textFill>
                    </w:rPr>
                    <w:t>工程</w:t>
                  </w:r>
                </w:p>
              </w:tc>
              <w:tc>
                <w:tcPr>
                  <w:tcW w:w="1942" w:type="dxa"/>
                  <w:tcBorders>
                    <w:tl2br w:val="nil"/>
                    <w:tr2bl w:val="nil"/>
                  </w:tcBorders>
                  <w:vAlign w:val="center"/>
                </w:tcPr>
                <w:p w14:paraId="782F3DB3">
                  <w:pPr>
                    <w:bidi w:val="0"/>
                    <w:jc w:val="center"/>
                    <w:rPr>
                      <w:rFonts w:hint="default"/>
                      <w:color w:val="000000" w:themeColor="text1"/>
                      <w:kern w:val="0"/>
                      <w:sz w:val="21"/>
                      <w:highlight w:val="none"/>
                      <w14:textFill>
                        <w14:solidFill>
                          <w14:schemeClr w14:val="tx1"/>
                        </w14:solidFill>
                      </w14:textFill>
                    </w:rPr>
                  </w:pPr>
                  <w:r>
                    <w:rPr>
                      <w:rFonts w:hint="eastAsia"/>
                      <w:color w:val="000000" w:themeColor="text1"/>
                      <w:kern w:val="0"/>
                      <w:sz w:val="21"/>
                      <w:highlight w:val="none"/>
                      <w:lang w:val="en-US" w:eastAsia="zh-CN"/>
                      <w14:textFill>
                        <w14:solidFill>
                          <w14:schemeClr w14:val="tx1"/>
                        </w14:solidFill>
                      </w14:textFill>
                    </w:rPr>
                    <w:t>本期</w:t>
                  </w:r>
                  <w:r>
                    <w:rPr>
                      <w:color w:val="000000" w:themeColor="text1"/>
                      <w:kern w:val="0"/>
                      <w:sz w:val="21"/>
                      <w:highlight w:val="none"/>
                      <w14:textFill>
                        <w14:solidFill>
                          <w14:schemeClr w14:val="tx1"/>
                        </w14:solidFill>
                      </w14:textFill>
                    </w:rPr>
                    <w:t>扩建后全厂</w:t>
                  </w:r>
                </w:p>
              </w:tc>
              <w:tc>
                <w:tcPr>
                  <w:tcW w:w="2395" w:type="dxa"/>
                  <w:vMerge w:val="continue"/>
                  <w:tcBorders>
                    <w:tl2br w:val="nil"/>
                    <w:tr2bl w:val="nil"/>
                  </w:tcBorders>
                  <w:vAlign w:val="center"/>
                </w:tcPr>
                <w:p w14:paraId="03A76DB6">
                  <w:pPr>
                    <w:bidi w:val="0"/>
                    <w:jc w:val="center"/>
                    <w:rPr>
                      <w:rFonts w:hint="default"/>
                      <w:color w:val="000000" w:themeColor="text1"/>
                      <w:kern w:val="0"/>
                      <w:sz w:val="21"/>
                      <w:highlight w:val="none"/>
                      <w14:textFill>
                        <w14:solidFill>
                          <w14:schemeClr w14:val="tx1"/>
                        </w14:solidFill>
                      </w14:textFill>
                    </w:rPr>
                  </w:pPr>
                </w:p>
              </w:tc>
            </w:tr>
            <w:tr w14:paraId="5AE29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3426" w:type="dxa"/>
                  <w:gridSpan w:val="7"/>
                  <w:tcBorders>
                    <w:tl2br w:val="nil"/>
                    <w:tr2bl w:val="nil"/>
                  </w:tcBorders>
                  <w:vAlign w:val="center"/>
                </w:tcPr>
                <w:p w14:paraId="6EE58DC1">
                  <w:pPr>
                    <w:bidi w:val="0"/>
                    <w:jc w:val="both"/>
                    <w:rPr>
                      <w:rFonts w:hint="default"/>
                      <w:color w:val="000000" w:themeColor="text1"/>
                      <w:kern w:val="0"/>
                      <w:sz w:val="21"/>
                      <w:highlight w:val="none"/>
                      <w14:textFill>
                        <w14:solidFill>
                          <w14:schemeClr w14:val="tx1"/>
                        </w14:solidFill>
                      </w14:textFill>
                    </w:rPr>
                  </w:pPr>
                  <w:r>
                    <w:rPr>
                      <w:rFonts w:hint="default"/>
                      <w:color w:val="000000" w:themeColor="text1"/>
                      <w:kern w:val="0"/>
                      <w:sz w:val="21"/>
                      <w:highlight w:val="none"/>
                      <w14:textFill>
                        <w14:solidFill>
                          <w14:schemeClr w14:val="tx1"/>
                        </w14:solidFill>
                      </w14:textFill>
                    </w:rPr>
                    <w:t>一、原材料消耗</w:t>
                  </w:r>
                </w:p>
              </w:tc>
            </w:tr>
            <w:tr w14:paraId="5C52E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774" w:type="dxa"/>
                  <w:tcBorders>
                    <w:tl2br w:val="nil"/>
                    <w:tr2bl w:val="nil"/>
                  </w:tcBorders>
                  <w:vAlign w:val="center"/>
                </w:tcPr>
                <w:p w14:paraId="70DFB87E">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w w:val="99"/>
                      <w:sz w:val="21"/>
                      <w:szCs w:val="21"/>
                      <w:highlight w:val="none"/>
                      <w14:textFill>
                        <w14:solidFill>
                          <w14:schemeClr w14:val="tx1"/>
                        </w14:solidFill>
                      </w14:textFill>
                    </w:rPr>
                    <w:t>1</w:t>
                  </w:r>
                </w:p>
              </w:tc>
              <w:tc>
                <w:tcPr>
                  <w:tcW w:w="3103" w:type="dxa"/>
                  <w:tcBorders>
                    <w:tl2br w:val="nil"/>
                    <w:tr2bl w:val="nil"/>
                  </w:tcBorders>
                  <w:vAlign w:val="center"/>
                </w:tcPr>
                <w:p w14:paraId="4375904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粗、精金刚砂磨料</w:t>
                  </w:r>
                </w:p>
              </w:tc>
              <w:tc>
                <w:tcPr>
                  <w:tcW w:w="1330" w:type="dxa"/>
                  <w:tcBorders>
                    <w:tl2br w:val="nil"/>
                    <w:tr2bl w:val="nil"/>
                  </w:tcBorders>
                  <w:vAlign w:val="center"/>
                </w:tcPr>
                <w:p w14:paraId="6C40261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1941" w:type="dxa"/>
                  <w:tcBorders>
                    <w:tl2br w:val="nil"/>
                    <w:tr2bl w:val="nil"/>
                  </w:tcBorders>
                  <w:vAlign w:val="center"/>
                </w:tcPr>
                <w:p w14:paraId="0CEE1901">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center"/>
                </w:tcPr>
                <w:p w14:paraId="76DA4F45">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center"/>
                </w:tcPr>
                <w:p w14:paraId="1C9CB5B9">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395" w:type="dxa"/>
                  <w:tcBorders>
                    <w:tl2br w:val="nil"/>
                    <w:tr2bl w:val="nil"/>
                  </w:tcBorders>
                  <w:vAlign w:val="center"/>
                </w:tcPr>
                <w:p w14:paraId="5505F81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固体</w:t>
                  </w:r>
                </w:p>
              </w:tc>
            </w:tr>
            <w:tr w14:paraId="6FBF1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jc w:val="center"/>
              </w:trPr>
              <w:tc>
                <w:tcPr>
                  <w:tcW w:w="774" w:type="dxa"/>
                  <w:tcBorders>
                    <w:tl2br w:val="nil"/>
                    <w:tr2bl w:val="nil"/>
                  </w:tcBorders>
                  <w:vAlign w:val="center"/>
                </w:tcPr>
                <w:p w14:paraId="028D65C5">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w w:val="99"/>
                      <w:sz w:val="21"/>
                      <w:szCs w:val="21"/>
                      <w:highlight w:val="none"/>
                      <w14:textFill>
                        <w14:solidFill>
                          <w14:schemeClr w14:val="tx1"/>
                        </w14:solidFill>
                      </w14:textFill>
                    </w:rPr>
                    <w:t>2</w:t>
                  </w:r>
                </w:p>
              </w:tc>
              <w:tc>
                <w:tcPr>
                  <w:tcW w:w="3103" w:type="dxa"/>
                  <w:tcBorders>
                    <w:tl2br w:val="nil"/>
                    <w:tr2bl w:val="nil"/>
                  </w:tcBorders>
                  <w:vAlign w:val="center"/>
                </w:tcPr>
                <w:p w14:paraId="261A736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DSL-3.6清洗剂</w:t>
                  </w:r>
                </w:p>
              </w:tc>
              <w:tc>
                <w:tcPr>
                  <w:tcW w:w="1330" w:type="dxa"/>
                  <w:tcBorders>
                    <w:tl2br w:val="nil"/>
                    <w:tr2bl w:val="nil"/>
                  </w:tcBorders>
                  <w:vAlign w:val="center"/>
                </w:tcPr>
                <w:p w14:paraId="1DEE1DC1">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1941" w:type="dxa"/>
                  <w:tcBorders>
                    <w:tl2br w:val="nil"/>
                    <w:tr2bl w:val="nil"/>
                  </w:tcBorders>
                  <w:vAlign w:val="center"/>
                </w:tcPr>
                <w:p w14:paraId="7155EDE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center"/>
                </w:tcPr>
                <w:p w14:paraId="30DAFBD1">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center"/>
                </w:tcPr>
                <w:p w14:paraId="25BCAFD6">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center"/>
                </w:tcPr>
                <w:p w14:paraId="1EC2F1A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液体</w:t>
                  </w:r>
                </w:p>
              </w:tc>
            </w:tr>
            <w:tr w14:paraId="5848E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774" w:type="dxa"/>
                  <w:tcBorders>
                    <w:tl2br w:val="nil"/>
                    <w:tr2bl w:val="nil"/>
                  </w:tcBorders>
                  <w:vAlign w:val="center"/>
                </w:tcPr>
                <w:p w14:paraId="3EC864EC">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w w:val="99"/>
                      <w:sz w:val="21"/>
                      <w:szCs w:val="21"/>
                      <w:highlight w:val="none"/>
                      <w14:textFill>
                        <w14:solidFill>
                          <w14:schemeClr w14:val="tx1"/>
                        </w14:solidFill>
                      </w14:textFill>
                    </w:rPr>
                    <w:t>3</w:t>
                  </w:r>
                </w:p>
              </w:tc>
              <w:tc>
                <w:tcPr>
                  <w:tcW w:w="3103" w:type="dxa"/>
                  <w:tcBorders>
                    <w:tl2br w:val="nil"/>
                    <w:tr2bl w:val="nil"/>
                  </w:tcBorders>
                  <w:vAlign w:val="center"/>
                </w:tcPr>
                <w:p w14:paraId="11E0752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75%酒精</w:t>
                  </w:r>
                </w:p>
              </w:tc>
              <w:tc>
                <w:tcPr>
                  <w:tcW w:w="1330" w:type="dxa"/>
                  <w:tcBorders>
                    <w:tl2br w:val="nil"/>
                    <w:tr2bl w:val="nil"/>
                  </w:tcBorders>
                  <w:vAlign w:val="center"/>
                </w:tcPr>
                <w:p w14:paraId="4606419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1941" w:type="dxa"/>
                  <w:tcBorders>
                    <w:tl2br w:val="nil"/>
                    <w:tr2bl w:val="nil"/>
                  </w:tcBorders>
                  <w:vAlign w:val="center"/>
                </w:tcPr>
                <w:p w14:paraId="46A3F241">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center"/>
                </w:tcPr>
                <w:p w14:paraId="2BB84EF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2" w:type="dxa"/>
                  <w:tcBorders>
                    <w:tl2br w:val="nil"/>
                    <w:tr2bl w:val="nil"/>
                  </w:tcBorders>
                  <w:vAlign w:val="center"/>
                </w:tcPr>
                <w:p w14:paraId="6F46472E">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395" w:type="dxa"/>
                  <w:tcBorders>
                    <w:tl2br w:val="nil"/>
                    <w:tr2bl w:val="nil"/>
                  </w:tcBorders>
                  <w:vAlign w:val="center"/>
                </w:tcPr>
                <w:p w14:paraId="569C594E">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液体</w:t>
                  </w:r>
                </w:p>
              </w:tc>
            </w:tr>
            <w:tr w14:paraId="1B647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774" w:type="dxa"/>
                  <w:tcBorders>
                    <w:tl2br w:val="nil"/>
                    <w:tr2bl w:val="nil"/>
                  </w:tcBorders>
                  <w:vAlign w:val="center"/>
                </w:tcPr>
                <w:p w14:paraId="67F1129E">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w w:val="99"/>
                      <w:sz w:val="21"/>
                      <w:szCs w:val="21"/>
                      <w:highlight w:val="none"/>
                      <w14:textFill>
                        <w14:solidFill>
                          <w14:schemeClr w14:val="tx1"/>
                        </w14:solidFill>
                      </w14:textFill>
                    </w:rPr>
                    <w:t>4</w:t>
                  </w:r>
                </w:p>
              </w:tc>
              <w:tc>
                <w:tcPr>
                  <w:tcW w:w="3103" w:type="dxa"/>
                  <w:tcBorders>
                    <w:tl2br w:val="nil"/>
                    <w:tr2bl w:val="nil"/>
                  </w:tcBorders>
                  <w:vAlign w:val="center"/>
                </w:tcPr>
                <w:p w14:paraId="63F552BF">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无水乙醇</w:t>
                  </w:r>
                </w:p>
              </w:tc>
              <w:tc>
                <w:tcPr>
                  <w:tcW w:w="1330" w:type="dxa"/>
                  <w:tcBorders>
                    <w:tl2br w:val="nil"/>
                    <w:tr2bl w:val="nil"/>
                  </w:tcBorders>
                  <w:vAlign w:val="center"/>
                </w:tcPr>
                <w:p w14:paraId="7FB776F6">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1941" w:type="dxa"/>
                  <w:tcBorders>
                    <w:tl2br w:val="nil"/>
                    <w:tr2bl w:val="nil"/>
                  </w:tcBorders>
                  <w:vAlign w:val="center"/>
                </w:tcPr>
                <w:p w14:paraId="2114D7D8">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center"/>
                </w:tcPr>
                <w:p w14:paraId="134BD83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center"/>
                </w:tcPr>
                <w:p w14:paraId="57E50F3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center"/>
                </w:tcPr>
                <w:p w14:paraId="6CAF961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液体</w:t>
                  </w:r>
                </w:p>
              </w:tc>
            </w:tr>
            <w:tr w14:paraId="7DE74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774" w:type="dxa"/>
                  <w:tcBorders>
                    <w:tl2br w:val="nil"/>
                    <w:tr2bl w:val="nil"/>
                  </w:tcBorders>
                  <w:vAlign w:val="center"/>
                </w:tcPr>
                <w:p w14:paraId="196F41F8">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w w:val="99"/>
                      <w:sz w:val="21"/>
                      <w:szCs w:val="21"/>
                      <w:highlight w:val="none"/>
                      <w14:textFill>
                        <w14:solidFill>
                          <w14:schemeClr w14:val="tx1"/>
                        </w14:solidFill>
                      </w14:textFill>
                    </w:rPr>
                    <w:t>5</w:t>
                  </w:r>
                </w:p>
              </w:tc>
              <w:tc>
                <w:tcPr>
                  <w:tcW w:w="3103" w:type="dxa"/>
                  <w:tcBorders>
                    <w:tl2br w:val="nil"/>
                    <w:tr2bl w:val="nil"/>
                  </w:tcBorders>
                  <w:vAlign w:val="center"/>
                </w:tcPr>
                <w:p w14:paraId="7162BEF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无水乙醚</w:t>
                  </w:r>
                </w:p>
              </w:tc>
              <w:tc>
                <w:tcPr>
                  <w:tcW w:w="1330" w:type="dxa"/>
                  <w:tcBorders>
                    <w:tl2br w:val="nil"/>
                    <w:tr2bl w:val="nil"/>
                  </w:tcBorders>
                  <w:vAlign w:val="center"/>
                </w:tcPr>
                <w:p w14:paraId="0FC03AD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1941" w:type="dxa"/>
                  <w:tcBorders>
                    <w:tl2br w:val="nil"/>
                    <w:tr2bl w:val="nil"/>
                  </w:tcBorders>
                  <w:vAlign w:val="center"/>
                </w:tcPr>
                <w:p w14:paraId="2C9BEBF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center"/>
                </w:tcPr>
                <w:p w14:paraId="18519E6D">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center"/>
                </w:tcPr>
                <w:p w14:paraId="245ADC2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center"/>
                </w:tcPr>
                <w:p w14:paraId="4B724868">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液体</w:t>
                  </w:r>
                </w:p>
              </w:tc>
            </w:tr>
            <w:tr w14:paraId="65E6F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774" w:type="dxa"/>
                  <w:tcBorders>
                    <w:tl2br w:val="nil"/>
                    <w:tr2bl w:val="nil"/>
                  </w:tcBorders>
                  <w:vAlign w:val="center"/>
                </w:tcPr>
                <w:p w14:paraId="045E8A2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w w:val="99"/>
                      <w:sz w:val="21"/>
                      <w:szCs w:val="21"/>
                      <w:highlight w:val="none"/>
                      <w14:textFill>
                        <w14:solidFill>
                          <w14:schemeClr w14:val="tx1"/>
                        </w14:solidFill>
                      </w14:textFill>
                    </w:rPr>
                    <w:t>6</w:t>
                  </w:r>
                </w:p>
              </w:tc>
              <w:tc>
                <w:tcPr>
                  <w:tcW w:w="3103" w:type="dxa"/>
                  <w:tcBorders>
                    <w:tl2br w:val="nil"/>
                    <w:tr2bl w:val="nil"/>
                  </w:tcBorders>
                  <w:vAlign w:val="center"/>
                </w:tcPr>
                <w:p w14:paraId="29C3C18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抛光粉</w:t>
                  </w:r>
                </w:p>
              </w:tc>
              <w:tc>
                <w:tcPr>
                  <w:tcW w:w="1330" w:type="dxa"/>
                  <w:tcBorders>
                    <w:tl2br w:val="nil"/>
                    <w:tr2bl w:val="nil"/>
                  </w:tcBorders>
                  <w:vAlign w:val="center"/>
                </w:tcPr>
                <w:p w14:paraId="116F5FC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1941" w:type="dxa"/>
                  <w:tcBorders>
                    <w:tl2br w:val="nil"/>
                    <w:tr2bl w:val="nil"/>
                  </w:tcBorders>
                  <w:vAlign w:val="center"/>
                </w:tcPr>
                <w:p w14:paraId="6D9F5299">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center"/>
                </w:tcPr>
                <w:p w14:paraId="7EE98C3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2" w:type="dxa"/>
                  <w:tcBorders>
                    <w:tl2br w:val="nil"/>
                    <w:tr2bl w:val="nil"/>
                  </w:tcBorders>
                  <w:vAlign w:val="center"/>
                </w:tcPr>
                <w:p w14:paraId="4F5A547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395" w:type="dxa"/>
                  <w:tcBorders>
                    <w:tl2br w:val="nil"/>
                    <w:tr2bl w:val="nil"/>
                  </w:tcBorders>
                  <w:vAlign w:val="center"/>
                </w:tcPr>
                <w:p w14:paraId="5F2033C5">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固体</w:t>
                  </w:r>
                </w:p>
              </w:tc>
            </w:tr>
            <w:tr w14:paraId="6DA62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774" w:type="dxa"/>
                  <w:tcBorders>
                    <w:tl2br w:val="nil"/>
                    <w:tr2bl w:val="nil"/>
                  </w:tcBorders>
                  <w:vAlign w:val="center"/>
                </w:tcPr>
                <w:p w14:paraId="381B2A5F">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w w:val="99"/>
                      <w:sz w:val="21"/>
                      <w:szCs w:val="21"/>
                      <w:highlight w:val="none"/>
                      <w14:textFill>
                        <w14:solidFill>
                          <w14:schemeClr w14:val="tx1"/>
                        </w14:solidFill>
                      </w14:textFill>
                    </w:rPr>
                    <w:t>7</w:t>
                  </w:r>
                </w:p>
              </w:tc>
              <w:tc>
                <w:tcPr>
                  <w:tcW w:w="3103" w:type="dxa"/>
                  <w:tcBorders>
                    <w:tl2br w:val="nil"/>
                    <w:tr2bl w:val="nil"/>
                  </w:tcBorders>
                  <w:vAlign w:val="center"/>
                </w:tcPr>
                <w:p w14:paraId="4AC2C1E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抛光液</w:t>
                  </w:r>
                </w:p>
              </w:tc>
              <w:tc>
                <w:tcPr>
                  <w:tcW w:w="1330" w:type="dxa"/>
                  <w:tcBorders>
                    <w:tl2br w:val="nil"/>
                    <w:tr2bl w:val="nil"/>
                  </w:tcBorders>
                  <w:vAlign w:val="center"/>
                </w:tcPr>
                <w:p w14:paraId="1F0A3AC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1941" w:type="dxa"/>
                  <w:tcBorders>
                    <w:tl2br w:val="nil"/>
                    <w:tr2bl w:val="nil"/>
                  </w:tcBorders>
                  <w:vAlign w:val="center"/>
                </w:tcPr>
                <w:p w14:paraId="36E62E9D">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center"/>
                </w:tcPr>
                <w:p w14:paraId="3A91ABB8">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2" w:type="dxa"/>
                  <w:tcBorders>
                    <w:tl2br w:val="nil"/>
                    <w:tr2bl w:val="nil"/>
                  </w:tcBorders>
                  <w:vAlign w:val="center"/>
                </w:tcPr>
                <w:p w14:paraId="2B3465F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395" w:type="dxa"/>
                  <w:tcBorders>
                    <w:tl2br w:val="nil"/>
                    <w:tr2bl w:val="nil"/>
                  </w:tcBorders>
                  <w:vAlign w:val="center"/>
                </w:tcPr>
                <w:p w14:paraId="5BA38765">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液体</w:t>
                  </w:r>
                </w:p>
              </w:tc>
            </w:tr>
            <w:tr w14:paraId="0B70A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774" w:type="dxa"/>
                  <w:tcBorders>
                    <w:tl2br w:val="nil"/>
                    <w:tr2bl w:val="nil"/>
                  </w:tcBorders>
                  <w:vAlign w:val="center"/>
                </w:tcPr>
                <w:p w14:paraId="43E1450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w w:val="99"/>
                      <w:sz w:val="21"/>
                      <w:szCs w:val="21"/>
                      <w:highlight w:val="none"/>
                      <w14:textFill>
                        <w14:solidFill>
                          <w14:schemeClr w14:val="tx1"/>
                        </w14:solidFill>
                      </w14:textFill>
                    </w:rPr>
                    <w:t>8</w:t>
                  </w:r>
                </w:p>
              </w:tc>
              <w:tc>
                <w:tcPr>
                  <w:tcW w:w="3103" w:type="dxa"/>
                  <w:tcBorders>
                    <w:tl2br w:val="nil"/>
                    <w:tr2bl w:val="nil"/>
                  </w:tcBorders>
                  <w:vAlign w:val="center"/>
                </w:tcPr>
                <w:p w14:paraId="167757C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丙酮</w:t>
                  </w:r>
                </w:p>
              </w:tc>
              <w:tc>
                <w:tcPr>
                  <w:tcW w:w="1330" w:type="dxa"/>
                  <w:tcBorders>
                    <w:tl2br w:val="nil"/>
                    <w:tr2bl w:val="nil"/>
                  </w:tcBorders>
                  <w:vAlign w:val="center"/>
                </w:tcPr>
                <w:p w14:paraId="2ED2FB36">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1941" w:type="dxa"/>
                  <w:tcBorders>
                    <w:tl2br w:val="nil"/>
                    <w:tr2bl w:val="nil"/>
                  </w:tcBorders>
                  <w:vAlign w:val="center"/>
                </w:tcPr>
                <w:p w14:paraId="48BFB98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center"/>
                </w:tcPr>
                <w:p w14:paraId="466F895C">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center"/>
                </w:tcPr>
                <w:p w14:paraId="35982DA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center"/>
                </w:tcPr>
                <w:p w14:paraId="02CE2AF1">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液体</w:t>
                  </w:r>
                </w:p>
              </w:tc>
            </w:tr>
            <w:tr w14:paraId="32597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774" w:type="dxa"/>
                  <w:tcBorders>
                    <w:tl2br w:val="nil"/>
                    <w:tr2bl w:val="nil"/>
                  </w:tcBorders>
                  <w:vAlign w:val="center"/>
                </w:tcPr>
                <w:p w14:paraId="7AF18FED">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w w:val="99"/>
                      <w:sz w:val="21"/>
                      <w:szCs w:val="21"/>
                      <w:highlight w:val="none"/>
                      <w14:textFill>
                        <w14:solidFill>
                          <w14:schemeClr w14:val="tx1"/>
                        </w14:solidFill>
                      </w14:textFill>
                    </w:rPr>
                    <w:t>9</w:t>
                  </w:r>
                </w:p>
              </w:tc>
              <w:tc>
                <w:tcPr>
                  <w:tcW w:w="3103" w:type="dxa"/>
                  <w:tcBorders>
                    <w:tl2br w:val="nil"/>
                    <w:tr2bl w:val="nil"/>
                  </w:tcBorders>
                  <w:vAlign w:val="center"/>
                </w:tcPr>
                <w:p w14:paraId="1EF5A456">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金刚砂</w:t>
                  </w:r>
                </w:p>
              </w:tc>
              <w:tc>
                <w:tcPr>
                  <w:tcW w:w="1330" w:type="dxa"/>
                  <w:tcBorders>
                    <w:tl2br w:val="nil"/>
                    <w:tr2bl w:val="nil"/>
                  </w:tcBorders>
                  <w:vAlign w:val="center"/>
                </w:tcPr>
                <w:p w14:paraId="1FC24479">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1941" w:type="dxa"/>
                  <w:tcBorders>
                    <w:tl2br w:val="nil"/>
                    <w:tr2bl w:val="nil"/>
                  </w:tcBorders>
                  <w:vAlign w:val="center"/>
                </w:tcPr>
                <w:p w14:paraId="68C3D01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center"/>
                </w:tcPr>
                <w:p w14:paraId="7CD3EBB6">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center"/>
                </w:tcPr>
                <w:p w14:paraId="6A416339">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center"/>
                </w:tcPr>
                <w:p w14:paraId="23CD81A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固体</w:t>
                  </w:r>
                </w:p>
              </w:tc>
            </w:tr>
            <w:tr w14:paraId="14614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jc w:val="center"/>
              </w:trPr>
              <w:tc>
                <w:tcPr>
                  <w:tcW w:w="774" w:type="dxa"/>
                  <w:tcBorders>
                    <w:tl2br w:val="nil"/>
                    <w:tr2bl w:val="nil"/>
                  </w:tcBorders>
                  <w:vAlign w:val="center"/>
                </w:tcPr>
                <w:p w14:paraId="48D2B02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10</w:t>
                  </w:r>
                </w:p>
              </w:tc>
              <w:tc>
                <w:tcPr>
                  <w:tcW w:w="3103" w:type="dxa"/>
                  <w:tcBorders>
                    <w:tl2br w:val="nil"/>
                    <w:tr2bl w:val="nil"/>
                  </w:tcBorders>
                  <w:vAlign w:val="center"/>
                </w:tcPr>
                <w:p w14:paraId="45C69E1E">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切削液</w:t>
                  </w:r>
                </w:p>
              </w:tc>
              <w:tc>
                <w:tcPr>
                  <w:tcW w:w="1330" w:type="dxa"/>
                  <w:tcBorders>
                    <w:tl2br w:val="nil"/>
                    <w:tr2bl w:val="nil"/>
                  </w:tcBorders>
                  <w:vAlign w:val="center"/>
                </w:tcPr>
                <w:p w14:paraId="1A7EF58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1941" w:type="dxa"/>
                  <w:tcBorders>
                    <w:tl2br w:val="nil"/>
                    <w:tr2bl w:val="nil"/>
                  </w:tcBorders>
                  <w:vAlign w:val="center"/>
                </w:tcPr>
                <w:p w14:paraId="6898BF2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941" w:type="dxa"/>
                  <w:tcBorders>
                    <w:tl2br w:val="nil"/>
                    <w:tr2bl w:val="nil"/>
                  </w:tcBorders>
                  <w:vAlign w:val="center"/>
                </w:tcPr>
                <w:p w14:paraId="7648B81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center"/>
                </w:tcPr>
                <w:p w14:paraId="3ABD6EB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center"/>
                </w:tcPr>
                <w:p w14:paraId="3566B406">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液体</w:t>
                  </w:r>
                </w:p>
              </w:tc>
            </w:tr>
            <w:tr w14:paraId="4E353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jc w:val="center"/>
              </w:trPr>
              <w:tc>
                <w:tcPr>
                  <w:tcW w:w="774" w:type="dxa"/>
                  <w:tcBorders>
                    <w:tl2br w:val="nil"/>
                    <w:tr2bl w:val="nil"/>
                  </w:tcBorders>
                  <w:vAlign w:val="center"/>
                </w:tcPr>
                <w:p w14:paraId="7912C43E">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11</w:t>
                  </w:r>
                </w:p>
              </w:tc>
              <w:tc>
                <w:tcPr>
                  <w:tcW w:w="3103" w:type="dxa"/>
                  <w:tcBorders>
                    <w:tl2br w:val="nil"/>
                    <w:tr2bl w:val="nil"/>
                  </w:tcBorders>
                  <w:vAlign w:val="center"/>
                </w:tcPr>
                <w:p w14:paraId="2BAA9A56">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全合成玻璃磨削液</w:t>
                  </w:r>
                </w:p>
              </w:tc>
              <w:tc>
                <w:tcPr>
                  <w:tcW w:w="1330" w:type="dxa"/>
                  <w:tcBorders>
                    <w:tl2br w:val="nil"/>
                    <w:tr2bl w:val="nil"/>
                  </w:tcBorders>
                  <w:vAlign w:val="center"/>
                </w:tcPr>
                <w:p w14:paraId="54106BF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1941" w:type="dxa"/>
                  <w:tcBorders>
                    <w:tl2br w:val="nil"/>
                    <w:tr2bl w:val="nil"/>
                  </w:tcBorders>
                  <w:vAlign w:val="center"/>
                </w:tcPr>
                <w:p w14:paraId="2F9A9E98">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941" w:type="dxa"/>
                  <w:tcBorders>
                    <w:tl2br w:val="nil"/>
                    <w:tr2bl w:val="nil"/>
                  </w:tcBorders>
                  <w:vAlign w:val="center"/>
                </w:tcPr>
                <w:p w14:paraId="5EB4628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center"/>
                </w:tcPr>
                <w:p w14:paraId="0FC6BE4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center"/>
                </w:tcPr>
                <w:p w14:paraId="7259AFDF">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液体</w:t>
                  </w:r>
                </w:p>
              </w:tc>
            </w:tr>
            <w:tr w14:paraId="2C59A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jc w:val="center"/>
              </w:trPr>
              <w:tc>
                <w:tcPr>
                  <w:tcW w:w="774" w:type="dxa"/>
                  <w:tcBorders>
                    <w:tl2br w:val="nil"/>
                    <w:tr2bl w:val="nil"/>
                  </w:tcBorders>
                  <w:vAlign w:val="center"/>
                </w:tcPr>
                <w:p w14:paraId="235F021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12</w:t>
                  </w:r>
                </w:p>
              </w:tc>
              <w:tc>
                <w:tcPr>
                  <w:tcW w:w="3103" w:type="dxa"/>
                  <w:tcBorders>
                    <w:tl2br w:val="nil"/>
                    <w:tr2bl w:val="nil"/>
                  </w:tcBorders>
                  <w:vAlign w:val="center"/>
                </w:tcPr>
                <w:p w14:paraId="3AD540E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切削油</w:t>
                  </w:r>
                </w:p>
              </w:tc>
              <w:tc>
                <w:tcPr>
                  <w:tcW w:w="1330" w:type="dxa"/>
                  <w:tcBorders>
                    <w:tl2br w:val="nil"/>
                    <w:tr2bl w:val="nil"/>
                  </w:tcBorders>
                  <w:vAlign w:val="center"/>
                </w:tcPr>
                <w:p w14:paraId="6FDDA1A6">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L/a</w:t>
                  </w:r>
                </w:p>
              </w:tc>
              <w:tc>
                <w:tcPr>
                  <w:tcW w:w="1941" w:type="dxa"/>
                  <w:tcBorders>
                    <w:tl2br w:val="nil"/>
                    <w:tr2bl w:val="nil"/>
                  </w:tcBorders>
                  <w:vAlign w:val="center"/>
                </w:tcPr>
                <w:p w14:paraId="57EBDF0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center"/>
                </w:tcPr>
                <w:p w14:paraId="030E095F">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center"/>
                </w:tcPr>
                <w:p w14:paraId="5A5093D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center"/>
                </w:tcPr>
                <w:p w14:paraId="16928776">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液体</w:t>
                  </w:r>
                </w:p>
              </w:tc>
            </w:tr>
            <w:tr w14:paraId="4154A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774" w:type="dxa"/>
                  <w:tcBorders>
                    <w:tl2br w:val="nil"/>
                    <w:tr2bl w:val="nil"/>
                  </w:tcBorders>
                  <w:vAlign w:val="center"/>
                </w:tcPr>
                <w:p w14:paraId="4E120D7D">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13</w:t>
                  </w:r>
                </w:p>
              </w:tc>
              <w:tc>
                <w:tcPr>
                  <w:tcW w:w="3103" w:type="dxa"/>
                  <w:tcBorders>
                    <w:tl2br w:val="nil"/>
                    <w:tr2bl w:val="nil"/>
                  </w:tcBorders>
                  <w:vAlign w:val="center"/>
                </w:tcPr>
                <w:p w14:paraId="65FF9EC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冷却液</w:t>
                  </w:r>
                </w:p>
              </w:tc>
              <w:tc>
                <w:tcPr>
                  <w:tcW w:w="1330" w:type="dxa"/>
                  <w:tcBorders>
                    <w:tl2br w:val="nil"/>
                    <w:tr2bl w:val="nil"/>
                  </w:tcBorders>
                  <w:vAlign w:val="center"/>
                </w:tcPr>
                <w:p w14:paraId="022BFBA8">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1941" w:type="dxa"/>
                  <w:tcBorders>
                    <w:tl2br w:val="nil"/>
                    <w:tr2bl w:val="nil"/>
                  </w:tcBorders>
                  <w:vAlign w:val="center"/>
                </w:tcPr>
                <w:p w14:paraId="1386473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center"/>
                </w:tcPr>
                <w:p w14:paraId="72E06C51">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center"/>
                </w:tcPr>
                <w:p w14:paraId="1307A8A6">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center"/>
                </w:tcPr>
                <w:p w14:paraId="3C87EE9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液体</w:t>
                  </w:r>
                </w:p>
              </w:tc>
            </w:tr>
            <w:tr w14:paraId="455B94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774" w:type="dxa"/>
                  <w:tcBorders>
                    <w:tl2br w:val="nil"/>
                    <w:tr2bl w:val="nil"/>
                  </w:tcBorders>
                  <w:vAlign w:val="center"/>
                </w:tcPr>
                <w:p w14:paraId="42FBC28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14</w:t>
                  </w:r>
                </w:p>
              </w:tc>
              <w:tc>
                <w:tcPr>
                  <w:tcW w:w="3103" w:type="dxa"/>
                  <w:tcBorders>
                    <w:tl2br w:val="nil"/>
                    <w:tr2bl w:val="nil"/>
                  </w:tcBorders>
                  <w:vAlign w:val="center"/>
                </w:tcPr>
                <w:p w14:paraId="0F03AD0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NOA61胶水</w:t>
                  </w:r>
                </w:p>
              </w:tc>
              <w:tc>
                <w:tcPr>
                  <w:tcW w:w="1330" w:type="dxa"/>
                  <w:tcBorders>
                    <w:tl2br w:val="nil"/>
                    <w:tr2bl w:val="nil"/>
                  </w:tcBorders>
                  <w:vAlign w:val="center"/>
                </w:tcPr>
                <w:p w14:paraId="596C9811">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kg/a</w:t>
                  </w:r>
                </w:p>
              </w:tc>
              <w:tc>
                <w:tcPr>
                  <w:tcW w:w="1941" w:type="dxa"/>
                  <w:tcBorders>
                    <w:tl2br w:val="nil"/>
                    <w:tr2bl w:val="nil"/>
                  </w:tcBorders>
                  <w:vAlign w:val="center"/>
                </w:tcPr>
                <w:p w14:paraId="616D486F">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center"/>
                </w:tcPr>
                <w:p w14:paraId="6DF6A206">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2" w:type="dxa"/>
                  <w:tcBorders>
                    <w:tl2br w:val="nil"/>
                    <w:tr2bl w:val="nil"/>
                  </w:tcBorders>
                  <w:vAlign w:val="center"/>
                </w:tcPr>
                <w:p w14:paraId="6AA81C1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center"/>
                </w:tcPr>
                <w:p w14:paraId="6B016CB1">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液体</w:t>
                  </w:r>
                </w:p>
              </w:tc>
            </w:tr>
            <w:tr w14:paraId="3D3FD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774" w:type="dxa"/>
                  <w:tcBorders>
                    <w:tl2br w:val="nil"/>
                    <w:tr2bl w:val="nil"/>
                  </w:tcBorders>
                  <w:vAlign w:val="center"/>
                </w:tcPr>
                <w:p w14:paraId="17FC1DC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15</w:t>
                  </w:r>
                </w:p>
              </w:tc>
              <w:tc>
                <w:tcPr>
                  <w:tcW w:w="3103" w:type="dxa"/>
                  <w:tcBorders>
                    <w:tl2br w:val="nil"/>
                    <w:tr2bl w:val="nil"/>
                  </w:tcBorders>
                  <w:vAlign w:val="center"/>
                </w:tcPr>
                <w:p w14:paraId="7E2A0E76">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光学玻璃</w:t>
                  </w:r>
                </w:p>
              </w:tc>
              <w:tc>
                <w:tcPr>
                  <w:tcW w:w="1330" w:type="dxa"/>
                  <w:tcBorders>
                    <w:tl2br w:val="nil"/>
                    <w:tr2bl w:val="nil"/>
                  </w:tcBorders>
                  <w:vAlign w:val="center"/>
                </w:tcPr>
                <w:p w14:paraId="6154072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1941" w:type="dxa"/>
                  <w:tcBorders>
                    <w:tl2br w:val="nil"/>
                    <w:tr2bl w:val="nil"/>
                  </w:tcBorders>
                  <w:vAlign w:val="center"/>
                </w:tcPr>
                <w:p w14:paraId="005D9F8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center"/>
                </w:tcPr>
                <w:p w14:paraId="7BD34A9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center"/>
                </w:tcPr>
                <w:p w14:paraId="2A3A931F">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center"/>
                </w:tcPr>
                <w:p w14:paraId="4D54805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固体</w:t>
                  </w:r>
                </w:p>
              </w:tc>
            </w:tr>
            <w:tr w14:paraId="48293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jc w:val="center"/>
              </w:trPr>
              <w:tc>
                <w:tcPr>
                  <w:tcW w:w="774" w:type="dxa"/>
                  <w:tcBorders>
                    <w:tl2br w:val="nil"/>
                    <w:tr2bl w:val="nil"/>
                  </w:tcBorders>
                  <w:vAlign w:val="center"/>
                </w:tcPr>
                <w:p w14:paraId="4110647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16</w:t>
                  </w:r>
                </w:p>
              </w:tc>
              <w:tc>
                <w:tcPr>
                  <w:tcW w:w="3103" w:type="dxa"/>
                  <w:tcBorders>
                    <w:tl2br w:val="nil"/>
                    <w:tr2bl w:val="nil"/>
                  </w:tcBorders>
                  <w:vAlign w:val="center"/>
                </w:tcPr>
                <w:p w14:paraId="42BEA93D">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蜂蜡</w:t>
                  </w:r>
                </w:p>
              </w:tc>
              <w:tc>
                <w:tcPr>
                  <w:tcW w:w="1330" w:type="dxa"/>
                  <w:tcBorders>
                    <w:tl2br w:val="nil"/>
                    <w:tr2bl w:val="nil"/>
                  </w:tcBorders>
                  <w:vAlign w:val="center"/>
                </w:tcPr>
                <w:p w14:paraId="1575B8C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1941" w:type="dxa"/>
                  <w:tcBorders>
                    <w:tl2br w:val="nil"/>
                    <w:tr2bl w:val="nil"/>
                  </w:tcBorders>
                  <w:vAlign w:val="center"/>
                </w:tcPr>
                <w:p w14:paraId="48A7A77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center"/>
                </w:tcPr>
                <w:p w14:paraId="578A249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2" w:type="dxa"/>
                  <w:tcBorders>
                    <w:tl2br w:val="nil"/>
                    <w:tr2bl w:val="nil"/>
                  </w:tcBorders>
                  <w:vAlign w:val="center"/>
                </w:tcPr>
                <w:p w14:paraId="34D61DA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center"/>
                </w:tcPr>
                <w:p w14:paraId="34861CA8">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固体</w:t>
                  </w:r>
                </w:p>
              </w:tc>
            </w:tr>
            <w:tr w14:paraId="13986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jc w:val="center"/>
              </w:trPr>
              <w:tc>
                <w:tcPr>
                  <w:tcW w:w="774" w:type="dxa"/>
                  <w:tcBorders>
                    <w:tl2br w:val="nil"/>
                    <w:tr2bl w:val="nil"/>
                  </w:tcBorders>
                  <w:vAlign w:val="center"/>
                </w:tcPr>
                <w:p w14:paraId="7C495DCC">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17</w:t>
                  </w:r>
                </w:p>
              </w:tc>
              <w:tc>
                <w:tcPr>
                  <w:tcW w:w="3103" w:type="dxa"/>
                  <w:tcBorders>
                    <w:tl2br w:val="nil"/>
                    <w:tr2bl w:val="nil"/>
                  </w:tcBorders>
                  <w:vAlign w:val="center"/>
                </w:tcPr>
                <w:p w14:paraId="5704D959">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进口胶</w:t>
                  </w:r>
                </w:p>
              </w:tc>
              <w:tc>
                <w:tcPr>
                  <w:tcW w:w="1330" w:type="dxa"/>
                  <w:tcBorders>
                    <w:tl2br w:val="nil"/>
                    <w:tr2bl w:val="nil"/>
                  </w:tcBorders>
                  <w:vAlign w:val="center"/>
                </w:tcPr>
                <w:p w14:paraId="1465673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1941" w:type="dxa"/>
                  <w:tcBorders>
                    <w:tl2br w:val="nil"/>
                    <w:tr2bl w:val="nil"/>
                  </w:tcBorders>
                  <w:vAlign w:val="center"/>
                </w:tcPr>
                <w:p w14:paraId="3144E04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center"/>
                </w:tcPr>
                <w:p w14:paraId="48C40EF1">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2" w:type="dxa"/>
                  <w:tcBorders>
                    <w:tl2br w:val="nil"/>
                    <w:tr2bl w:val="nil"/>
                  </w:tcBorders>
                  <w:vAlign w:val="center"/>
                </w:tcPr>
                <w:p w14:paraId="00894939">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center"/>
                </w:tcPr>
                <w:p w14:paraId="7C7C438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液体</w:t>
                  </w:r>
                </w:p>
              </w:tc>
            </w:tr>
            <w:tr w14:paraId="05003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jc w:val="center"/>
              </w:trPr>
              <w:tc>
                <w:tcPr>
                  <w:tcW w:w="774" w:type="dxa"/>
                  <w:tcBorders>
                    <w:tl2br w:val="nil"/>
                    <w:tr2bl w:val="nil"/>
                  </w:tcBorders>
                  <w:vAlign w:val="center"/>
                </w:tcPr>
                <w:p w14:paraId="67300CA1">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18</w:t>
                  </w:r>
                </w:p>
              </w:tc>
              <w:tc>
                <w:tcPr>
                  <w:tcW w:w="3103" w:type="dxa"/>
                  <w:tcBorders>
                    <w:tl2br w:val="nil"/>
                    <w:tr2bl w:val="nil"/>
                  </w:tcBorders>
                  <w:vAlign w:val="center"/>
                </w:tcPr>
                <w:p w14:paraId="3F181AB5">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金刚石钻石液</w:t>
                  </w:r>
                </w:p>
              </w:tc>
              <w:tc>
                <w:tcPr>
                  <w:tcW w:w="1330" w:type="dxa"/>
                  <w:tcBorders>
                    <w:tl2br w:val="nil"/>
                    <w:tr2bl w:val="nil"/>
                  </w:tcBorders>
                  <w:vAlign w:val="center"/>
                </w:tcPr>
                <w:p w14:paraId="60513E3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L/a</w:t>
                  </w:r>
                </w:p>
              </w:tc>
              <w:tc>
                <w:tcPr>
                  <w:tcW w:w="1941" w:type="dxa"/>
                  <w:tcBorders>
                    <w:tl2br w:val="nil"/>
                    <w:tr2bl w:val="nil"/>
                  </w:tcBorders>
                  <w:vAlign w:val="center"/>
                </w:tcPr>
                <w:p w14:paraId="57D4CA4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center"/>
                </w:tcPr>
                <w:p w14:paraId="78DB804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2" w:type="dxa"/>
                  <w:tcBorders>
                    <w:tl2br w:val="nil"/>
                    <w:tr2bl w:val="nil"/>
                  </w:tcBorders>
                  <w:vAlign w:val="center"/>
                </w:tcPr>
                <w:p w14:paraId="543F440D">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395" w:type="dxa"/>
                  <w:tcBorders>
                    <w:tl2br w:val="nil"/>
                    <w:tr2bl w:val="nil"/>
                  </w:tcBorders>
                  <w:vAlign w:val="center"/>
                </w:tcPr>
                <w:p w14:paraId="05055B6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液体</w:t>
                  </w:r>
                </w:p>
              </w:tc>
            </w:tr>
            <w:tr w14:paraId="75B06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774" w:type="dxa"/>
                  <w:tcBorders>
                    <w:tl2br w:val="nil"/>
                    <w:tr2bl w:val="nil"/>
                  </w:tcBorders>
                  <w:vAlign w:val="center"/>
                </w:tcPr>
                <w:p w14:paraId="08B16F5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19</w:t>
                  </w:r>
                </w:p>
              </w:tc>
              <w:tc>
                <w:tcPr>
                  <w:tcW w:w="3103" w:type="dxa"/>
                  <w:tcBorders>
                    <w:tl2br w:val="nil"/>
                    <w:tr2bl w:val="nil"/>
                  </w:tcBorders>
                  <w:vAlign w:val="center"/>
                </w:tcPr>
                <w:p w14:paraId="61F370AE">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position w:val="2"/>
                      <w:sz w:val="21"/>
                      <w:szCs w:val="21"/>
                      <w:highlight w:val="none"/>
                      <w14:textFill>
                        <w14:solidFill>
                          <w14:schemeClr w14:val="tx1"/>
                        </w14:solidFill>
                      </w14:textFill>
                    </w:rPr>
                    <w:t>SiO</w:t>
                  </w:r>
                  <w:r>
                    <w:rPr>
                      <w:rFonts w:hint="default" w:ascii="Times New Roman" w:hAnsi="Times New Roman" w:eastAsia="宋体" w:cs="Times New Roman"/>
                      <w:color w:val="000000" w:themeColor="text1"/>
                      <w:position w:val="2"/>
                      <w:sz w:val="21"/>
                      <w:szCs w:val="21"/>
                      <w:highlight w:val="none"/>
                      <w:vertAlign w:val="subscript"/>
                      <w14:textFill>
                        <w14:solidFill>
                          <w14:schemeClr w14:val="tx1"/>
                        </w14:solidFill>
                      </w14:textFill>
                    </w:rPr>
                    <w:t>2</w:t>
                  </w:r>
                </w:p>
              </w:tc>
              <w:tc>
                <w:tcPr>
                  <w:tcW w:w="1330" w:type="dxa"/>
                  <w:tcBorders>
                    <w:tl2br w:val="nil"/>
                    <w:tr2bl w:val="nil"/>
                  </w:tcBorders>
                  <w:vAlign w:val="center"/>
                </w:tcPr>
                <w:p w14:paraId="424D8D0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1941" w:type="dxa"/>
                  <w:tcBorders>
                    <w:tl2br w:val="nil"/>
                    <w:tr2bl w:val="nil"/>
                  </w:tcBorders>
                  <w:vAlign w:val="center"/>
                </w:tcPr>
                <w:p w14:paraId="3C840DE8">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center"/>
                </w:tcPr>
                <w:p w14:paraId="08E576B8">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center"/>
                </w:tcPr>
                <w:p w14:paraId="57206C4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center"/>
                </w:tcPr>
                <w:p w14:paraId="389032F1">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固体</w:t>
                  </w:r>
                </w:p>
              </w:tc>
            </w:tr>
            <w:tr w14:paraId="5B01E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774" w:type="dxa"/>
                  <w:tcBorders>
                    <w:tl2br w:val="nil"/>
                    <w:tr2bl w:val="nil"/>
                  </w:tcBorders>
                  <w:vAlign w:val="center"/>
                </w:tcPr>
                <w:p w14:paraId="174D06C6">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20</w:t>
                  </w:r>
                </w:p>
              </w:tc>
              <w:tc>
                <w:tcPr>
                  <w:tcW w:w="3103" w:type="dxa"/>
                  <w:tcBorders>
                    <w:tl2br w:val="nil"/>
                    <w:tr2bl w:val="nil"/>
                  </w:tcBorders>
                  <w:vAlign w:val="center"/>
                </w:tcPr>
                <w:p w14:paraId="72DB2BE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position w:val="2"/>
                      <w:sz w:val="21"/>
                      <w:szCs w:val="21"/>
                      <w:highlight w:val="none"/>
                      <w14:textFill>
                        <w14:solidFill>
                          <w14:schemeClr w14:val="tx1"/>
                        </w14:solidFill>
                      </w14:textFill>
                    </w:rPr>
                    <w:t>Ta</w:t>
                  </w:r>
                  <w:r>
                    <w:rPr>
                      <w:rFonts w:hint="default" w:ascii="Times New Roman" w:hAnsi="Times New Roman" w:eastAsia="宋体" w:cs="Times New Roman"/>
                      <w:color w:val="000000" w:themeColor="text1"/>
                      <w:position w:val="2"/>
                      <w:sz w:val="21"/>
                      <w:szCs w:val="21"/>
                      <w:highlight w:val="none"/>
                      <w:vertAlign w:val="subscript"/>
                      <w14:textFill>
                        <w14:solidFill>
                          <w14:schemeClr w14:val="tx1"/>
                        </w14:solidFill>
                      </w14:textFill>
                    </w:rPr>
                    <w:t>2</w:t>
                  </w:r>
                  <w:r>
                    <w:rPr>
                      <w:rFonts w:hint="default" w:ascii="Times New Roman" w:hAnsi="Times New Roman" w:eastAsia="宋体" w:cs="Times New Roman"/>
                      <w:color w:val="000000" w:themeColor="text1"/>
                      <w:position w:val="2"/>
                      <w:sz w:val="21"/>
                      <w:szCs w:val="21"/>
                      <w:highlight w:val="none"/>
                      <w:vertAlign w:val="baseline"/>
                      <w14:textFill>
                        <w14:solidFill>
                          <w14:schemeClr w14:val="tx1"/>
                        </w14:solidFill>
                      </w14:textFill>
                    </w:rPr>
                    <w:t>O</w:t>
                  </w:r>
                  <w:r>
                    <w:rPr>
                      <w:rFonts w:hint="default" w:ascii="Times New Roman" w:hAnsi="Times New Roman" w:eastAsia="宋体" w:cs="Times New Roman"/>
                      <w:color w:val="000000" w:themeColor="text1"/>
                      <w:position w:val="2"/>
                      <w:sz w:val="21"/>
                      <w:szCs w:val="21"/>
                      <w:highlight w:val="none"/>
                      <w:vertAlign w:val="subscript"/>
                      <w14:textFill>
                        <w14:solidFill>
                          <w14:schemeClr w14:val="tx1"/>
                        </w14:solidFill>
                      </w14:textFill>
                    </w:rPr>
                    <w:t>5</w:t>
                  </w:r>
                </w:p>
              </w:tc>
              <w:tc>
                <w:tcPr>
                  <w:tcW w:w="1330" w:type="dxa"/>
                  <w:tcBorders>
                    <w:tl2br w:val="nil"/>
                    <w:tr2bl w:val="nil"/>
                  </w:tcBorders>
                  <w:vAlign w:val="center"/>
                </w:tcPr>
                <w:p w14:paraId="3B6ABDB8">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kg</w:t>
                  </w:r>
                </w:p>
              </w:tc>
              <w:tc>
                <w:tcPr>
                  <w:tcW w:w="1941" w:type="dxa"/>
                  <w:tcBorders>
                    <w:tl2br w:val="nil"/>
                    <w:tr2bl w:val="nil"/>
                  </w:tcBorders>
                  <w:vAlign w:val="center"/>
                </w:tcPr>
                <w:p w14:paraId="01ECFA9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center"/>
                </w:tcPr>
                <w:p w14:paraId="7010DF1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center"/>
                </w:tcPr>
                <w:p w14:paraId="098BD2CF">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center"/>
                </w:tcPr>
                <w:p w14:paraId="7EA2C1F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固体</w:t>
                  </w:r>
                </w:p>
              </w:tc>
            </w:tr>
            <w:tr w14:paraId="0F21D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774" w:type="dxa"/>
                  <w:tcBorders>
                    <w:tl2br w:val="nil"/>
                    <w:tr2bl w:val="nil"/>
                  </w:tcBorders>
                  <w:vAlign w:val="top"/>
                </w:tcPr>
                <w:p w14:paraId="31C77BC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21</w:t>
                  </w:r>
                </w:p>
              </w:tc>
              <w:tc>
                <w:tcPr>
                  <w:tcW w:w="3103" w:type="dxa"/>
                  <w:tcBorders>
                    <w:tl2br w:val="nil"/>
                    <w:tr2bl w:val="nil"/>
                  </w:tcBorders>
                  <w:vAlign w:val="top"/>
                </w:tcPr>
                <w:p w14:paraId="63A454AC">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氧化铋（Bi</w:t>
                  </w:r>
                  <w:r>
                    <w:rPr>
                      <w:rFonts w:hint="default" w:ascii="Times New Roman" w:hAnsi="Times New Roman" w:eastAsia="宋体" w:cs="Times New Roman"/>
                      <w:color w:val="000000" w:themeColor="text1"/>
                      <w:sz w:val="21"/>
                      <w:szCs w:val="21"/>
                      <w:highlight w:val="none"/>
                      <w:vertAlign w:val="subscript"/>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O</w:t>
                  </w:r>
                  <w:r>
                    <w:rPr>
                      <w:rFonts w:hint="default" w:ascii="Times New Roman" w:hAnsi="Times New Roman" w:eastAsia="宋体" w:cs="Times New Roman"/>
                      <w:color w:val="000000" w:themeColor="text1"/>
                      <w:sz w:val="21"/>
                      <w:szCs w:val="21"/>
                      <w:highlight w:val="none"/>
                      <w:vertAlign w:val="subscript"/>
                      <w14:textFill>
                        <w14:solidFill>
                          <w14:schemeClr w14:val="tx1"/>
                        </w14:solidFill>
                      </w14:textFill>
                    </w:rPr>
                    <w:t>3</w:t>
                  </w:r>
                  <w:r>
                    <w:rPr>
                      <w:rFonts w:hint="default" w:ascii="Times New Roman" w:hAnsi="Times New Roman" w:eastAsia="宋体" w:cs="Times New Roman"/>
                      <w:color w:val="000000" w:themeColor="text1"/>
                      <w:sz w:val="21"/>
                      <w:szCs w:val="21"/>
                      <w:highlight w:val="none"/>
                      <w14:textFill>
                        <w14:solidFill>
                          <w14:schemeClr w14:val="tx1"/>
                        </w14:solidFill>
                      </w14:textFill>
                    </w:rPr>
                    <w:t>）</w:t>
                  </w:r>
                </w:p>
              </w:tc>
              <w:tc>
                <w:tcPr>
                  <w:tcW w:w="1330" w:type="dxa"/>
                  <w:tcBorders>
                    <w:tl2br w:val="nil"/>
                    <w:tr2bl w:val="nil"/>
                  </w:tcBorders>
                  <w:vAlign w:val="top"/>
                </w:tcPr>
                <w:p w14:paraId="5CAC4ED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1941" w:type="dxa"/>
                  <w:tcBorders>
                    <w:tl2br w:val="nil"/>
                    <w:tr2bl w:val="nil"/>
                  </w:tcBorders>
                  <w:vAlign w:val="top"/>
                </w:tcPr>
                <w:p w14:paraId="4DE62E0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top"/>
                </w:tcPr>
                <w:p w14:paraId="29536A69">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2" w:type="dxa"/>
                  <w:tcBorders>
                    <w:tl2br w:val="nil"/>
                    <w:tr2bl w:val="nil"/>
                  </w:tcBorders>
                  <w:vAlign w:val="top"/>
                </w:tcPr>
                <w:p w14:paraId="66EC9ABF">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395" w:type="dxa"/>
                  <w:tcBorders>
                    <w:tl2br w:val="nil"/>
                    <w:tr2bl w:val="nil"/>
                  </w:tcBorders>
                  <w:vAlign w:val="top"/>
                </w:tcPr>
                <w:p w14:paraId="402D100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固体</w:t>
                  </w:r>
                </w:p>
              </w:tc>
            </w:tr>
            <w:tr w14:paraId="1011A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774" w:type="dxa"/>
                  <w:tcBorders>
                    <w:tl2br w:val="nil"/>
                    <w:tr2bl w:val="nil"/>
                  </w:tcBorders>
                  <w:vAlign w:val="top"/>
                </w:tcPr>
                <w:p w14:paraId="29DC034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22</w:t>
                  </w:r>
                </w:p>
              </w:tc>
              <w:tc>
                <w:tcPr>
                  <w:tcW w:w="3103" w:type="dxa"/>
                  <w:tcBorders>
                    <w:tl2br w:val="nil"/>
                    <w:tr2bl w:val="nil"/>
                  </w:tcBorders>
                  <w:vAlign w:val="top"/>
                </w:tcPr>
                <w:p w14:paraId="700DBBC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氧化硼（B</w:t>
                  </w:r>
                  <w:r>
                    <w:rPr>
                      <w:rFonts w:hint="default" w:ascii="Times New Roman" w:hAnsi="Times New Roman" w:eastAsia="宋体" w:cs="Times New Roman"/>
                      <w:color w:val="000000" w:themeColor="text1"/>
                      <w:sz w:val="21"/>
                      <w:szCs w:val="21"/>
                      <w:highlight w:val="none"/>
                      <w:vertAlign w:val="subscript"/>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O</w:t>
                  </w:r>
                  <w:r>
                    <w:rPr>
                      <w:rFonts w:hint="default" w:ascii="Times New Roman" w:hAnsi="Times New Roman" w:eastAsia="宋体" w:cs="Times New Roman"/>
                      <w:color w:val="000000" w:themeColor="text1"/>
                      <w:sz w:val="21"/>
                      <w:szCs w:val="21"/>
                      <w:highlight w:val="none"/>
                      <w:vertAlign w:val="subscript"/>
                      <w14:textFill>
                        <w14:solidFill>
                          <w14:schemeClr w14:val="tx1"/>
                        </w14:solidFill>
                      </w14:textFill>
                    </w:rPr>
                    <w:t>3</w:t>
                  </w:r>
                  <w:r>
                    <w:rPr>
                      <w:rFonts w:hint="default" w:ascii="Times New Roman" w:hAnsi="Times New Roman" w:eastAsia="宋体" w:cs="Times New Roman"/>
                      <w:color w:val="000000" w:themeColor="text1"/>
                      <w:sz w:val="21"/>
                      <w:szCs w:val="21"/>
                      <w:highlight w:val="none"/>
                      <w14:textFill>
                        <w14:solidFill>
                          <w14:schemeClr w14:val="tx1"/>
                        </w14:solidFill>
                      </w14:textFill>
                    </w:rPr>
                    <w:t>）</w:t>
                  </w:r>
                </w:p>
              </w:tc>
              <w:tc>
                <w:tcPr>
                  <w:tcW w:w="1330" w:type="dxa"/>
                  <w:tcBorders>
                    <w:tl2br w:val="nil"/>
                    <w:tr2bl w:val="nil"/>
                  </w:tcBorders>
                  <w:vAlign w:val="top"/>
                </w:tcPr>
                <w:p w14:paraId="712FFF09">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1941" w:type="dxa"/>
                  <w:tcBorders>
                    <w:tl2br w:val="nil"/>
                    <w:tr2bl w:val="nil"/>
                  </w:tcBorders>
                  <w:vAlign w:val="top"/>
                </w:tcPr>
                <w:p w14:paraId="45D4D27C">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top"/>
                </w:tcPr>
                <w:p w14:paraId="0FED4A25">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2" w:type="dxa"/>
                  <w:tcBorders>
                    <w:tl2br w:val="nil"/>
                    <w:tr2bl w:val="nil"/>
                  </w:tcBorders>
                  <w:vAlign w:val="top"/>
                </w:tcPr>
                <w:p w14:paraId="6826449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395" w:type="dxa"/>
                  <w:tcBorders>
                    <w:tl2br w:val="nil"/>
                    <w:tr2bl w:val="nil"/>
                  </w:tcBorders>
                  <w:vAlign w:val="top"/>
                </w:tcPr>
                <w:p w14:paraId="1F111278">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固体</w:t>
                  </w:r>
                </w:p>
              </w:tc>
            </w:tr>
            <w:tr w14:paraId="0D866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774" w:type="dxa"/>
                  <w:tcBorders>
                    <w:tl2br w:val="nil"/>
                    <w:tr2bl w:val="nil"/>
                  </w:tcBorders>
                  <w:vAlign w:val="top"/>
                </w:tcPr>
                <w:p w14:paraId="2B84584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23</w:t>
                  </w:r>
                </w:p>
              </w:tc>
              <w:tc>
                <w:tcPr>
                  <w:tcW w:w="3103" w:type="dxa"/>
                  <w:tcBorders>
                    <w:tl2br w:val="nil"/>
                    <w:tr2bl w:val="nil"/>
                  </w:tcBorders>
                  <w:vAlign w:val="top"/>
                </w:tcPr>
                <w:p w14:paraId="73CF8369">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氧化铁（Fe</w:t>
                  </w:r>
                  <w:r>
                    <w:rPr>
                      <w:rFonts w:hint="default" w:ascii="Times New Roman" w:hAnsi="Times New Roman" w:eastAsia="宋体" w:cs="Times New Roman"/>
                      <w:color w:val="000000" w:themeColor="text1"/>
                      <w:sz w:val="21"/>
                      <w:szCs w:val="21"/>
                      <w:highlight w:val="none"/>
                      <w:vertAlign w:val="subscript"/>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O</w:t>
                  </w:r>
                  <w:r>
                    <w:rPr>
                      <w:rFonts w:hint="default" w:ascii="Times New Roman" w:hAnsi="Times New Roman" w:eastAsia="宋体" w:cs="Times New Roman"/>
                      <w:color w:val="000000" w:themeColor="text1"/>
                      <w:sz w:val="21"/>
                      <w:szCs w:val="21"/>
                      <w:highlight w:val="none"/>
                      <w:vertAlign w:val="subscript"/>
                      <w14:textFill>
                        <w14:solidFill>
                          <w14:schemeClr w14:val="tx1"/>
                        </w14:solidFill>
                      </w14:textFill>
                    </w:rPr>
                    <w:t>3</w:t>
                  </w:r>
                  <w:r>
                    <w:rPr>
                      <w:rFonts w:hint="default" w:ascii="Times New Roman" w:hAnsi="Times New Roman" w:eastAsia="宋体" w:cs="Times New Roman"/>
                      <w:color w:val="000000" w:themeColor="text1"/>
                      <w:sz w:val="21"/>
                      <w:szCs w:val="21"/>
                      <w:highlight w:val="none"/>
                      <w14:textFill>
                        <w14:solidFill>
                          <w14:schemeClr w14:val="tx1"/>
                        </w14:solidFill>
                      </w14:textFill>
                    </w:rPr>
                    <w:t>）</w:t>
                  </w:r>
                </w:p>
              </w:tc>
              <w:tc>
                <w:tcPr>
                  <w:tcW w:w="1330" w:type="dxa"/>
                  <w:tcBorders>
                    <w:tl2br w:val="nil"/>
                    <w:tr2bl w:val="nil"/>
                  </w:tcBorders>
                  <w:vAlign w:val="top"/>
                </w:tcPr>
                <w:p w14:paraId="5E71B06F">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1941" w:type="dxa"/>
                  <w:tcBorders>
                    <w:tl2br w:val="nil"/>
                    <w:tr2bl w:val="nil"/>
                  </w:tcBorders>
                  <w:vAlign w:val="top"/>
                </w:tcPr>
                <w:p w14:paraId="7890C709">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top"/>
                </w:tcPr>
                <w:p w14:paraId="1CEA1AAF">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2" w:type="dxa"/>
                  <w:tcBorders>
                    <w:tl2br w:val="nil"/>
                    <w:tr2bl w:val="nil"/>
                  </w:tcBorders>
                  <w:vAlign w:val="top"/>
                </w:tcPr>
                <w:p w14:paraId="2DDCEE46">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395" w:type="dxa"/>
                  <w:tcBorders>
                    <w:tl2br w:val="nil"/>
                    <w:tr2bl w:val="nil"/>
                  </w:tcBorders>
                  <w:vAlign w:val="top"/>
                </w:tcPr>
                <w:p w14:paraId="0530B23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固体</w:t>
                  </w:r>
                </w:p>
              </w:tc>
            </w:tr>
            <w:tr w14:paraId="496BD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774" w:type="dxa"/>
                  <w:tcBorders>
                    <w:tl2br w:val="nil"/>
                    <w:tr2bl w:val="nil"/>
                  </w:tcBorders>
                  <w:vAlign w:val="top"/>
                </w:tcPr>
                <w:p w14:paraId="6E3E209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24</w:t>
                  </w:r>
                </w:p>
              </w:tc>
              <w:tc>
                <w:tcPr>
                  <w:tcW w:w="3103" w:type="dxa"/>
                  <w:tcBorders>
                    <w:tl2br w:val="nil"/>
                    <w:tr2bl w:val="nil"/>
                  </w:tcBorders>
                  <w:vAlign w:val="top"/>
                </w:tcPr>
                <w:p w14:paraId="4C96A965">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TiO</w:t>
                  </w:r>
                  <w:r>
                    <w:rPr>
                      <w:rFonts w:hint="default" w:ascii="Times New Roman" w:hAnsi="Times New Roman" w:eastAsia="宋体" w:cs="Times New Roman"/>
                      <w:color w:val="000000" w:themeColor="text1"/>
                      <w:sz w:val="21"/>
                      <w:szCs w:val="21"/>
                      <w:highlight w:val="none"/>
                      <w:vertAlign w:val="subscript"/>
                      <w14:textFill>
                        <w14:solidFill>
                          <w14:schemeClr w14:val="tx1"/>
                        </w14:solidFill>
                      </w14:textFill>
                    </w:rPr>
                    <w:t>2</w:t>
                  </w:r>
                </w:p>
              </w:tc>
              <w:tc>
                <w:tcPr>
                  <w:tcW w:w="1330" w:type="dxa"/>
                  <w:tcBorders>
                    <w:tl2br w:val="nil"/>
                    <w:tr2bl w:val="nil"/>
                  </w:tcBorders>
                  <w:vAlign w:val="top"/>
                </w:tcPr>
                <w:p w14:paraId="2B6CDB0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kg/a</w:t>
                  </w:r>
                </w:p>
              </w:tc>
              <w:tc>
                <w:tcPr>
                  <w:tcW w:w="1941" w:type="dxa"/>
                  <w:tcBorders>
                    <w:tl2br w:val="nil"/>
                    <w:tr2bl w:val="nil"/>
                  </w:tcBorders>
                  <w:vAlign w:val="top"/>
                </w:tcPr>
                <w:p w14:paraId="6DF1F0D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top"/>
                </w:tcPr>
                <w:p w14:paraId="182E213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top"/>
                </w:tcPr>
                <w:p w14:paraId="4A58710E">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top"/>
                </w:tcPr>
                <w:p w14:paraId="7A09664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固体</w:t>
                  </w:r>
                </w:p>
              </w:tc>
            </w:tr>
            <w:tr w14:paraId="73F3A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774" w:type="dxa"/>
                  <w:tcBorders>
                    <w:tl2br w:val="nil"/>
                    <w:tr2bl w:val="nil"/>
                  </w:tcBorders>
                  <w:vAlign w:val="top"/>
                </w:tcPr>
                <w:p w14:paraId="500DF0A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25</w:t>
                  </w:r>
                </w:p>
              </w:tc>
              <w:tc>
                <w:tcPr>
                  <w:tcW w:w="3103" w:type="dxa"/>
                  <w:tcBorders>
                    <w:tl2br w:val="nil"/>
                    <w:tr2bl w:val="nil"/>
                  </w:tcBorders>
                  <w:vAlign w:val="top"/>
                </w:tcPr>
                <w:p w14:paraId="1784C50F">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Al</w:t>
                  </w:r>
                  <w:r>
                    <w:rPr>
                      <w:rFonts w:hint="default" w:ascii="Times New Roman" w:hAnsi="Times New Roman" w:eastAsia="宋体" w:cs="Times New Roman"/>
                      <w:color w:val="000000" w:themeColor="text1"/>
                      <w:sz w:val="21"/>
                      <w:szCs w:val="21"/>
                      <w:highlight w:val="none"/>
                      <w:vertAlign w:val="subscript"/>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O</w:t>
                  </w:r>
                  <w:r>
                    <w:rPr>
                      <w:rFonts w:hint="default" w:ascii="Times New Roman" w:hAnsi="Times New Roman" w:eastAsia="宋体" w:cs="Times New Roman"/>
                      <w:color w:val="000000" w:themeColor="text1"/>
                      <w:sz w:val="21"/>
                      <w:szCs w:val="21"/>
                      <w:highlight w:val="none"/>
                      <w:vertAlign w:val="subscript"/>
                      <w14:textFill>
                        <w14:solidFill>
                          <w14:schemeClr w14:val="tx1"/>
                        </w14:solidFill>
                      </w14:textFill>
                    </w:rPr>
                    <w:t>3</w:t>
                  </w:r>
                </w:p>
              </w:tc>
              <w:tc>
                <w:tcPr>
                  <w:tcW w:w="1330" w:type="dxa"/>
                  <w:tcBorders>
                    <w:tl2br w:val="nil"/>
                    <w:tr2bl w:val="nil"/>
                  </w:tcBorders>
                  <w:vAlign w:val="top"/>
                </w:tcPr>
                <w:p w14:paraId="56FB4C6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kg/a</w:t>
                  </w:r>
                </w:p>
              </w:tc>
              <w:tc>
                <w:tcPr>
                  <w:tcW w:w="1941" w:type="dxa"/>
                  <w:tcBorders>
                    <w:tl2br w:val="nil"/>
                    <w:tr2bl w:val="nil"/>
                  </w:tcBorders>
                  <w:vAlign w:val="top"/>
                </w:tcPr>
                <w:p w14:paraId="0EB877B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top"/>
                </w:tcPr>
                <w:p w14:paraId="406F9119">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top"/>
                </w:tcPr>
                <w:p w14:paraId="3986494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top"/>
                </w:tcPr>
                <w:p w14:paraId="7FCA81D5">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固体</w:t>
                  </w:r>
                </w:p>
              </w:tc>
            </w:tr>
            <w:tr w14:paraId="01DCC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774" w:type="dxa"/>
                  <w:tcBorders>
                    <w:tl2br w:val="nil"/>
                    <w:tr2bl w:val="nil"/>
                  </w:tcBorders>
                  <w:vAlign w:val="top"/>
                </w:tcPr>
                <w:p w14:paraId="75F4E46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26</w:t>
                  </w:r>
                </w:p>
              </w:tc>
              <w:tc>
                <w:tcPr>
                  <w:tcW w:w="3103" w:type="dxa"/>
                  <w:tcBorders>
                    <w:tl2br w:val="nil"/>
                    <w:tr2bl w:val="nil"/>
                  </w:tcBorders>
                  <w:vAlign w:val="top"/>
                </w:tcPr>
                <w:p w14:paraId="3BF3509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HfO2</w:t>
                  </w:r>
                </w:p>
              </w:tc>
              <w:tc>
                <w:tcPr>
                  <w:tcW w:w="1330" w:type="dxa"/>
                  <w:tcBorders>
                    <w:tl2br w:val="nil"/>
                    <w:tr2bl w:val="nil"/>
                  </w:tcBorders>
                  <w:vAlign w:val="top"/>
                </w:tcPr>
                <w:p w14:paraId="1AAF85D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kg/a</w:t>
                  </w:r>
                </w:p>
              </w:tc>
              <w:tc>
                <w:tcPr>
                  <w:tcW w:w="1941" w:type="dxa"/>
                  <w:tcBorders>
                    <w:tl2br w:val="nil"/>
                    <w:tr2bl w:val="nil"/>
                  </w:tcBorders>
                  <w:vAlign w:val="top"/>
                </w:tcPr>
                <w:p w14:paraId="286F351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top"/>
                </w:tcPr>
                <w:p w14:paraId="03FC402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2" w:type="dxa"/>
                  <w:tcBorders>
                    <w:tl2br w:val="nil"/>
                    <w:tr2bl w:val="nil"/>
                  </w:tcBorders>
                  <w:vAlign w:val="top"/>
                </w:tcPr>
                <w:p w14:paraId="1C5BE4D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395" w:type="dxa"/>
                  <w:tcBorders>
                    <w:tl2br w:val="nil"/>
                    <w:tr2bl w:val="nil"/>
                  </w:tcBorders>
                  <w:vAlign w:val="top"/>
                </w:tcPr>
                <w:p w14:paraId="23B34499">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固体</w:t>
                  </w:r>
                </w:p>
              </w:tc>
            </w:tr>
            <w:tr w14:paraId="5CBB8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774" w:type="dxa"/>
                  <w:tcBorders>
                    <w:tl2br w:val="nil"/>
                    <w:tr2bl w:val="nil"/>
                  </w:tcBorders>
                  <w:vAlign w:val="top"/>
                </w:tcPr>
                <w:p w14:paraId="5814CB5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27</w:t>
                  </w:r>
                </w:p>
              </w:tc>
              <w:tc>
                <w:tcPr>
                  <w:tcW w:w="3103" w:type="dxa"/>
                  <w:tcBorders>
                    <w:tl2br w:val="nil"/>
                    <w:tr2bl w:val="nil"/>
                  </w:tcBorders>
                  <w:vAlign w:val="top"/>
                </w:tcPr>
                <w:p w14:paraId="6600098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MgF</w:t>
                  </w:r>
                  <w:r>
                    <w:rPr>
                      <w:rFonts w:hint="default" w:ascii="Times New Roman" w:hAnsi="Times New Roman" w:eastAsia="宋体" w:cs="Times New Roman"/>
                      <w:color w:val="000000" w:themeColor="text1"/>
                      <w:sz w:val="21"/>
                      <w:szCs w:val="21"/>
                      <w:highlight w:val="none"/>
                      <w:vertAlign w:val="subscript"/>
                      <w14:textFill>
                        <w14:solidFill>
                          <w14:schemeClr w14:val="tx1"/>
                        </w14:solidFill>
                      </w14:textFill>
                    </w:rPr>
                    <w:t>2</w:t>
                  </w:r>
                </w:p>
              </w:tc>
              <w:tc>
                <w:tcPr>
                  <w:tcW w:w="1330" w:type="dxa"/>
                  <w:tcBorders>
                    <w:tl2br w:val="nil"/>
                    <w:tr2bl w:val="nil"/>
                  </w:tcBorders>
                  <w:vAlign w:val="top"/>
                </w:tcPr>
                <w:p w14:paraId="12B4A12E">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kg/a</w:t>
                  </w:r>
                </w:p>
              </w:tc>
              <w:tc>
                <w:tcPr>
                  <w:tcW w:w="1941" w:type="dxa"/>
                  <w:tcBorders>
                    <w:tl2br w:val="nil"/>
                    <w:tr2bl w:val="nil"/>
                  </w:tcBorders>
                  <w:vAlign w:val="top"/>
                </w:tcPr>
                <w:p w14:paraId="2A0DAEEF">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top"/>
                </w:tcPr>
                <w:p w14:paraId="68A1565D">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2" w:type="dxa"/>
                  <w:tcBorders>
                    <w:tl2br w:val="nil"/>
                    <w:tr2bl w:val="nil"/>
                  </w:tcBorders>
                  <w:vAlign w:val="top"/>
                </w:tcPr>
                <w:p w14:paraId="23116E35">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395" w:type="dxa"/>
                  <w:tcBorders>
                    <w:tl2br w:val="nil"/>
                    <w:tr2bl w:val="nil"/>
                  </w:tcBorders>
                  <w:vAlign w:val="top"/>
                </w:tcPr>
                <w:p w14:paraId="3437413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固体</w:t>
                  </w:r>
                </w:p>
              </w:tc>
            </w:tr>
            <w:tr w14:paraId="0E805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774" w:type="dxa"/>
                  <w:tcBorders>
                    <w:tl2br w:val="nil"/>
                    <w:tr2bl w:val="nil"/>
                  </w:tcBorders>
                  <w:vAlign w:val="top"/>
                </w:tcPr>
                <w:p w14:paraId="6D6169C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28</w:t>
                  </w:r>
                </w:p>
              </w:tc>
              <w:tc>
                <w:tcPr>
                  <w:tcW w:w="3103" w:type="dxa"/>
                  <w:tcBorders>
                    <w:tl2br w:val="nil"/>
                    <w:tr2bl w:val="nil"/>
                  </w:tcBorders>
                  <w:vAlign w:val="top"/>
                </w:tcPr>
                <w:p w14:paraId="0337879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硫酸</w:t>
                  </w:r>
                </w:p>
              </w:tc>
              <w:tc>
                <w:tcPr>
                  <w:tcW w:w="1330" w:type="dxa"/>
                  <w:tcBorders>
                    <w:tl2br w:val="nil"/>
                    <w:tr2bl w:val="nil"/>
                  </w:tcBorders>
                  <w:vAlign w:val="top"/>
                </w:tcPr>
                <w:p w14:paraId="2F07038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1941" w:type="dxa"/>
                  <w:tcBorders>
                    <w:tl2br w:val="nil"/>
                    <w:tr2bl w:val="nil"/>
                  </w:tcBorders>
                  <w:vAlign w:val="top"/>
                </w:tcPr>
                <w:p w14:paraId="791F2636">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941" w:type="dxa"/>
                  <w:tcBorders>
                    <w:tl2br w:val="nil"/>
                    <w:tr2bl w:val="nil"/>
                  </w:tcBorders>
                  <w:vAlign w:val="top"/>
                </w:tcPr>
                <w:p w14:paraId="2B390B9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top"/>
                </w:tcPr>
                <w:p w14:paraId="21C1EFCE">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top"/>
                </w:tcPr>
                <w:p w14:paraId="2846EFA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液体</w:t>
                  </w:r>
                </w:p>
              </w:tc>
            </w:tr>
            <w:tr w14:paraId="5C30B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774" w:type="dxa"/>
                  <w:tcBorders>
                    <w:tl2br w:val="nil"/>
                    <w:tr2bl w:val="nil"/>
                  </w:tcBorders>
                  <w:vAlign w:val="top"/>
                </w:tcPr>
                <w:p w14:paraId="095F684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29</w:t>
                  </w:r>
                </w:p>
              </w:tc>
              <w:tc>
                <w:tcPr>
                  <w:tcW w:w="3103" w:type="dxa"/>
                  <w:tcBorders>
                    <w:tl2br w:val="nil"/>
                    <w:tr2bl w:val="nil"/>
                  </w:tcBorders>
                  <w:vAlign w:val="top"/>
                </w:tcPr>
                <w:p w14:paraId="1A2CD99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AZ光刻胶</w:t>
                  </w:r>
                </w:p>
              </w:tc>
              <w:tc>
                <w:tcPr>
                  <w:tcW w:w="1330" w:type="dxa"/>
                  <w:tcBorders>
                    <w:tl2br w:val="nil"/>
                    <w:tr2bl w:val="nil"/>
                  </w:tcBorders>
                  <w:vAlign w:val="top"/>
                </w:tcPr>
                <w:p w14:paraId="57C4232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L/a</w:t>
                  </w:r>
                </w:p>
              </w:tc>
              <w:tc>
                <w:tcPr>
                  <w:tcW w:w="1941" w:type="dxa"/>
                  <w:tcBorders>
                    <w:tl2br w:val="nil"/>
                    <w:tr2bl w:val="nil"/>
                  </w:tcBorders>
                  <w:vAlign w:val="top"/>
                </w:tcPr>
                <w:p w14:paraId="57C067A5">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top"/>
                </w:tcPr>
                <w:p w14:paraId="0B6ADA9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top"/>
                </w:tcPr>
                <w:p w14:paraId="3B8DA1E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top"/>
                </w:tcPr>
                <w:p w14:paraId="05C93A5D">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液体</w:t>
                  </w:r>
                </w:p>
              </w:tc>
            </w:tr>
            <w:tr w14:paraId="523EA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774" w:type="dxa"/>
                  <w:tcBorders>
                    <w:tl2br w:val="nil"/>
                    <w:tr2bl w:val="nil"/>
                  </w:tcBorders>
                  <w:vAlign w:val="top"/>
                </w:tcPr>
                <w:p w14:paraId="54951486">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30</w:t>
                  </w:r>
                </w:p>
              </w:tc>
              <w:tc>
                <w:tcPr>
                  <w:tcW w:w="3103" w:type="dxa"/>
                  <w:tcBorders>
                    <w:tl2br w:val="nil"/>
                    <w:tr2bl w:val="nil"/>
                  </w:tcBorders>
                  <w:vAlign w:val="top"/>
                </w:tcPr>
                <w:p w14:paraId="6BFD4A96">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基片</w:t>
                  </w:r>
                </w:p>
              </w:tc>
              <w:tc>
                <w:tcPr>
                  <w:tcW w:w="1330" w:type="dxa"/>
                  <w:tcBorders>
                    <w:tl2br w:val="nil"/>
                    <w:tr2bl w:val="nil"/>
                  </w:tcBorders>
                  <w:vAlign w:val="top"/>
                </w:tcPr>
                <w:p w14:paraId="221E65AC">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pcs/a</w:t>
                  </w:r>
                </w:p>
              </w:tc>
              <w:tc>
                <w:tcPr>
                  <w:tcW w:w="1941" w:type="dxa"/>
                  <w:tcBorders>
                    <w:tl2br w:val="nil"/>
                    <w:tr2bl w:val="nil"/>
                  </w:tcBorders>
                  <w:vAlign w:val="top"/>
                </w:tcPr>
                <w:p w14:paraId="0571057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top"/>
                </w:tcPr>
                <w:p w14:paraId="65445FE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top"/>
                </w:tcPr>
                <w:p w14:paraId="2A84093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395" w:type="dxa"/>
                  <w:tcBorders>
                    <w:tl2br w:val="nil"/>
                    <w:tr2bl w:val="nil"/>
                  </w:tcBorders>
                  <w:vAlign w:val="top"/>
                </w:tcPr>
                <w:p w14:paraId="78324C1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固体</w:t>
                  </w:r>
                </w:p>
              </w:tc>
            </w:tr>
            <w:tr w14:paraId="26C30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774" w:type="dxa"/>
                  <w:tcBorders>
                    <w:tl2br w:val="nil"/>
                    <w:tr2bl w:val="nil"/>
                  </w:tcBorders>
                  <w:vAlign w:val="center"/>
                </w:tcPr>
                <w:p w14:paraId="1E4E23CC">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31</w:t>
                  </w:r>
                </w:p>
              </w:tc>
              <w:tc>
                <w:tcPr>
                  <w:tcW w:w="3103" w:type="dxa"/>
                  <w:tcBorders>
                    <w:tl2br w:val="nil"/>
                    <w:tr2bl w:val="nil"/>
                  </w:tcBorders>
                  <w:vAlign w:val="center"/>
                </w:tcPr>
                <w:p w14:paraId="2EE4125E">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显影液2.38% 四甲基氢氧化铵显影液</w:t>
                  </w:r>
                </w:p>
              </w:tc>
              <w:tc>
                <w:tcPr>
                  <w:tcW w:w="1330" w:type="dxa"/>
                  <w:tcBorders>
                    <w:tl2br w:val="nil"/>
                    <w:tr2bl w:val="nil"/>
                  </w:tcBorders>
                  <w:vAlign w:val="center"/>
                </w:tcPr>
                <w:p w14:paraId="083BB8F1">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1941" w:type="dxa"/>
                  <w:tcBorders>
                    <w:tl2br w:val="nil"/>
                    <w:tr2bl w:val="nil"/>
                  </w:tcBorders>
                  <w:vAlign w:val="center"/>
                </w:tcPr>
                <w:p w14:paraId="0A4D1FEF">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center"/>
                </w:tcPr>
                <w:p w14:paraId="705ECED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center"/>
                </w:tcPr>
                <w:p w14:paraId="614989BF">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395" w:type="dxa"/>
                  <w:tcBorders>
                    <w:tl2br w:val="nil"/>
                    <w:tr2bl w:val="nil"/>
                  </w:tcBorders>
                  <w:vAlign w:val="center"/>
                </w:tcPr>
                <w:p w14:paraId="0BC2982C">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液体</w:t>
                  </w:r>
                </w:p>
              </w:tc>
            </w:tr>
            <w:tr w14:paraId="7F4E5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774" w:type="dxa"/>
                  <w:tcBorders>
                    <w:tl2br w:val="nil"/>
                    <w:tr2bl w:val="nil"/>
                  </w:tcBorders>
                  <w:vAlign w:val="center"/>
                </w:tcPr>
                <w:p w14:paraId="2CB5A19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32</w:t>
                  </w:r>
                </w:p>
              </w:tc>
              <w:tc>
                <w:tcPr>
                  <w:tcW w:w="3103" w:type="dxa"/>
                  <w:tcBorders>
                    <w:tl2br w:val="nil"/>
                    <w:tr2bl w:val="nil"/>
                  </w:tcBorders>
                  <w:vAlign w:val="center"/>
                </w:tcPr>
                <w:p w14:paraId="2AEC241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增粘剂六甲基二硅杂氮烷</w:t>
                  </w:r>
                </w:p>
              </w:tc>
              <w:tc>
                <w:tcPr>
                  <w:tcW w:w="1330" w:type="dxa"/>
                  <w:tcBorders>
                    <w:tl2br w:val="nil"/>
                    <w:tr2bl w:val="nil"/>
                  </w:tcBorders>
                  <w:vAlign w:val="center"/>
                </w:tcPr>
                <w:p w14:paraId="02DB80CE">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L/a</w:t>
                  </w:r>
                </w:p>
              </w:tc>
              <w:tc>
                <w:tcPr>
                  <w:tcW w:w="1941" w:type="dxa"/>
                  <w:tcBorders>
                    <w:tl2br w:val="nil"/>
                    <w:tr2bl w:val="nil"/>
                  </w:tcBorders>
                  <w:vAlign w:val="center"/>
                </w:tcPr>
                <w:p w14:paraId="3F1AF88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center"/>
                </w:tcPr>
                <w:p w14:paraId="2CE367B5">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center"/>
                </w:tcPr>
                <w:p w14:paraId="0C9B353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center"/>
                </w:tcPr>
                <w:p w14:paraId="21BBA659">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液体</w:t>
                  </w:r>
                </w:p>
              </w:tc>
            </w:tr>
            <w:tr w14:paraId="3D41A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774" w:type="dxa"/>
                  <w:tcBorders>
                    <w:tl2br w:val="nil"/>
                    <w:tr2bl w:val="nil"/>
                  </w:tcBorders>
                  <w:vAlign w:val="center"/>
                </w:tcPr>
                <w:p w14:paraId="1625EF58">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33</w:t>
                  </w:r>
                </w:p>
              </w:tc>
              <w:tc>
                <w:tcPr>
                  <w:tcW w:w="3103" w:type="dxa"/>
                  <w:tcBorders>
                    <w:tl2br w:val="nil"/>
                    <w:tr2bl w:val="nil"/>
                  </w:tcBorders>
                  <w:vAlign w:val="center"/>
                </w:tcPr>
                <w:p w14:paraId="6F66549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稀释剂1-2-丙二醇甲醚醋酸酯</w:t>
                  </w:r>
                </w:p>
              </w:tc>
              <w:tc>
                <w:tcPr>
                  <w:tcW w:w="1330" w:type="dxa"/>
                  <w:tcBorders>
                    <w:tl2br w:val="nil"/>
                    <w:tr2bl w:val="nil"/>
                  </w:tcBorders>
                  <w:vAlign w:val="center"/>
                </w:tcPr>
                <w:p w14:paraId="000016B8">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L/a</w:t>
                  </w:r>
                </w:p>
              </w:tc>
              <w:tc>
                <w:tcPr>
                  <w:tcW w:w="1941" w:type="dxa"/>
                  <w:tcBorders>
                    <w:tl2br w:val="nil"/>
                    <w:tr2bl w:val="nil"/>
                  </w:tcBorders>
                  <w:vAlign w:val="center"/>
                </w:tcPr>
                <w:p w14:paraId="7BBE8BF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941" w:type="dxa"/>
                  <w:tcBorders>
                    <w:tl2br w:val="nil"/>
                    <w:tr2bl w:val="nil"/>
                  </w:tcBorders>
                  <w:vAlign w:val="center"/>
                </w:tcPr>
                <w:p w14:paraId="0CB8EBEC">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center"/>
                </w:tcPr>
                <w:p w14:paraId="225B862C">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center"/>
                </w:tcPr>
                <w:p w14:paraId="4F62EFC9">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液体</w:t>
                  </w:r>
                </w:p>
              </w:tc>
            </w:tr>
            <w:tr w14:paraId="5FD17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774" w:type="dxa"/>
                  <w:tcBorders>
                    <w:tl2br w:val="nil"/>
                    <w:tr2bl w:val="nil"/>
                  </w:tcBorders>
                  <w:vAlign w:val="center"/>
                </w:tcPr>
                <w:p w14:paraId="23666A39">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34</w:t>
                  </w:r>
                </w:p>
              </w:tc>
              <w:tc>
                <w:tcPr>
                  <w:tcW w:w="3103" w:type="dxa"/>
                  <w:tcBorders>
                    <w:tl2br w:val="nil"/>
                    <w:tr2bl w:val="nil"/>
                  </w:tcBorders>
                  <w:vAlign w:val="center"/>
                </w:tcPr>
                <w:p w14:paraId="5A9F884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氮气</w:t>
                  </w:r>
                </w:p>
              </w:tc>
              <w:tc>
                <w:tcPr>
                  <w:tcW w:w="1330" w:type="dxa"/>
                  <w:tcBorders>
                    <w:tl2br w:val="nil"/>
                    <w:tr2bl w:val="nil"/>
                  </w:tcBorders>
                  <w:vAlign w:val="center"/>
                </w:tcPr>
                <w:p w14:paraId="58AC42DD">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L/a</w:t>
                  </w:r>
                </w:p>
              </w:tc>
              <w:tc>
                <w:tcPr>
                  <w:tcW w:w="1941" w:type="dxa"/>
                  <w:tcBorders>
                    <w:tl2br w:val="nil"/>
                    <w:tr2bl w:val="nil"/>
                  </w:tcBorders>
                  <w:vAlign w:val="center"/>
                </w:tcPr>
                <w:p w14:paraId="05EEE288">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941" w:type="dxa"/>
                  <w:tcBorders>
                    <w:tl2br w:val="nil"/>
                    <w:tr2bl w:val="nil"/>
                  </w:tcBorders>
                  <w:vAlign w:val="center"/>
                </w:tcPr>
                <w:p w14:paraId="38715B9D">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center"/>
                </w:tcPr>
                <w:p w14:paraId="4C8AAD6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center"/>
                </w:tcPr>
                <w:p w14:paraId="4D1D94C5">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气体</w:t>
                  </w:r>
                </w:p>
              </w:tc>
            </w:tr>
            <w:tr w14:paraId="137EB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774" w:type="dxa"/>
                  <w:tcBorders>
                    <w:tl2br w:val="nil"/>
                    <w:tr2bl w:val="nil"/>
                  </w:tcBorders>
                  <w:vAlign w:val="center"/>
                </w:tcPr>
                <w:p w14:paraId="6FB54FF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35</w:t>
                  </w:r>
                </w:p>
              </w:tc>
              <w:tc>
                <w:tcPr>
                  <w:tcW w:w="3103" w:type="dxa"/>
                  <w:tcBorders>
                    <w:tl2br w:val="nil"/>
                    <w:tr2bl w:val="nil"/>
                  </w:tcBorders>
                  <w:vAlign w:val="center"/>
                </w:tcPr>
                <w:p w14:paraId="247CD09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氩气</w:t>
                  </w:r>
                </w:p>
              </w:tc>
              <w:tc>
                <w:tcPr>
                  <w:tcW w:w="1330" w:type="dxa"/>
                  <w:tcBorders>
                    <w:tl2br w:val="nil"/>
                    <w:tr2bl w:val="nil"/>
                  </w:tcBorders>
                  <w:vAlign w:val="center"/>
                </w:tcPr>
                <w:p w14:paraId="03F25C7F">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L/a</w:t>
                  </w:r>
                </w:p>
              </w:tc>
              <w:tc>
                <w:tcPr>
                  <w:tcW w:w="1941" w:type="dxa"/>
                  <w:tcBorders>
                    <w:tl2br w:val="nil"/>
                    <w:tr2bl w:val="nil"/>
                  </w:tcBorders>
                  <w:vAlign w:val="center"/>
                </w:tcPr>
                <w:p w14:paraId="1B5F411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941" w:type="dxa"/>
                  <w:tcBorders>
                    <w:tl2br w:val="nil"/>
                    <w:tr2bl w:val="nil"/>
                  </w:tcBorders>
                  <w:vAlign w:val="center"/>
                </w:tcPr>
                <w:p w14:paraId="6401D9F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center"/>
                </w:tcPr>
                <w:p w14:paraId="7ED81F1C">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center"/>
                </w:tcPr>
                <w:p w14:paraId="0C79002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气体</w:t>
                  </w:r>
                </w:p>
              </w:tc>
            </w:tr>
            <w:tr w14:paraId="590A7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774" w:type="dxa"/>
                  <w:tcBorders>
                    <w:tl2br w:val="nil"/>
                    <w:tr2bl w:val="nil"/>
                  </w:tcBorders>
                  <w:vAlign w:val="center"/>
                </w:tcPr>
                <w:p w14:paraId="63E2103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36</w:t>
                  </w:r>
                </w:p>
              </w:tc>
              <w:tc>
                <w:tcPr>
                  <w:tcW w:w="3103" w:type="dxa"/>
                  <w:tcBorders>
                    <w:tl2br w:val="nil"/>
                    <w:tr2bl w:val="nil"/>
                  </w:tcBorders>
                  <w:vAlign w:val="center"/>
                </w:tcPr>
                <w:p w14:paraId="239D5F89">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氧气</w:t>
                  </w:r>
                </w:p>
              </w:tc>
              <w:tc>
                <w:tcPr>
                  <w:tcW w:w="1330" w:type="dxa"/>
                  <w:tcBorders>
                    <w:tl2br w:val="nil"/>
                    <w:tr2bl w:val="nil"/>
                  </w:tcBorders>
                  <w:vAlign w:val="center"/>
                </w:tcPr>
                <w:p w14:paraId="2B6C712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L/a</w:t>
                  </w:r>
                </w:p>
              </w:tc>
              <w:tc>
                <w:tcPr>
                  <w:tcW w:w="1941" w:type="dxa"/>
                  <w:tcBorders>
                    <w:tl2br w:val="nil"/>
                    <w:tr2bl w:val="nil"/>
                  </w:tcBorders>
                  <w:vAlign w:val="center"/>
                </w:tcPr>
                <w:p w14:paraId="0E75E82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941" w:type="dxa"/>
                  <w:tcBorders>
                    <w:tl2br w:val="nil"/>
                    <w:tr2bl w:val="nil"/>
                  </w:tcBorders>
                  <w:vAlign w:val="center"/>
                </w:tcPr>
                <w:p w14:paraId="1939444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center"/>
                </w:tcPr>
                <w:p w14:paraId="5329C40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center"/>
                </w:tcPr>
                <w:p w14:paraId="00BE2B3C">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气体</w:t>
                  </w:r>
                </w:p>
              </w:tc>
            </w:tr>
            <w:tr w14:paraId="5E48D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774" w:type="dxa"/>
                  <w:tcBorders>
                    <w:tl2br w:val="nil"/>
                    <w:tr2bl w:val="nil"/>
                  </w:tcBorders>
                  <w:vAlign w:val="center"/>
                </w:tcPr>
                <w:p w14:paraId="166037E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37</w:t>
                  </w:r>
                </w:p>
              </w:tc>
              <w:tc>
                <w:tcPr>
                  <w:tcW w:w="3103" w:type="dxa"/>
                  <w:tcBorders>
                    <w:tl2br w:val="nil"/>
                    <w:tr2bl w:val="nil"/>
                  </w:tcBorders>
                  <w:vAlign w:val="center"/>
                </w:tcPr>
                <w:p w14:paraId="6D234DD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清洁胶</w:t>
                  </w:r>
                </w:p>
              </w:tc>
              <w:tc>
                <w:tcPr>
                  <w:tcW w:w="1330" w:type="dxa"/>
                  <w:tcBorders>
                    <w:tl2br w:val="nil"/>
                    <w:tr2bl w:val="nil"/>
                  </w:tcBorders>
                  <w:vAlign w:val="center"/>
                </w:tcPr>
                <w:p w14:paraId="0F73A49D">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L/a</w:t>
                  </w:r>
                </w:p>
              </w:tc>
              <w:tc>
                <w:tcPr>
                  <w:tcW w:w="1941" w:type="dxa"/>
                  <w:tcBorders>
                    <w:tl2br w:val="nil"/>
                    <w:tr2bl w:val="nil"/>
                  </w:tcBorders>
                  <w:vAlign w:val="center"/>
                </w:tcPr>
                <w:p w14:paraId="2F94A32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941" w:type="dxa"/>
                  <w:tcBorders>
                    <w:tl2br w:val="nil"/>
                    <w:tr2bl w:val="nil"/>
                  </w:tcBorders>
                  <w:vAlign w:val="center"/>
                </w:tcPr>
                <w:p w14:paraId="561B75A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center"/>
                </w:tcPr>
                <w:p w14:paraId="7E88DB48">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center"/>
                </w:tcPr>
                <w:p w14:paraId="62D364C9">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液体</w:t>
                  </w:r>
                </w:p>
              </w:tc>
            </w:tr>
            <w:tr w14:paraId="2FC52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774" w:type="dxa"/>
                  <w:tcBorders>
                    <w:tl2br w:val="nil"/>
                    <w:tr2bl w:val="nil"/>
                  </w:tcBorders>
                  <w:vAlign w:val="center"/>
                </w:tcPr>
                <w:p w14:paraId="5492D65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38</w:t>
                  </w:r>
                </w:p>
              </w:tc>
              <w:tc>
                <w:tcPr>
                  <w:tcW w:w="3103" w:type="dxa"/>
                  <w:tcBorders>
                    <w:tl2br w:val="nil"/>
                    <w:tr2bl w:val="nil"/>
                  </w:tcBorders>
                  <w:vAlign w:val="center"/>
                </w:tcPr>
                <w:p w14:paraId="1CBC283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100%</w:t>
                  </w:r>
                  <w:r>
                    <w:rPr>
                      <w:rFonts w:hint="default" w:ascii="Times New Roman" w:hAnsi="Times New Roman" w:eastAsia="宋体" w:cs="Times New Roman"/>
                      <w:color w:val="000000" w:themeColor="text1"/>
                      <w:sz w:val="21"/>
                      <w:szCs w:val="21"/>
                      <w:highlight w:val="none"/>
                      <w14:textFill>
                        <w14:solidFill>
                          <w14:schemeClr w14:val="tx1"/>
                        </w14:solidFill>
                      </w14:textFill>
                    </w:rPr>
                    <w:t>N-甲基吡咯烷酮</w:t>
                  </w:r>
                </w:p>
              </w:tc>
              <w:tc>
                <w:tcPr>
                  <w:tcW w:w="1330" w:type="dxa"/>
                  <w:tcBorders>
                    <w:tl2br w:val="nil"/>
                    <w:tr2bl w:val="nil"/>
                  </w:tcBorders>
                  <w:vAlign w:val="center"/>
                </w:tcPr>
                <w:p w14:paraId="21B2F59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L/a</w:t>
                  </w:r>
                </w:p>
              </w:tc>
              <w:tc>
                <w:tcPr>
                  <w:tcW w:w="1941" w:type="dxa"/>
                  <w:tcBorders>
                    <w:tl2br w:val="nil"/>
                    <w:tr2bl w:val="nil"/>
                  </w:tcBorders>
                  <w:vAlign w:val="center"/>
                </w:tcPr>
                <w:p w14:paraId="1E15531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941" w:type="dxa"/>
                  <w:tcBorders>
                    <w:tl2br w:val="nil"/>
                    <w:tr2bl w:val="nil"/>
                  </w:tcBorders>
                  <w:vAlign w:val="center"/>
                </w:tcPr>
                <w:p w14:paraId="4CC52E6F">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center"/>
                </w:tcPr>
                <w:p w14:paraId="3735F259">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center"/>
                </w:tcPr>
                <w:p w14:paraId="38F58AB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液体</w:t>
                  </w:r>
                </w:p>
              </w:tc>
            </w:tr>
            <w:tr w14:paraId="76C63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774" w:type="dxa"/>
                  <w:tcBorders>
                    <w:tl2br w:val="nil"/>
                    <w:tr2bl w:val="nil"/>
                  </w:tcBorders>
                  <w:vAlign w:val="center"/>
                </w:tcPr>
                <w:p w14:paraId="7195E1A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39</w:t>
                  </w:r>
                </w:p>
              </w:tc>
              <w:tc>
                <w:tcPr>
                  <w:tcW w:w="3103" w:type="dxa"/>
                  <w:tcBorders>
                    <w:tl2br w:val="nil"/>
                    <w:tr2bl w:val="nil"/>
                  </w:tcBorders>
                  <w:vAlign w:val="center"/>
                </w:tcPr>
                <w:p w14:paraId="7459D2F1">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10%</w:t>
                  </w:r>
                  <w:r>
                    <w:rPr>
                      <w:rFonts w:hint="default" w:ascii="Times New Roman" w:hAnsi="Times New Roman" w:eastAsia="宋体" w:cs="Times New Roman"/>
                      <w:color w:val="000000" w:themeColor="text1"/>
                      <w:sz w:val="21"/>
                      <w:szCs w:val="21"/>
                      <w:highlight w:val="none"/>
                      <w14:textFill>
                        <w14:solidFill>
                          <w14:schemeClr w14:val="tx1"/>
                        </w14:solidFill>
                      </w14:textFill>
                    </w:rPr>
                    <w:t>氢氟酸</w:t>
                  </w:r>
                </w:p>
              </w:tc>
              <w:tc>
                <w:tcPr>
                  <w:tcW w:w="1330" w:type="dxa"/>
                  <w:tcBorders>
                    <w:tl2br w:val="nil"/>
                    <w:tr2bl w:val="nil"/>
                  </w:tcBorders>
                  <w:vAlign w:val="center"/>
                </w:tcPr>
                <w:p w14:paraId="7C05F665">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L/a</w:t>
                  </w:r>
                </w:p>
              </w:tc>
              <w:tc>
                <w:tcPr>
                  <w:tcW w:w="1941" w:type="dxa"/>
                  <w:tcBorders>
                    <w:tl2br w:val="nil"/>
                    <w:tr2bl w:val="nil"/>
                  </w:tcBorders>
                  <w:vAlign w:val="center"/>
                </w:tcPr>
                <w:p w14:paraId="2E03BB78">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941" w:type="dxa"/>
                  <w:tcBorders>
                    <w:tl2br w:val="nil"/>
                    <w:tr2bl w:val="nil"/>
                  </w:tcBorders>
                  <w:vAlign w:val="center"/>
                </w:tcPr>
                <w:p w14:paraId="7C0A214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center"/>
                </w:tcPr>
                <w:p w14:paraId="3B4E3B0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center"/>
                </w:tcPr>
                <w:p w14:paraId="2AFCB5E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液体</w:t>
                  </w:r>
                </w:p>
              </w:tc>
            </w:tr>
            <w:tr w14:paraId="65A58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774" w:type="dxa"/>
                  <w:tcBorders>
                    <w:tl2br w:val="nil"/>
                    <w:tr2bl w:val="nil"/>
                  </w:tcBorders>
                  <w:vAlign w:val="center"/>
                </w:tcPr>
                <w:p w14:paraId="30BDA3BF">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40</w:t>
                  </w:r>
                </w:p>
              </w:tc>
              <w:tc>
                <w:tcPr>
                  <w:tcW w:w="3103" w:type="dxa"/>
                  <w:tcBorders>
                    <w:tl2br w:val="nil"/>
                    <w:tr2bl w:val="nil"/>
                  </w:tcBorders>
                  <w:vAlign w:val="center"/>
                </w:tcPr>
                <w:p w14:paraId="0730FC3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100%</w:t>
                  </w:r>
                  <w:r>
                    <w:rPr>
                      <w:rFonts w:hint="default" w:ascii="Times New Roman" w:hAnsi="Times New Roman" w:eastAsia="宋体" w:cs="Times New Roman"/>
                      <w:color w:val="000000" w:themeColor="text1"/>
                      <w:sz w:val="21"/>
                      <w:szCs w:val="21"/>
                      <w:highlight w:val="none"/>
                      <w14:textFill>
                        <w14:solidFill>
                          <w14:schemeClr w14:val="tx1"/>
                        </w14:solidFill>
                      </w14:textFill>
                    </w:rPr>
                    <w:t>硝酸铈铵</w:t>
                  </w:r>
                </w:p>
              </w:tc>
              <w:tc>
                <w:tcPr>
                  <w:tcW w:w="1330" w:type="dxa"/>
                  <w:tcBorders>
                    <w:tl2br w:val="nil"/>
                    <w:tr2bl w:val="nil"/>
                  </w:tcBorders>
                  <w:vAlign w:val="center"/>
                </w:tcPr>
                <w:p w14:paraId="0A0B9A9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1941" w:type="dxa"/>
                  <w:tcBorders>
                    <w:tl2br w:val="nil"/>
                    <w:tr2bl w:val="nil"/>
                  </w:tcBorders>
                  <w:vAlign w:val="center"/>
                </w:tcPr>
                <w:p w14:paraId="0467163C">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941" w:type="dxa"/>
                  <w:tcBorders>
                    <w:tl2br w:val="nil"/>
                    <w:tr2bl w:val="nil"/>
                  </w:tcBorders>
                  <w:vAlign w:val="center"/>
                </w:tcPr>
                <w:p w14:paraId="62E31F39">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center"/>
                </w:tcPr>
                <w:p w14:paraId="1D55123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center"/>
                </w:tcPr>
                <w:p w14:paraId="2C2C2876">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固体</w:t>
                  </w:r>
                </w:p>
              </w:tc>
            </w:tr>
            <w:tr w14:paraId="4543B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774" w:type="dxa"/>
                  <w:tcBorders>
                    <w:tl2br w:val="nil"/>
                    <w:tr2bl w:val="nil"/>
                  </w:tcBorders>
                  <w:vAlign w:val="center"/>
                </w:tcPr>
                <w:p w14:paraId="686EBDE9">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41</w:t>
                  </w:r>
                </w:p>
              </w:tc>
              <w:tc>
                <w:tcPr>
                  <w:tcW w:w="3103" w:type="dxa"/>
                  <w:tcBorders>
                    <w:tl2br w:val="nil"/>
                    <w:tr2bl w:val="nil"/>
                  </w:tcBorders>
                  <w:vAlign w:val="center"/>
                </w:tcPr>
                <w:p w14:paraId="663F7781">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68%硝酸</w:t>
                  </w:r>
                </w:p>
              </w:tc>
              <w:tc>
                <w:tcPr>
                  <w:tcW w:w="1330" w:type="dxa"/>
                  <w:tcBorders>
                    <w:tl2br w:val="nil"/>
                    <w:tr2bl w:val="nil"/>
                  </w:tcBorders>
                  <w:vAlign w:val="center"/>
                </w:tcPr>
                <w:p w14:paraId="7F862DD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L/a</w:t>
                  </w:r>
                </w:p>
              </w:tc>
              <w:tc>
                <w:tcPr>
                  <w:tcW w:w="1941" w:type="dxa"/>
                  <w:tcBorders>
                    <w:tl2br w:val="nil"/>
                    <w:tr2bl w:val="nil"/>
                  </w:tcBorders>
                  <w:vAlign w:val="center"/>
                </w:tcPr>
                <w:p w14:paraId="6DB2432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941" w:type="dxa"/>
                  <w:tcBorders>
                    <w:tl2br w:val="nil"/>
                    <w:tr2bl w:val="nil"/>
                  </w:tcBorders>
                  <w:vAlign w:val="center"/>
                </w:tcPr>
                <w:p w14:paraId="759CABA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center"/>
                </w:tcPr>
                <w:p w14:paraId="707CAB86">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center"/>
                </w:tcPr>
                <w:p w14:paraId="3A417A5C">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液体</w:t>
                  </w:r>
                </w:p>
              </w:tc>
            </w:tr>
            <w:tr w14:paraId="5ADBF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774" w:type="dxa"/>
                  <w:tcBorders>
                    <w:tl2br w:val="nil"/>
                    <w:tr2bl w:val="nil"/>
                  </w:tcBorders>
                  <w:vAlign w:val="center"/>
                </w:tcPr>
                <w:p w14:paraId="2AF6EDB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42</w:t>
                  </w:r>
                </w:p>
              </w:tc>
              <w:tc>
                <w:tcPr>
                  <w:tcW w:w="3103" w:type="dxa"/>
                  <w:tcBorders>
                    <w:tl2br w:val="nil"/>
                    <w:tr2bl w:val="nil"/>
                  </w:tcBorders>
                  <w:vAlign w:val="center"/>
                </w:tcPr>
                <w:p w14:paraId="30538A1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100%冰乙酸</w:t>
                  </w:r>
                </w:p>
              </w:tc>
              <w:tc>
                <w:tcPr>
                  <w:tcW w:w="1330" w:type="dxa"/>
                  <w:tcBorders>
                    <w:tl2br w:val="nil"/>
                    <w:tr2bl w:val="nil"/>
                  </w:tcBorders>
                  <w:vAlign w:val="center"/>
                </w:tcPr>
                <w:p w14:paraId="49D34359">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L/a</w:t>
                  </w:r>
                </w:p>
              </w:tc>
              <w:tc>
                <w:tcPr>
                  <w:tcW w:w="1941" w:type="dxa"/>
                  <w:tcBorders>
                    <w:tl2br w:val="nil"/>
                    <w:tr2bl w:val="nil"/>
                  </w:tcBorders>
                  <w:vAlign w:val="center"/>
                </w:tcPr>
                <w:p w14:paraId="0CECABA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941" w:type="dxa"/>
                  <w:tcBorders>
                    <w:tl2br w:val="nil"/>
                    <w:tr2bl w:val="nil"/>
                  </w:tcBorders>
                  <w:vAlign w:val="center"/>
                </w:tcPr>
                <w:p w14:paraId="1356021F">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center"/>
                </w:tcPr>
                <w:p w14:paraId="332199F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center"/>
                </w:tcPr>
                <w:p w14:paraId="0C2D2A8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液体</w:t>
                  </w:r>
                </w:p>
              </w:tc>
            </w:tr>
            <w:tr w14:paraId="79FA9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774" w:type="dxa"/>
                  <w:tcBorders>
                    <w:tl2br w:val="nil"/>
                    <w:tr2bl w:val="nil"/>
                  </w:tcBorders>
                  <w:vAlign w:val="center"/>
                </w:tcPr>
                <w:p w14:paraId="794AE591">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43</w:t>
                  </w:r>
                </w:p>
              </w:tc>
              <w:tc>
                <w:tcPr>
                  <w:tcW w:w="3103" w:type="dxa"/>
                  <w:tcBorders>
                    <w:tl2br w:val="nil"/>
                    <w:tr2bl w:val="nil"/>
                  </w:tcBorders>
                  <w:vAlign w:val="center"/>
                </w:tcPr>
                <w:p w14:paraId="7149D2F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85%磷酸</w:t>
                  </w:r>
                </w:p>
              </w:tc>
              <w:tc>
                <w:tcPr>
                  <w:tcW w:w="1330" w:type="dxa"/>
                  <w:tcBorders>
                    <w:tl2br w:val="nil"/>
                    <w:tr2bl w:val="nil"/>
                  </w:tcBorders>
                  <w:vAlign w:val="center"/>
                </w:tcPr>
                <w:p w14:paraId="421D1BB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L/a</w:t>
                  </w:r>
                </w:p>
              </w:tc>
              <w:tc>
                <w:tcPr>
                  <w:tcW w:w="1941" w:type="dxa"/>
                  <w:tcBorders>
                    <w:tl2br w:val="nil"/>
                    <w:tr2bl w:val="nil"/>
                  </w:tcBorders>
                  <w:vAlign w:val="center"/>
                </w:tcPr>
                <w:p w14:paraId="58FE87A6">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941" w:type="dxa"/>
                  <w:tcBorders>
                    <w:tl2br w:val="nil"/>
                    <w:tr2bl w:val="nil"/>
                  </w:tcBorders>
                  <w:vAlign w:val="center"/>
                </w:tcPr>
                <w:p w14:paraId="18E425ED">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center"/>
                </w:tcPr>
                <w:p w14:paraId="50F4D67D">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center"/>
                </w:tcPr>
                <w:p w14:paraId="28A95551">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液体</w:t>
                  </w:r>
                </w:p>
              </w:tc>
            </w:tr>
            <w:tr w14:paraId="20804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774" w:type="dxa"/>
                  <w:tcBorders>
                    <w:tl2br w:val="nil"/>
                    <w:tr2bl w:val="nil"/>
                  </w:tcBorders>
                  <w:vAlign w:val="center"/>
                </w:tcPr>
                <w:p w14:paraId="73509BE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44</w:t>
                  </w:r>
                </w:p>
              </w:tc>
              <w:tc>
                <w:tcPr>
                  <w:tcW w:w="3103" w:type="dxa"/>
                  <w:tcBorders>
                    <w:tl2br w:val="nil"/>
                    <w:tr2bl w:val="nil"/>
                  </w:tcBorders>
                  <w:vAlign w:val="center"/>
                </w:tcPr>
                <w:p w14:paraId="5850F678">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100%氟化铵</w:t>
                  </w:r>
                </w:p>
              </w:tc>
              <w:tc>
                <w:tcPr>
                  <w:tcW w:w="1330" w:type="dxa"/>
                  <w:tcBorders>
                    <w:tl2br w:val="nil"/>
                    <w:tr2bl w:val="nil"/>
                  </w:tcBorders>
                  <w:vAlign w:val="center"/>
                </w:tcPr>
                <w:p w14:paraId="385B58F5">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kg/a</w:t>
                  </w:r>
                </w:p>
              </w:tc>
              <w:tc>
                <w:tcPr>
                  <w:tcW w:w="1941" w:type="dxa"/>
                  <w:tcBorders>
                    <w:tl2br w:val="nil"/>
                    <w:tr2bl w:val="nil"/>
                  </w:tcBorders>
                  <w:vAlign w:val="center"/>
                </w:tcPr>
                <w:p w14:paraId="0FF7CB01">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941" w:type="dxa"/>
                  <w:tcBorders>
                    <w:tl2br w:val="nil"/>
                    <w:tr2bl w:val="nil"/>
                  </w:tcBorders>
                  <w:vAlign w:val="center"/>
                </w:tcPr>
                <w:p w14:paraId="28E9D5BF">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center"/>
                </w:tcPr>
                <w:p w14:paraId="3748E16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center"/>
                </w:tcPr>
                <w:p w14:paraId="35C7A27C">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固体</w:t>
                  </w:r>
                </w:p>
              </w:tc>
            </w:tr>
            <w:tr w14:paraId="17CDF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774" w:type="dxa"/>
                  <w:tcBorders>
                    <w:tl2br w:val="nil"/>
                    <w:tr2bl w:val="nil"/>
                  </w:tcBorders>
                  <w:vAlign w:val="center"/>
                </w:tcPr>
                <w:p w14:paraId="67528CA1">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45</w:t>
                  </w:r>
                </w:p>
              </w:tc>
              <w:tc>
                <w:tcPr>
                  <w:tcW w:w="3103" w:type="dxa"/>
                  <w:tcBorders>
                    <w:tl2br w:val="nil"/>
                    <w:tr2bl w:val="nil"/>
                  </w:tcBorders>
                  <w:vAlign w:val="center"/>
                </w:tcPr>
                <w:p w14:paraId="2D4280FC">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37%盐酸</w:t>
                  </w:r>
                </w:p>
              </w:tc>
              <w:tc>
                <w:tcPr>
                  <w:tcW w:w="1330" w:type="dxa"/>
                  <w:tcBorders>
                    <w:tl2br w:val="nil"/>
                    <w:tr2bl w:val="nil"/>
                  </w:tcBorders>
                  <w:vAlign w:val="center"/>
                </w:tcPr>
                <w:p w14:paraId="64235F5E">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L/a</w:t>
                  </w:r>
                </w:p>
              </w:tc>
              <w:tc>
                <w:tcPr>
                  <w:tcW w:w="1941" w:type="dxa"/>
                  <w:tcBorders>
                    <w:tl2br w:val="nil"/>
                    <w:tr2bl w:val="nil"/>
                  </w:tcBorders>
                  <w:vAlign w:val="center"/>
                </w:tcPr>
                <w:p w14:paraId="1D68ACB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941" w:type="dxa"/>
                  <w:tcBorders>
                    <w:tl2br w:val="nil"/>
                    <w:tr2bl w:val="nil"/>
                  </w:tcBorders>
                  <w:vAlign w:val="center"/>
                </w:tcPr>
                <w:p w14:paraId="758653DD">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center"/>
                </w:tcPr>
                <w:p w14:paraId="56BD489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center"/>
                </w:tcPr>
                <w:p w14:paraId="7CACFC0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液体</w:t>
                  </w:r>
                </w:p>
              </w:tc>
            </w:tr>
            <w:tr w14:paraId="206ED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13426" w:type="dxa"/>
                  <w:gridSpan w:val="7"/>
                  <w:tcBorders>
                    <w:tl2br w:val="nil"/>
                    <w:tr2bl w:val="nil"/>
                  </w:tcBorders>
                  <w:vAlign w:val="center"/>
                </w:tcPr>
                <w:p w14:paraId="1F037E11">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二、能源消耗</w:t>
                  </w:r>
                </w:p>
              </w:tc>
            </w:tr>
            <w:tr w14:paraId="1DB59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774" w:type="dxa"/>
                  <w:tcBorders>
                    <w:tl2br w:val="nil"/>
                    <w:tr2bl w:val="nil"/>
                  </w:tcBorders>
                  <w:vAlign w:val="top"/>
                </w:tcPr>
                <w:p w14:paraId="24CBD06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3103" w:type="dxa"/>
                  <w:tcBorders>
                    <w:tl2br w:val="nil"/>
                    <w:tr2bl w:val="nil"/>
                  </w:tcBorders>
                  <w:vAlign w:val="top"/>
                </w:tcPr>
                <w:p w14:paraId="669DF67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水</w:t>
                  </w:r>
                </w:p>
              </w:tc>
              <w:tc>
                <w:tcPr>
                  <w:tcW w:w="1330" w:type="dxa"/>
                  <w:tcBorders>
                    <w:tl2br w:val="nil"/>
                    <w:tr2bl w:val="nil"/>
                  </w:tcBorders>
                  <w:vAlign w:val="top"/>
                </w:tcPr>
                <w:p w14:paraId="4DECB4A9">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吨/年</w:t>
                  </w:r>
                </w:p>
              </w:tc>
              <w:tc>
                <w:tcPr>
                  <w:tcW w:w="1941" w:type="dxa"/>
                  <w:tcBorders>
                    <w:tl2br w:val="nil"/>
                    <w:tr2bl w:val="nil"/>
                  </w:tcBorders>
                  <w:vAlign w:val="top"/>
                </w:tcPr>
                <w:p w14:paraId="78CB8B2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top"/>
                </w:tcPr>
                <w:p w14:paraId="1862711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942" w:type="dxa"/>
                  <w:tcBorders>
                    <w:tl2br w:val="nil"/>
                    <w:tr2bl w:val="nil"/>
                  </w:tcBorders>
                  <w:vAlign w:val="top"/>
                </w:tcPr>
                <w:p w14:paraId="287E4D01">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2395" w:type="dxa"/>
                  <w:tcBorders>
                    <w:tl2br w:val="nil"/>
                    <w:tr2bl w:val="nil"/>
                  </w:tcBorders>
                  <w:vAlign w:val="top"/>
                </w:tcPr>
                <w:p w14:paraId="280F43F8">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w:t>
                  </w:r>
                </w:p>
              </w:tc>
            </w:tr>
            <w:tr w14:paraId="1EE68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774" w:type="dxa"/>
                  <w:tcBorders>
                    <w:tl2br w:val="nil"/>
                    <w:tr2bl w:val="nil"/>
                  </w:tcBorders>
                  <w:vAlign w:val="top"/>
                </w:tcPr>
                <w:p w14:paraId="3F51523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w:t>
                  </w:r>
                </w:p>
              </w:tc>
              <w:tc>
                <w:tcPr>
                  <w:tcW w:w="3103" w:type="dxa"/>
                  <w:tcBorders>
                    <w:tl2br w:val="nil"/>
                    <w:tr2bl w:val="nil"/>
                  </w:tcBorders>
                  <w:vAlign w:val="top"/>
                </w:tcPr>
                <w:p w14:paraId="573E6E08">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w:t>
                  </w:r>
                </w:p>
              </w:tc>
              <w:tc>
                <w:tcPr>
                  <w:tcW w:w="1330" w:type="dxa"/>
                  <w:tcBorders>
                    <w:tl2br w:val="nil"/>
                    <w:tr2bl w:val="nil"/>
                  </w:tcBorders>
                  <w:vAlign w:val="top"/>
                </w:tcPr>
                <w:p w14:paraId="071DCF6D">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kW·h/年</w:t>
                  </w:r>
                </w:p>
              </w:tc>
              <w:tc>
                <w:tcPr>
                  <w:tcW w:w="1941" w:type="dxa"/>
                  <w:tcBorders>
                    <w:tl2br w:val="nil"/>
                    <w:tr2bl w:val="nil"/>
                  </w:tcBorders>
                  <w:vAlign w:val="top"/>
                </w:tcPr>
                <w:p w14:paraId="337003AD">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1" w:type="dxa"/>
                  <w:tcBorders>
                    <w:tl2br w:val="nil"/>
                    <w:tr2bl w:val="nil"/>
                  </w:tcBorders>
                  <w:vAlign w:val="top"/>
                </w:tcPr>
                <w:p w14:paraId="4CBC1141">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p>
              </w:tc>
              <w:tc>
                <w:tcPr>
                  <w:tcW w:w="1942" w:type="dxa"/>
                  <w:tcBorders>
                    <w:tl2br w:val="nil"/>
                    <w:tr2bl w:val="nil"/>
                  </w:tcBorders>
                  <w:vAlign w:val="top"/>
                </w:tcPr>
                <w:p w14:paraId="7ED45FD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395" w:type="dxa"/>
                  <w:tcBorders>
                    <w:tl2br w:val="nil"/>
                    <w:tr2bl w:val="nil"/>
                  </w:tcBorders>
                  <w:vAlign w:val="top"/>
                </w:tcPr>
                <w:p w14:paraId="739292F5">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w:t>
                  </w:r>
                </w:p>
              </w:tc>
            </w:tr>
          </w:tbl>
          <w:p w14:paraId="02A7420C">
            <w:pPr>
              <w:pStyle w:val="12"/>
              <w:spacing w:before="160"/>
              <w:ind w:left="721"/>
              <w:rPr>
                <w:rFonts w:hint="eastAsia" w:cs="Times New Roman"/>
                <w:color w:val="000000" w:themeColor="text1"/>
                <w:kern w:val="2"/>
                <w:sz w:val="24"/>
                <w:szCs w:val="32"/>
                <w:highlight w:val="none"/>
                <w:lang w:val="en-US" w:eastAsia="zh-CN" w:bidi="ar-SA"/>
                <w14:textFill>
                  <w14:solidFill>
                    <w14:schemeClr w14:val="tx1"/>
                  </w14:solidFill>
                </w14:textFill>
              </w:rPr>
            </w:pPr>
            <w:r>
              <w:rPr>
                <w:rFonts w:hint="eastAsia" w:cs="Times New Roman"/>
                <w:color w:val="000000" w:themeColor="text1"/>
                <w:kern w:val="2"/>
                <w:sz w:val="24"/>
                <w:szCs w:val="32"/>
                <w:highlight w:val="none"/>
                <w:lang w:val="en-US" w:eastAsia="zh-CN" w:bidi="ar-SA"/>
                <w14:textFill>
                  <w14:solidFill>
                    <w14:schemeClr w14:val="tx1"/>
                  </w14:solidFill>
                </w14:textFill>
              </w:rPr>
              <w:t>主要原辅材料性质见下表。</w:t>
            </w:r>
          </w:p>
          <w:p w14:paraId="01BF02E2">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b/>
                <w:color w:val="000000" w:themeColor="text1"/>
                <w:sz w:val="24"/>
                <w:szCs w:val="24"/>
                <w:highlight w:val="none"/>
                <w14:textFill>
                  <w14:solidFill>
                    <w14:schemeClr w14:val="tx1"/>
                  </w14:solidFill>
                </w14:textFill>
              </w:rPr>
            </w:pPr>
            <w:r>
              <w:rPr>
                <w:rFonts w:hint="eastAsia"/>
                <w:b/>
                <w:color w:val="000000" w:themeColor="text1"/>
                <w:sz w:val="24"/>
                <w:szCs w:val="24"/>
                <w:highlight w:val="none"/>
                <w14:textFill>
                  <w14:solidFill>
                    <w14:schemeClr w14:val="tx1"/>
                  </w14:solidFill>
                </w14:textFill>
              </w:rPr>
              <w:t>表</w:t>
            </w:r>
            <w:r>
              <w:rPr>
                <w:rFonts w:hint="eastAsia"/>
                <w:b/>
                <w:color w:val="000000" w:themeColor="text1"/>
                <w:sz w:val="24"/>
                <w:szCs w:val="24"/>
                <w:highlight w:val="none"/>
                <w:lang w:val="en-US" w:eastAsia="zh-CN"/>
                <w14:textFill>
                  <w14:solidFill>
                    <w14:schemeClr w14:val="tx1"/>
                  </w14:solidFill>
                </w14:textFill>
              </w:rPr>
              <w:t>2.4-3</w:t>
            </w:r>
            <w:r>
              <w:rPr>
                <w:b/>
                <w:color w:val="000000" w:themeColor="text1"/>
                <w:sz w:val="24"/>
                <w:szCs w:val="24"/>
                <w:highlight w:val="none"/>
                <w14:textFill>
                  <w14:solidFill>
                    <w14:schemeClr w14:val="tx1"/>
                  </w14:solidFill>
                </w14:textFill>
              </w:rPr>
              <w:t xml:space="preserve"> 主要原辅材料性质介绍</w:t>
            </w:r>
          </w:p>
          <w:tbl>
            <w:tblPr>
              <w:tblStyle w:val="30"/>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2"/>
              <w:gridCol w:w="2025"/>
              <w:gridCol w:w="5625"/>
              <w:gridCol w:w="4744"/>
            </w:tblGrid>
            <w:tr w14:paraId="63F7D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032" w:type="dxa"/>
                  <w:tcBorders>
                    <w:tl2br w:val="nil"/>
                    <w:tr2bl w:val="nil"/>
                  </w:tcBorders>
                </w:tcPr>
                <w:p w14:paraId="1936948D">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名称</w:t>
                  </w:r>
                </w:p>
              </w:tc>
              <w:tc>
                <w:tcPr>
                  <w:tcW w:w="2025" w:type="dxa"/>
                  <w:tcBorders>
                    <w:tl2br w:val="nil"/>
                    <w:tr2bl w:val="nil"/>
                  </w:tcBorders>
                </w:tcPr>
                <w:p w14:paraId="0326AC3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主要分子式</w:t>
                  </w:r>
                </w:p>
              </w:tc>
              <w:tc>
                <w:tcPr>
                  <w:tcW w:w="5625" w:type="dxa"/>
                  <w:tcBorders>
                    <w:tl2br w:val="nil"/>
                    <w:tr2bl w:val="nil"/>
                  </w:tcBorders>
                </w:tcPr>
                <w:p w14:paraId="795723D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理化性质</w:t>
                  </w:r>
                </w:p>
              </w:tc>
              <w:tc>
                <w:tcPr>
                  <w:tcW w:w="4744" w:type="dxa"/>
                  <w:tcBorders>
                    <w:tl2br w:val="nil"/>
                    <w:tr2bl w:val="nil"/>
                  </w:tcBorders>
                </w:tcPr>
                <w:p w14:paraId="0E16EA8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毒理性质</w:t>
                  </w:r>
                </w:p>
              </w:tc>
            </w:tr>
            <w:tr w14:paraId="27B52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3" w:hRule="atLeast"/>
              </w:trPr>
              <w:tc>
                <w:tcPr>
                  <w:tcW w:w="1032" w:type="dxa"/>
                  <w:tcBorders>
                    <w:tl2br w:val="nil"/>
                    <w:tr2bl w:val="nil"/>
                  </w:tcBorders>
                  <w:vAlign w:val="center"/>
                </w:tcPr>
                <w:p w14:paraId="7E2526CE">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DSL-3.6清洗剂</w:t>
                  </w:r>
                </w:p>
              </w:tc>
              <w:tc>
                <w:tcPr>
                  <w:tcW w:w="2025" w:type="dxa"/>
                  <w:tcBorders>
                    <w:tl2br w:val="nil"/>
                    <w:tr2bl w:val="nil"/>
                  </w:tcBorders>
                  <w:vAlign w:val="center"/>
                </w:tcPr>
                <w:p w14:paraId="097D0E26">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both"/>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混合物：①脂肪醇醚，25%～30%；②脂肪醇，4%～5%；③ 石油馏出物，10%～15%；④杂环化合物，1%～5%；⑤卤代烃20%～25%。</w:t>
                  </w:r>
                </w:p>
              </w:tc>
              <w:tc>
                <w:tcPr>
                  <w:tcW w:w="5625" w:type="dxa"/>
                  <w:tcBorders>
                    <w:tl2br w:val="nil"/>
                    <w:tr2bl w:val="nil"/>
                  </w:tcBorders>
                  <w:vAlign w:val="center"/>
                </w:tcPr>
                <w:p w14:paraId="3B169E38">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both"/>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棕色透明状液体，极易溶于水，不易挥发，无刺激性气味；</w:t>
                  </w:r>
                </w:p>
                <w:p w14:paraId="748D435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both"/>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沸点：35℃~125℃</w:t>
                  </w:r>
                </w:p>
                <w:p w14:paraId="4641944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both"/>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密度，g/cm3（20±1℃）：1.10～1.12</w:t>
                  </w:r>
                </w:p>
                <w:p w14:paraId="339A46C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both"/>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闪点：80℃</w:t>
                  </w:r>
                </w:p>
                <w:p w14:paraId="719A9C91">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both"/>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脂肪醇醚闪点＞125℃，饱和蒸汽压＜15Pa，沸点＜250℃</w:t>
                  </w:r>
                </w:p>
                <w:p w14:paraId="4198DED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both"/>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脂肪醇熔点18-22℃，沸点255-259℃，闪点126.7℃，自燃温度275℃</w:t>
                  </w:r>
                </w:p>
              </w:tc>
              <w:tc>
                <w:tcPr>
                  <w:tcW w:w="4744" w:type="dxa"/>
                  <w:tcBorders>
                    <w:tl2br w:val="nil"/>
                    <w:tr2bl w:val="nil"/>
                  </w:tcBorders>
                  <w:vAlign w:val="center"/>
                </w:tcPr>
                <w:p w14:paraId="3B87E5E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both"/>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主要损害呼吸系统</w:t>
                  </w:r>
                </w:p>
                <w:p w14:paraId="4FE9C24D">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both"/>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急性症状：呼吸摄入会刺激呼吸道发炎，眼睛接触会感觉疼痛并发炎慢性症状：在TLV值内重复使用对人体无影响</w:t>
                  </w:r>
                </w:p>
              </w:tc>
            </w:tr>
            <w:tr w14:paraId="181D9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3" w:hRule="atLeast"/>
              </w:trPr>
              <w:tc>
                <w:tcPr>
                  <w:tcW w:w="1032" w:type="dxa"/>
                  <w:tcBorders>
                    <w:tl2br w:val="nil"/>
                    <w:tr2bl w:val="nil"/>
                  </w:tcBorders>
                  <w:vAlign w:val="center"/>
                </w:tcPr>
                <w:p w14:paraId="70CCEF51">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金刚砂</w:t>
                  </w:r>
                </w:p>
              </w:tc>
              <w:tc>
                <w:tcPr>
                  <w:tcW w:w="2025" w:type="dxa"/>
                  <w:tcBorders>
                    <w:tl2br w:val="nil"/>
                    <w:tr2bl w:val="nil"/>
                  </w:tcBorders>
                  <w:vAlign w:val="center"/>
                </w:tcPr>
                <w:p w14:paraId="0B93A96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碳化硅俗名金刚砂，化学式SiC</w:t>
                  </w:r>
                </w:p>
              </w:tc>
              <w:tc>
                <w:tcPr>
                  <w:tcW w:w="5625" w:type="dxa"/>
                  <w:tcBorders>
                    <w:tl2br w:val="nil"/>
                    <w:tr2bl w:val="nil"/>
                  </w:tcBorders>
                  <w:vAlign w:val="center"/>
                </w:tcPr>
                <w:p w14:paraId="13254851">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both"/>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无色晶体，含杂质时呈蓝黑色。结构与金刚石相似，每个硅原子被4个碳原子包围，每个碳原子被4个硅原子包围，形成“巨型分子”。硬度仅次于金刚石，所以碳化硅能用于制造固结磨具、涂附磨具和自由研磨，从而可用来加工玻璃、陶瓷、石材、铸铁及某些非铁金属、硬质合金、钛合金、高速钢刀具和砂轮等。密度为3.217克/厘米，熔点约为2700C（分解升华）</w:t>
                  </w:r>
                  <w:r>
                    <w:rPr>
                      <w:rFonts w:hint="eastAsia" w:ascii="Times New Roman" w:hAnsi="Times New Roman" w:eastAsia="宋体" w:cs="Times New Roman"/>
                      <w:color w:val="000000" w:themeColor="text1"/>
                      <w:spacing w:val="0"/>
                      <w:w w:val="100"/>
                      <w:position w:val="0"/>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化学性质稳定，高温时也不与氯、氧、硫、强酸反应。</w:t>
                  </w:r>
                </w:p>
              </w:tc>
              <w:tc>
                <w:tcPr>
                  <w:tcW w:w="4744" w:type="dxa"/>
                  <w:tcBorders>
                    <w:tl2br w:val="nil"/>
                    <w:tr2bl w:val="nil"/>
                  </w:tcBorders>
                  <w:vAlign w:val="center"/>
                </w:tcPr>
                <w:p w14:paraId="0A139B5F">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eastAsia" w:ascii="Times New Roman" w:hAnsi="Times New Roman" w:eastAsia="宋体" w:cs="Times New Roman"/>
                      <w:color w:val="000000" w:themeColor="text1"/>
                      <w:spacing w:val="0"/>
                      <w:w w:val="100"/>
                      <w:positio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w w:val="100"/>
                      <w:position w:val="0"/>
                      <w:sz w:val="21"/>
                      <w:szCs w:val="21"/>
                      <w:highlight w:val="none"/>
                      <w:lang w:val="en-US" w:eastAsia="zh-CN"/>
                      <w14:textFill>
                        <w14:solidFill>
                          <w14:schemeClr w14:val="tx1"/>
                        </w14:solidFill>
                      </w14:textFill>
                    </w:rPr>
                    <w:t>/</w:t>
                  </w:r>
                </w:p>
              </w:tc>
            </w:tr>
            <w:tr w14:paraId="1D414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2" w:hRule="atLeast"/>
              </w:trPr>
              <w:tc>
                <w:tcPr>
                  <w:tcW w:w="1032" w:type="dxa"/>
                  <w:tcBorders>
                    <w:tl2br w:val="nil"/>
                    <w:tr2bl w:val="nil"/>
                  </w:tcBorders>
                  <w:vAlign w:val="center"/>
                </w:tcPr>
                <w:p w14:paraId="140C472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eastAsia" w:ascii="Times New Roman" w:hAnsi="Times New Roman" w:eastAsia="宋体" w:cs="Times New Roman"/>
                      <w:color w:val="000000" w:themeColor="text1"/>
                      <w:spacing w:val="0"/>
                      <w:w w:val="100"/>
                      <w:position w:val="0"/>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乙醇（酒精</w:t>
                  </w:r>
                  <w:r>
                    <w:rPr>
                      <w:rFonts w:hint="eastAsia" w:ascii="Times New Roman" w:hAnsi="Times New Roman" w:eastAsia="宋体" w:cs="Times New Roman"/>
                      <w:color w:val="000000" w:themeColor="text1"/>
                      <w:spacing w:val="0"/>
                      <w:w w:val="100"/>
                      <w:position w:val="0"/>
                      <w:sz w:val="21"/>
                      <w:szCs w:val="21"/>
                      <w:highlight w:val="none"/>
                      <w:lang w:eastAsia="zh-CN"/>
                      <w14:textFill>
                        <w14:solidFill>
                          <w14:schemeClr w14:val="tx1"/>
                        </w14:solidFill>
                      </w14:textFill>
                    </w:rPr>
                    <w:t>）</w:t>
                  </w:r>
                </w:p>
              </w:tc>
              <w:tc>
                <w:tcPr>
                  <w:tcW w:w="2025" w:type="dxa"/>
                  <w:tcBorders>
                    <w:tl2br w:val="nil"/>
                    <w:tr2bl w:val="nil"/>
                  </w:tcBorders>
                  <w:vAlign w:val="center"/>
                </w:tcPr>
                <w:p w14:paraId="6DCE8C5A">
                  <w:pPr>
                    <w:pStyle w:val="36"/>
                    <w:keepNext w:val="0"/>
                    <w:keepLines w:val="0"/>
                    <w:pageBreakBefore w:val="0"/>
                    <w:widowControl w:val="0"/>
                    <w:tabs>
                      <w:tab w:val="left" w:pos="736"/>
                    </w:tabs>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分子式：C</w:t>
                  </w:r>
                  <w:r>
                    <w:rPr>
                      <w:rFonts w:hint="default" w:ascii="Times New Roman" w:hAnsi="Times New Roman" w:eastAsia="宋体" w:cs="Times New Roman"/>
                      <w:color w:val="000000" w:themeColor="text1"/>
                      <w:spacing w:val="0"/>
                      <w:w w:val="100"/>
                      <w:position w:val="0"/>
                      <w:sz w:val="21"/>
                      <w:szCs w:val="21"/>
                      <w:highlight w:val="none"/>
                      <w:vertAlign w:val="subscript"/>
                      <w14:textFill>
                        <w14:solidFill>
                          <w14:schemeClr w14:val="tx1"/>
                        </w14:solidFill>
                      </w14:textFill>
                    </w:rPr>
                    <w:t>2</w:t>
                  </w:r>
                  <w:r>
                    <w:rPr>
                      <w:rFonts w:hint="default" w:ascii="Times New Roman" w:hAnsi="Times New Roman" w:eastAsia="宋体" w:cs="Times New Roman"/>
                      <w:color w:val="000000" w:themeColor="text1"/>
                      <w:spacing w:val="0"/>
                      <w:w w:val="100"/>
                      <w:position w:val="0"/>
                      <w:sz w:val="21"/>
                      <w:szCs w:val="21"/>
                      <w:highlight w:val="none"/>
                      <w:vertAlign w:val="baseline"/>
                      <w14:textFill>
                        <w14:solidFill>
                          <w14:schemeClr w14:val="tx1"/>
                        </w14:solidFill>
                      </w14:textFill>
                    </w:rPr>
                    <w:t>H</w:t>
                  </w:r>
                  <w:r>
                    <w:rPr>
                      <w:rFonts w:hint="default" w:ascii="Times New Roman" w:hAnsi="Times New Roman" w:eastAsia="宋体" w:cs="Times New Roman"/>
                      <w:color w:val="000000" w:themeColor="text1"/>
                      <w:spacing w:val="0"/>
                      <w:w w:val="100"/>
                      <w:position w:val="0"/>
                      <w:sz w:val="21"/>
                      <w:szCs w:val="21"/>
                      <w:highlight w:val="none"/>
                      <w:vertAlign w:val="subscript"/>
                      <w14:textFill>
                        <w14:solidFill>
                          <w14:schemeClr w14:val="tx1"/>
                        </w14:solidFill>
                      </w14:textFill>
                    </w:rPr>
                    <w:t>6</w:t>
                  </w:r>
                  <w:r>
                    <w:rPr>
                      <w:rFonts w:hint="default" w:ascii="Times New Roman" w:hAnsi="Times New Roman" w:eastAsia="宋体" w:cs="Times New Roman"/>
                      <w:color w:val="000000" w:themeColor="text1"/>
                      <w:spacing w:val="0"/>
                      <w:w w:val="100"/>
                      <w:position w:val="0"/>
                      <w:sz w:val="21"/>
                      <w:szCs w:val="21"/>
                      <w:highlight w:val="none"/>
                      <w:vertAlign w:val="baseline"/>
                      <w14:textFill>
                        <w14:solidFill>
                          <w14:schemeClr w14:val="tx1"/>
                        </w14:solidFill>
                      </w14:textFill>
                    </w:rPr>
                    <w:t>O</w:t>
                  </w:r>
                </w:p>
              </w:tc>
              <w:tc>
                <w:tcPr>
                  <w:tcW w:w="5625" w:type="dxa"/>
                  <w:tcBorders>
                    <w:tl2br w:val="nil"/>
                    <w:tr2bl w:val="nil"/>
                  </w:tcBorders>
                  <w:vAlign w:val="center"/>
                </w:tcPr>
                <w:p w14:paraId="75D575E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both"/>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 xml:space="preserve">熔点：-114℃ </w:t>
                  </w:r>
                </w:p>
                <w:p w14:paraId="7BED73E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both"/>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沸点：78℃</w:t>
                  </w:r>
                </w:p>
                <w:p w14:paraId="0687103C">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both"/>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pH:7.0(10g/L, H</w:t>
                  </w:r>
                  <w:r>
                    <w:rPr>
                      <w:rFonts w:hint="default" w:ascii="Times New Roman" w:hAnsi="Times New Roman" w:eastAsia="宋体" w:cs="Times New Roman"/>
                      <w:color w:val="000000" w:themeColor="text1"/>
                      <w:spacing w:val="0"/>
                      <w:w w:val="100"/>
                      <w:position w:val="0"/>
                      <w:sz w:val="21"/>
                      <w:szCs w:val="21"/>
                      <w:highlight w:val="none"/>
                      <w:vertAlign w:val="subscript"/>
                      <w14:textFill>
                        <w14:solidFill>
                          <w14:schemeClr w14:val="tx1"/>
                        </w14:solidFill>
                      </w14:textFill>
                    </w:rPr>
                    <w:t>2</w:t>
                  </w:r>
                  <w:r>
                    <w:rPr>
                      <w:rFonts w:hint="default" w:ascii="Times New Roman" w:hAnsi="Times New Roman" w:eastAsia="宋体" w:cs="Times New Roman"/>
                      <w:color w:val="000000" w:themeColor="text1"/>
                      <w:spacing w:val="0"/>
                      <w:w w:val="100"/>
                      <w:position w:val="0"/>
                      <w:sz w:val="21"/>
                      <w:szCs w:val="21"/>
                      <w:highlight w:val="none"/>
                      <w:vertAlign w:val="baseline"/>
                      <w14:textFill>
                        <w14:solidFill>
                          <w14:schemeClr w14:val="tx1"/>
                        </w14:solidFill>
                      </w14:textFill>
                    </w:rPr>
                    <w:t>O,20℃)</w:t>
                  </w:r>
                </w:p>
                <w:p w14:paraId="5496E80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both"/>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相对密度（水=1）：0.79</w:t>
                  </w:r>
                </w:p>
                <w:p w14:paraId="245707F8">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both"/>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饱和蒸汽压（kPa）：5.8（20℃）</w:t>
                  </w:r>
                </w:p>
              </w:tc>
              <w:tc>
                <w:tcPr>
                  <w:tcW w:w="4744" w:type="dxa"/>
                  <w:tcBorders>
                    <w:tl2br w:val="nil"/>
                    <w:tr2bl w:val="nil"/>
                  </w:tcBorders>
                  <w:vAlign w:val="center"/>
                </w:tcPr>
                <w:p w14:paraId="78A8F46F">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both"/>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吸入：吸入可能有害。引起呼吸道刺激。摄入：如服入是有害的。</w:t>
                  </w:r>
                </w:p>
                <w:p w14:paraId="26C6F64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both"/>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皮肤：如果通过皮肤吸收可能是有害的。造成皮肤刺激。</w:t>
                  </w:r>
                </w:p>
                <w:p w14:paraId="556241F5">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both"/>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眼睛：造成眼刺激。</w:t>
                  </w:r>
                </w:p>
              </w:tc>
            </w:tr>
            <w:tr w14:paraId="3681E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032" w:type="dxa"/>
                  <w:tcBorders>
                    <w:tl2br w:val="nil"/>
                    <w:tr2bl w:val="nil"/>
                  </w:tcBorders>
                  <w:vAlign w:val="center"/>
                </w:tcPr>
                <w:p w14:paraId="7F04E84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乙醚</w:t>
                  </w:r>
                </w:p>
              </w:tc>
              <w:tc>
                <w:tcPr>
                  <w:tcW w:w="2025" w:type="dxa"/>
                  <w:tcBorders>
                    <w:tl2br w:val="nil"/>
                    <w:tr2bl w:val="nil"/>
                  </w:tcBorders>
                  <w:vAlign w:val="center"/>
                </w:tcPr>
                <w:p w14:paraId="4D1EB22E">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分子式：C</w:t>
                  </w:r>
                  <w:r>
                    <w:rPr>
                      <w:rFonts w:hint="default" w:ascii="Times New Roman" w:hAnsi="Times New Roman" w:eastAsia="宋体" w:cs="Times New Roman"/>
                      <w:color w:val="000000" w:themeColor="text1"/>
                      <w:spacing w:val="0"/>
                      <w:w w:val="100"/>
                      <w:position w:val="0"/>
                      <w:sz w:val="21"/>
                      <w:szCs w:val="21"/>
                      <w:highlight w:val="none"/>
                      <w:vertAlign w:val="subscript"/>
                      <w14:textFill>
                        <w14:solidFill>
                          <w14:schemeClr w14:val="tx1"/>
                        </w14:solidFill>
                      </w14:textFill>
                    </w:rPr>
                    <w:t>4</w:t>
                  </w:r>
                  <w:r>
                    <w:rPr>
                      <w:rFonts w:hint="default" w:ascii="Times New Roman" w:hAnsi="Times New Roman" w:eastAsia="宋体" w:cs="Times New Roman"/>
                      <w:color w:val="000000" w:themeColor="text1"/>
                      <w:spacing w:val="0"/>
                      <w:w w:val="100"/>
                      <w:position w:val="0"/>
                      <w:sz w:val="21"/>
                      <w:szCs w:val="21"/>
                      <w:highlight w:val="none"/>
                      <w:vertAlign w:val="baseline"/>
                      <w14:textFill>
                        <w14:solidFill>
                          <w14:schemeClr w14:val="tx1"/>
                        </w14:solidFill>
                      </w14:textFill>
                    </w:rPr>
                    <w:t>H</w:t>
                  </w:r>
                  <w:r>
                    <w:rPr>
                      <w:rFonts w:hint="default" w:ascii="Times New Roman" w:hAnsi="Times New Roman" w:eastAsia="宋体" w:cs="Times New Roman"/>
                      <w:color w:val="000000" w:themeColor="text1"/>
                      <w:spacing w:val="0"/>
                      <w:w w:val="100"/>
                      <w:position w:val="0"/>
                      <w:sz w:val="21"/>
                      <w:szCs w:val="21"/>
                      <w:highlight w:val="none"/>
                      <w:vertAlign w:val="subscript"/>
                      <w14:textFill>
                        <w14:solidFill>
                          <w14:schemeClr w14:val="tx1"/>
                        </w14:solidFill>
                      </w14:textFill>
                    </w:rPr>
                    <w:t>10</w:t>
                  </w:r>
                  <w:r>
                    <w:rPr>
                      <w:rFonts w:hint="default" w:ascii="Times New Roman" w:hAnsi="Times New Roman" w:eastAsia="宋体" w:cs="Times New Roman"/>
                      <w:color w:val="000000" w:themeColor="text1"/>
                      <w:spacing w:val="0"/>
                      <w:w w:val="100"/>
                      <w:position w:val="0"/>
                      <w:sz w:val="21"/>
                      <w:szCs w:val="21"/>
                      <w:highlight w:val="none"/>
                      <w:vertAlign w:val="baseline"/>
                      <w14:textFill>
                        <w14:solidFill>
                          <w14:schemeClr w14:val="tx1"/>
                        </w14:solidFill>
                      </w14:textFill>
                    </w:rPr>
                    <w:t>O</w:t>
                  </w:r>
                </w:p>
              </w:tc>
              <w:tc>
                <w:tcPr>
                  <w:tcW w:w="5625" w:type="dxa"/>
                  <w:tcBorders>
                    <w:tl2br w:val="nil"/>
                    <w:tr2bl w:val="nil"/>
                  </w:tcBorders>
                  <w:vAlign w:val="center"/>
                </w:tcPr>
                <w:p w14:paraId="697B85E1">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both"/>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外观性状：无色至淡黄色液体，有芳香气味，易挥发</w:t>
                  </w:r>
                </w:p>
                <w:p w14:paraId="3794EF2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both"/>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熔点（℃）：-116.2</w:t>
                  </w:r>
                </w:p>
                <w:p w14:paraId="47EA69B5">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沸点、初沸点、沸程（℃）：34-35℃/760mmHg</w:t>
                  </w:r>
                </w:p>
                <w:p w14:paraId="57A755BF">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相对密度（水=1）：0.71</w:t>
                  </w:r>
                </w:p>
                <w:p w14:paraId="725B02F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 xml:space="preserve">饱和蒸汽压（kPa）：58.92（20℃） </w:t>
                  </w:r>
                </w:p>
                <w:p w14:paraId="3AEFEC1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闪点（℃）：-40℉/-40℃</w:t>
                  </w:r>
                </w:p>
                <w:p w14:paraId="0662FB0E">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both"/>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自燃温度（℃）：160～180</w:t>
                  </w:r>
                </w:p>
              </w:tc>
              <w:tc>
                <w:tcPr>
                  <w:tcW w:w="4744" w:type="dxa"/>
                  <w:tcBorders>
                    <w:tl2br w:val="nil"/>
                    <w:tr2bl w:val="nil"/>
                  </w:tcBorders>
                  <w:vAlign w:val="center"/>
                </w:tcPr>
                <w:p w14:paraId="4F1B842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both"/>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吸入：吸入可能有害。可能引起呼吸道刺激</w:t>
                  </w:r>
                </w:p>
                <w:p w14:paraId="0025F7B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both"/>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蒸气可引起睡意和</w:t>
                  </w:r>
                  <w:r>
                    <w:rPr>
                      <w:rFonts w:hint="eastAsia" w:ascii="Times New Roman" w:hAnsi="Times New Roman" w:cs="Times New Roman"/>
                      <w:color w:val="000000" w:themeColor="text1"/>
                      <w:spacing w:val="0"/>
                      <w:w w:val="100"/>
                      <w:position w:val="0"/>
                      <w:sz w:val="21"/>
                      <w:szCs w:val="21"/>
                      <w:highlight w:val="none"/>
                      <w:lang w:eastAsia="zh-CN"/>
                      <w14:textFill>
                        <w14:solidFill>
                          <w14:schemeClr w14:val="tx1"/>
                        </w14:solidFill>
                      </w14:textFill>
                    </w:rPr>
                    <w:t>眩晕</w:t>
                  </w: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w:t>
                  </w:r>
                </w:p>
                <w:p w14:paraId="3403FA2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摄入：误吞对人体有害。</w:t>
                  </w:r>
                </w:p>
                <w:p w14:paraId="49A58A05">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皮肤：如果通过皮肤吸收可能是有害的。可能引起皮肤刺激。</w:t>
                  </w:r>
                </w:p>
                <w:p w14:paraId="4927F8D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both"/>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眼睛：能引起眼睛刺激。</w:t>
                  </w:r>
                </w:p>
              </w:tc>
            </w:tr>
            <w:tr w14:paraId="0DEB2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032" w:type="dxa"/>
                  <w:tcBorders>
                    <w:tl2br w:val="nil"/>
                    <w:tr2bl w:val="nil"/>
                  </w:tcBorders>
                  <w:vAlign w:val="center"/>
                </w:tcPr>
                <w:p w14:paraId="02D0AB8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丙酮</w:t>
                  </w:r>
                </w:p>
              </w:tc>
              <w:tc>
                <w:tcPr>
                  <w:tcW w:w="2025" w:type="dxa"/>
                  <w:tcBorders>
                    <w:tl2br w:val="nil"/>
                    <w:tr2bl w:val="nil"/>
                  </w:tcBorders>
                  <w:vAlign w:val="center"/>
                </w:tcPr>
                <w:p w14:paraId="73FD7BB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firstLine="2" w:firstLineChars="0"/>
                    <w:jc w:val="center"/>
                    <w:textAlignment w:val="auto"/>
                    <w:rPr>
                      <w:rFonts w:hint="default" w:ascii="Times New Roman" w:hAnsi="Times New Roman" w:eastAsia="宋体" w:cs="Times New Roman"/>
                      <w:color w:val="000000" w:themeColor="text1"/>
                      <w:spacing w:val="0"/>
                      <w:w w:val="100"/>
                      <w:position w:val="0"/>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pacing w:val="0"/>
                      <w:w w:val="100"/>
                      <w:position w:val="2"/>
                      <w:sz w:val="21"/>
                      <w:szCs w:val="21"/>
                      <w:highlight w:val="none"/>
                      <w14:textFill>
                        <w14:solidFill>
                          <w14:schemeClr w14:val="tx1"/>
                        </w14:solidFill>
                      </w14:textFill>
                    </w:rPr>
                    <w:t>分子式：C</w:t>
                  </w:r>
                  <w:r>
                    <w:rPr>
                      <w:rFonts w:hint="default" w:ascii="Times New Roman" w:hAnsi="Times New Roman" w:eastAsia="宋体" w:cs="Times New Roman"/>
                      <w:color w:val="000000" w:themeColor="text1"/>
                      <w:spacing w:val="0"/>
                      <w:w w:val="100"/>
                      <w:position w:val="2"/>
                      <w:sz w:val="21"/>
                      <w:szCs w:val="21"/>
                      <w:highlight w:val="none"/>
                      <w:vertAlign w:val="subscript"/>
                      <w14:textFill>
                        <w14:solidFill>
                          <w14:schemeClr w14:val="tx1"/>
                        </w14:solidFill>
                      </w14:textFill>
                    </w:rPr>
                    <w:t>3</w:t>
                  </w:r>
                  <w:r>
                    <w:rPr>
                      <w:rFonts w:hint="default" w:ascii="Times New Roman" w:hAnsi="Times New Roman" w:eastAsia="宋体" w:cs="Times New Roman"/>
                      <w:color w:val="000000" w:themeColor="text1"/>
                      <w:spacing w:val="0"/>
                      <w:w w:val="100"/>
                      <w:position w:val="2"/>
                      <w:sz w:val="21"/>
                      <w:szCs w:val="21"/>
                      <w:highlight w:val="none"/>
                      <w:vertAlign w:val="baseline"/>
                      <w14:textFill>
                        <w14:solidFill>
                          <w14:schemeClr w14:val="tx1"/>
                        </w14:solidFill>
                      </w14:textFill>
                    </w:rPr>
                    <w:t>H</w:t>
                  </w:r>
                  <w:r>
                    <w:rPr>
                      <w:rFonts w:hint="default" w:ascii="Times New Roman" w:hAnsi="Times New Roman" w:eastAsia="宋体" w:cs="Times New Roman"/>
                      <w:color w:val="000000" w:themeColor="text1"/>
                      <w:spacing w:val="0"/>
                      <w:w w:val="100"/>
                      <w:position w:val="2"/>
                      <w:sz w:val="21"/>
                      <w:szCs w:val="21"/>
                      <w:highlight w:val="none"/>
                      <w:vertAlign w:val="subscript"/>
                      <w14:textFill>
                        <w14:solidFill>
                          <w14:schemeClr w14:val="tx1"/>
                        </w14:solidFill>
                      </w14:textFill>
                    </w:rPr>
                    <w:t>6</w:t>
                  </w:r>
                  <w:r>
                    <w:rPr>
                      <w:rFonts w:hint="default" w:ascii="Times New Roman" w:hAnsi="Times New Roman" w:eastAsia="宋体" w:cs="Times New Roman"/>
                      <w:color w:val="000000" w:themeColor="text1"/>
                      <w:spacing w:val="0"/>
                      <w:w w:val="100"/>
                      <w:position w:val="2"/>
                      <w:sz w:val="21"/>
                      <w:szCs w:val="21"/>
                      <w:highlight w:val="none"/>
                      <w:vertAlign w:val="baseline"/>
                      <w14:textFill>
                        <w14:solidFill>
                          <w14:schemeClr w14:val="tx1"/>
                        </w14:solidFill>
                      </w14:textFill>
                    </w:rPr>
                    <w:t>O</w:t>
                  </w:r>
                </w:p>
              </w:tc>
              <w:tc>
                <w:tcPr>
                  <w:tcW w:w="5625" w:type="dxa"/>
                  <w:tcBorders>
                    <w:tl2br w:val="nil"/>
                    <w:tr2bl w:val="nil"/>
                  </w:tcBorders>
                  <w:vAlign w:val="center"/>
                </w:tcPr>
                <w:p w14:paraId="5932F468">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 xml:space="preserve">熔点（℃）：-94 </w:t>
                  </w:r>
                </w:p>
                <w:p w14:paraId="2F883991">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沸点（℃）：56</w:t>
                  </w:r>
                </w:p>
                <w:p w14:paraId="0EB9F6FC">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相对密度（水=1）：0.789-0.793g/mL</w:t>
                  </w:r>
                </w:p>
                <w:p w14:paraId="64D6B17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蒸气压（kPa）：24（20℃）</w:t>
                  </w:r>
                </w:p>
              </w:tc>
              <w:tc>
                <w:tcPr>
                  <w:tcW w:w="4744" w:type="dxa"/>
                  <w:tcBorders>
                    <w:tl2br w:val="nil"/>
                    <w:tr2bl w:val="nil"/>
                  </w:tcBorders>
                  <w:vAlign w:val="center"/>
                </w:tcPr>
                <w:p w14:paraId="4459A788">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造成严重眼刺激。可能引起昏睡或眩晕。反复暴露可能引起皮肤干燥和开裂。长期反复接触 致皮炎。慢性影响：长期接触该品出现眩晕、</w:t>
                  </w:r>
                </w:p>
                <w:p w14:paraId="7A745B6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灼烧感、咽炎、支气管炎、乏力、易激动等。</w:t>
                  </w:r>
                </w:p>
              </w:tc>
            </w:tr>
            <w:tr w14:paraId="363D6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032" w:type="dxa"/>
                  <w:tcBorders>
                    <w:tl2br w:val="nil"/>
                    <w:tr2bl w:val="nil"/>
                  </w:tcBorders>
                  <w:vAlign w:val="center"/>
                </w:tcPr>
                <w:p w14:paraId="7F5747C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氧化铋</w:t>
                  </w:r>
                </w:p>
              </w:tc>
              <w:tc>
                <w:tcPr>
                  <w:tcW w:w="2025" w:type="dxa"/>
                  <w:tcBorders>
                    <w:tl2br w:val="nil"/>
                    <w:tr2bl w:val="nil"/>
                  </w:tcBorders>
                  <w:vAlign w:val="center"/>
                </w:tcPr>
                <w:p w14:paraId="5C543D8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position w:val="0"/>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分子式：</w:t>
                  </w:r>
                  <w:r>
                    <w:rPr>
                      <w:rFonts w:hint="default" w:ascii="Times New Roman" w:hAnsi="Times New Roman" w:eastAsia="宋体" w:cs="Times New Roman"/>
                      <w:color w:val="000000" w:themeColor="text1"/>
                      <w:spacing w:val="0"/>
                      <w:w w:val="100"/>
                      <w:position w:val="1"/>
                      <w:sz w:val="21"/>
                      <w:szCs w:val="21"/>
                      <w:highlight w:val="none"/>
                      <w14:textFill>
                        <w14:solidFill>
                          <w14:schemeClr w14:val="tx1"/>
                        </w14:solidFill>
                      </w14:textFill>
                    </w:rPr>
                    <w:t>Bi</w:t>
                  </w:r>
                  <w:r>
                    <w:rPr>
                      <w:rFonts w:hint="default" w:ascii="Times New Roman" w:hAnsi="Times New Roman" w:eastAsia="宋体" w:cs="Times New Roman"/>
                      <w:color w:val="000000" w:themeColor="text1"/>
                      <w:spacing w:val="0"/>
                      <w:w w:val="100"/>
                      <w:position w:val="-3"/>
                      <w:sz w:val="21"/>
                      <w:szCs w:val="21"/>
                      <w:highlight w:val="none"/>
                      <w14:textFill>
                        <w14:solidFill>
                          <w14:schemeClr w14:val="tx1"/>
                        </w14:solidFill>
                      </w14:textFill>
                    </w:rPr>
                    <w:t>2</w:t>
                  </w:r>
                  <w:r>
                    <w:rPr>
                      <w:rFonts w:hint="default" w:ascii="Times New Roman" w:hAnsi="Times New Roman" w:eastAsia="宋体" w:cs="Times New Roman"/>
                      <w:color w:val="000000" w:themeColor="text1"/>
                      <w:spacing w:val="0"/>
                      <w:w w:val="100"/>
                      <w:position w:val="1"/>
                      <w:sz w:val="21"/>
                      <w:szCs w:val="21"/>
                      <w:highlight w:val="none"/>
                      <w14:textFill>
                        <w14:solidFill>
                          <w14:schemeClr w14:val="tx1"/>
                        </w14:solidFill>
                      </w14:textFill>
                    </w:rPr>
                    <w:t>O</w:t>
                  </w:r>
                  <w:r>
                    <w:rPr>
                      <w:rFonts w:hint="default" w:ascii="Times New Roman" w:hAnsi="Times New Roman" w:eastAsia="宋体" w:cs="Times New Roman"/>
                      <w:color w:val="000000" w:themeColor="text1"/>
                      <w:spacing w:val="0"/>
                      <w:w w:val="100"/>
                      <w:position w:val="-3"/>
                      <w:sz w:val="21"/>
                      <w:szCs w:val="21"/>
                      <w:highlight w:val="none"/>
                      <w14:textFill>
                        <w14:solidFill>
                          <w14:schemeClr w14:val="tx1"/>
                        </w14:solidFill>
                      </w14:textFill>
                    </w:rPr>
                    <w:t>3</w:t>
                  </w:r>
                </w:p>
              </w:tc>
              <w:tc>
                <w:tcPr>
                  <w:tcW w:w="5625" w:type="dxa"/>
                  <w:tcBorders>
                    <w:tl2br w:val="nil"/>
                    <w:tr2bl w:val="nil"/>
                  </w:tcBorders>
                  <w:vAlign w:val="center"/>
                </w:tcPr>
                <w:p w14:paraId="1621659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position w:val="2"/>
                      <w:sz w:val="21"/>
                      <w:szCs w:val="21"/>
                      <w:highlight w:val="none"/>
                      <w:vertAlign w:val="subscript"/>
                      <w14:textFill>
                        <w14:solidFill>
                          <w14:schemeClr w14:val="tx1"/>
                        </w14:solidFill>
                      </w14:textFill>
                    </w:rPr>
                  </w:pPr>
                  <w:r>
                    <w:rPr>
                      <w:rFonts w:hint="default" w:ascii="Times New Roman" w:hAnsi="Times New Roman" w:eastAsia="宋体" w:cs="Times New Roman"/>
                      <w:color w:val="000000" w:themeColor="text1"/>
                      <w:spacing w:val="0"/>
                      <w:w w:val="100"/>
                      <w:position w:val="2"/>
                      <w:sz w:val="21"/>
                      <w:szCs w:val="21"/>
                      <w:highlight w:val="none"/>
                      <w14:textFill>
                        <w14:solidFill>
                          <w14:schemeClr w14:val="tx1"/>
                        </w14:solidFill>
                      </w14:textFill>
                    </w:rPr>
                    <w:t>化学式：Bi</w:t>
                  </w:r>
                  <w:r>
                    <w:rPr>
                      <w:rFonts w:hint="default" w:ascii="Times New Roman" w:hAnsi="Times New Roman" w:eastAsia="宋体" w:cs="Times New Roman"/>
                      <w:color w:val="000000" w:themeColor="text1"/>
                      <w:spacing w:val="0"/>
                      <w:w w:val="100"/>
                      <w:position w:val="2"/>
                      <w:sz w:val="21"/>
                      <w:szCs w:val="21"/>
                      <w:highlight w:val="none"/>
                      <w:vertAlign w:val="subscript"/>
                      <w14:textFill>
                        <w14:solidFill>
                          <w14:schemeClr w14:val="tx1"/>
                        </w14:solidFill>
                      </w14:textFill>
                    </w:rPr>
                    <w:t>2</w:t>
                  </w:r>
                  <w:r>
                    <w:rPr>
                      <w:rFonts w:hint="default" w:ascii="Times New Roman" w:hAnsi="Times New Roman" w:eastAsia="宋体" w:cs="Times New Roman"/>
                      <w:color w:val="000000" w:themeColor="text1"/>
                      <w:spacing w:val="0"/>
                      <w:w w:val="100"/>
                      <w:position w:val="2"/>
                      <w:sz w:val="21"/>
                      <w:szCs w:val="21"/>
                      <w:highlight w:val="none"/>
                      <w:vertAlign w:val="baseline"/>
                      <w14:textFill>
                        <w14:solidFill>
                          <w14:schemeClr w14:val="tx1"/>
                        </w14:solidFill>
                      </w14:textFill>
                    </w:rPr>
                    <w:t>O</w:t>
                  </w:r>
                  <w:r>
                    <w:rPr>
                      <w:rFonts w:hint="default" w:ascii="Times New Roman" w:hAnsi="Times New Roman" w:eastAsia="宋体" w:cs="Times New Roman"/>
                      <w:color w:val="000000" w:themeColor="text1"/>
                      <w:spacing w:val="0"/>
                      <w:w w:val="100"/>
                      <w:position w:val="2"/>
                      <w:sz w:val="21"/>
                      <w:szCs w:val="21"/>
                      <w:highlight w:val="none"/>
                      <w:vertAlign w:val="subscript"/>
                      <w14:textFill>
                        <w14:solidFill>
                          <w14:schemeClr w14:val="tx1"/>
                        </w14:solidFill>
                      </w14:textFill>
                    </w:rPr>
                    <w:t xml:space="preserve">3 </w:t>
                  </w:r>
                </w:p>
                <w:p w14:paraId="3F66891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vertAlign w:val="baseline"/>
                      <w14:textFill>
                        <w14:solidFill>
                          <w14:schemeClr w14:val="tx1"/>
                        </w14:solidFill>
                      </w14:textFill>
                    </w:rPr>
                    <w:t>分子量：465.96</w:t>
                  </w:r>
                </w:p>
                <w:p w14:paraId="308854CF">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 xml:space="preserve">性状：黄色重质粉末或单斜结晶。无气味。在空气中稳定。 </w:t>
                  </w:r>
                </w:p>
                <w:p w14:paraId="084D5366">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密度（g/mL，25/4℃）：8.9</w:t>
                  </w:r>
                </w:p>
                <w:p w14:paraId="62CDB99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熔点（℃）：825</w:t>
                  </w:r>
                </w:p>
                <w:p w14:paraId="260BB06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沸点（℃，常压）：1890</w:t>
                  </w:r>
                </w:p>
                <w:p w14:paraId="21674785">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闪点（℃）：1890</w:t>
                  </w:r>
                </w:p>
                <w:p w14:paraId="786A6666">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溶解性：溶于盐酸和硝酸，不溶于水。加热变为褐红色，冷后仍变为黄色</w:t>
                  </w:r>
                </w:p>
              </w:tc>
              <w:tc>
                <w:tcPr>
                  <w:tcW w:w="4744" w:type="dxa"/>
                  <w:tcBorders>
                    <w:tl2br w:val="nil"/>
                    <w:tr2bl w:val="nil"/>
                  </w:tcBorders>
                  <w:vAlign w:val="center"/>
                </w:tcPr>
                <w:p w14:paraId="471788E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position w:val="2"/>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pacing w:val="0"/>
                      <w:w w:val="100"/>
                      <w:position w:val="2"/>
                      <w:sz w:val="21"/>
                      <w:szCs w:val="21"/>
                      <w:highlight w:val="none"/>
                      <w14:textFill>
                        <w14:solidFill>
                          <w14:schemeClr w14:val="tx1"/>
                        </w14:solidFill>
                      </w14:textFill>
                    </w:rPr>
                    <w:t>急性毒性：大鼠经口LD</w:t>
                  </w:r>
                  <w:r>
                    <w:rPr>
                      <w:rFonts w:hint="default" w:ascii="Times New Roman" w:hAnsi="Times New Roman" w:eastAsia="宋体" w:cs="Times New Roman"/>
                      <w:color w:val="000000" w:themeColor="text1"/>
                      <w:spacing w:val="0"/>
                      <w:w w:val="100"/>
                      <w:position w:val="2"/>
                      <w:sz w:val="21"/>
                      <w:szCs w:val="21"/>
                      <w:highlight w:val="none"/>
                      <w:vertAlign w:val="subscript"/>
                      <w14:textFill>
                        <w14:solidFill>
                          <w14:schemeClr w14:val="tx1"/>
                        </w14:solidFill>
                      </w14:textFill>
                    </w:rPr>
                    <w:t>50:</w:t>
                  </w:r>
                  <w:r>
                    <w:rPr>
                      <w:rFonts w:hint="default" w:ascii="Times New Roman" w:hAnsi="Times New Roman" w:eastAsia="宋体" w:cs="Times New Roman"/>
                      <w:color w:val="000000" w:themeColor="text1"/>
                      <w:spacing w:val="0"/>
                      <w:w w:val="100"/>
                      <w:position w:val="2"/>
                      <w:sz w:val="21"/>
                      <w:szCs w:val="21"/>
                      <w:highlight w:val="none"/>
                      <w:vertAlign w:val="baseline"/>
                      <w14:textFill>
                        <w14:solidFill>
                          <w14:schemeClr w14:val="tx1"/>
                        </w14:solidFill>
                      </w14:textFill>
                    </w:rPr>
                    <w:t>5g/kg；</w:t>
                  </w:r>
                </w:p>
                <w:p w14:paraId="1D5660B9">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2"/>
                      <w:sz w:val="21"/>
                      <w:szCs w:val="21"/>
                      <w:highlight w:val="none"/>
                      <w:vertAlign w:val="baseline"/>
                      <w14:textFill>
                        <w14:solidFill>
                          <w14:schemeClr w14:val="tx1"/>
                        </w14:solidFill>
                      </w14:textFill>
                    </w:rPr>
                    <w:t>小鼠经口LD</w:t>
                  </w:r>
                  <w:r>
                    <w:rPr>
                      <w:rFonts w:hint="default" w:ascii="Times New Roman" w:hAnsi="Times New Roman" w:eastAsia="宋体" w:cs="Times New Roman"/>
                      <w:color w:val="000000" w:themeColor="text1"/>
                      <w:spacing w:val="0"/>
                      <w:w w:val="100"/>
                      <w:position w:val="2"/>
                      <w:sz w:val="21"/>
                      <w:szCs w:val="21"/>
                      <w:highlight w:val="none"/>
                      <w:vertAlign w:val="subscript"/>
                      <w14:textFill>
                        <w14:solidFill>
                          <w14:schemeClr w14:val="tx1"/>
                        </w14:solidFill>
                      </w14:textFill>
                    </w:rPr>
                    <w:t>50:</w:t>
                  </w:r>
                  <w:r>
                    <w:rPr>
                      <w:rFonts w:hint="default" w:ascii="Times New Roman" w:hAnsi="Times New Roman" w:eastAsia="宋体" w:cs="Times New Roman"/>
                      <w:color w:val="000000" w:themeColor="text1"/>
                      <w:spacing w:val="0"/>
                      <w:w w:val="100"/>
                      <w:position w:val="2"/>
                      <w:sz w:val="21"/>
                      <w:szCs w:val="21"/>
                      <w:highlight w:val="none"/>
                      <w:vertAlign w:val="baseline"/>
                      <w14:textFill>
                        <w14:solidFill>
                          <w14:schemeClr w14:val="tx1"/>
                        </w14:solidFill>
                      </w14:textFill>
                    </w:rPr>
                    <w:t>10g/kg</w:t>
                  </w:r>
                </w:p>
              </w:tc>
            </w:tr>
            <w:tr w14:paraId="053CC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032" w:type="dxa"/>
                  <w:tcBorders>
                    <w:tl2br w:val="nil"/>
                    <w:tr2bl w:val="nil"/>
                  </w:tcBorders>
                  <w:vAlign w:val="center"/>
                </w:tcPr>
                <w:p w14:paraId="15BF6DA5">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氧化硼</w:t>
                  </w:r>
                </w:p>
              </w:tc>
              <w:tc>
                <w:tcPr>
                  <w:tcW w:w="2025" w:type="dxa"/>
                  <w:tcBorders>
                    <w:tl2br w:val="nil"/>
                    <w:tr2bl w:val="nil"/>
                  </w:tcBorders>
                  <w:vAlign w:val="center"/>
                </w:tcPr>
                <w:p w14:paraId="2040AA7F">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position w:val="0"/>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分子式：</w:t>
                  </w:r>
                  <w:r>
                    <w:rPr>
                      <w:rFonts w:hint="default" w:ascii="Times New Roman" w:hAnsi="Times New Roman" w:eastAsia="宋体" w:cs="Times New Roman"/>
                      <w:color w:val="000000" w:themeColor="text1"/>
                      <w:spacing w:val="0"/>
                      <w:w w:val="100"/>
                      <w:position w:val="1"/>
                      <w:sz w:val="21"/>
                      <w:szCs w:val="21"/>
                      <w:highlight w:val="none"/>
                      <w14:textFill>
                        <w14:solidFill>
                          <w14:schemeClr w14:val="tx1"/>
                        </w14:solidFill>
                      </w14:textFill>
                    </w:rPr>
                    <w:t>B</w:t>
                  </w:r>
                  <w:r>
                    <w:rPr>
                      <w:rFonts w:hint="default" w:ascii="Times New Roman" w:hAnsi="Times New Roman" w:eastAsia="宋体" w:cs="Times New Roman"/>
                      <w:color w:val="000000" w:themeColor="text1"/>
                      <w:spacing w:val="0"/>
                      <w:w w:val="100"/>
                      <w:position w:val="-3"/>
                      <w:sz w:val="21"/>
                      <w:szCs w:val="21"/>
                      <w:highlight w:val="none"/>
                      <w14:textFill>
                        <w14:solidFill>
                          <w14:schemeClr w14:val="tx1"/>
                        </w14:solidFill>
                      </w14:textFill>
                    </w:rPr>
                    <w:t>2</w:t>
                  </w:r>
                  <w:r>
                    <w:rPr>
                      <w:rFonts w:hint="default" w:ascii="Times New Roman" w:hAnsi="Times New Roman" w:eastAsia="宋体" w:cs="Times New Roman"/>
                      <w:color w:val="000000" w:themeColor="text1"/>
                      <w:spacing w:val="0"/>
                      <w:w w:val="100"/>
                      <w:position w:val="1"/>
                      <w:sz w:val="21"/>
                      <w:szCs w:val="21"/>
                      <w:highlight w:val="none"/>
                      <w14:textFill>
                        <w14:solidFill>
                          <w14:schemeClr w14:val="tx1"/>
                        </w14:solidFill>
                      </w14:textFill>
                    </w:rPr>
                    <w:t>O</w:t>
                  </w:r>
                  <w:r>
                    <w:rPr>
                      <w:rFonts w:hint="default" w:ascii="Times New Roman" w:hAnsi="Times New Roman" w:eastAsia="宋体" w:cs="Times New Roman"/>
                      <w:color w:val="000000" w:themeColor="text1"/>
                      <w:spacing w:val="0"/>
                      <w:w w:val="100"/>
                      <w:position w:val="-3"/>
                      <w:sz w:val="21"/>
                      <w:szCs w:val="21"/>
                      <w:highlight w:val="none"/>
                      <w14:textFill>
                        <w14:solidFill>
                          <w14:schemeClr w14:val="tx1"/>
                        </w14:solidFill>
                      </w14:textFill>
                    </w:rPr>
                    <w:t>3</w:t>
                  </w:r>
                </w:p>
              </w:tc>
              <w:tc>
                <w:tcPr>
                  <w:tcW w:w="5625" w:type="dxa"/>
                  <w:tcBorders>
                    <w:tl2br w:val="nil"/>
                    <w:tr2bl w:val="nil"/>
                  </w:tcBorders>
                  <w:vAlign w:val="center"/>
                </w:tcPr>
                <w:p w14:paraId="22FD1A1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1、性状：无色玻璃状晶体或粉末。</w:t>
                  </w:r>
                </w:p>
                <w:p w14:paraId="52927A36">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2、密度（g/mL，25/4℃）：1.812（无定形）、2.46（结晶）</w:t>
                  </w:r>
                </w:p>
                <w:p w14:paraId="6BB38BE5">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3、熔点（℃）：450℃（结晶）</w:t>
                  </w:r>
                </w:p>
                <w:p w14:paraId="205C3C0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4、沸点（℃，常压）：1860</w:t>
                  </w:r>
                </w:p>
                <w:p w14:paraId="4C14855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5、溶解性：溶于水，成为硼酸。溶于酸、碱溶液</w:t>
                  </w:r>
                </w:p>
              </w:tc>
              <w:tc>
                <w:tcPr>
                  <w:tcW w:w="4744" w:type="dxa"/>
                  <w:tcBorders>
                    <w:tl2br w:val="nil"/>
                    <w:tr2bl w:val="nil"/>
                  </w:tcBorders>
                  <w:vAlign w:val="center"/>
                </w:tcPr>
                <w:p w14:paraId="74F1881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1、急性毒性：小鼠引入腹膜LD50:1868mg/kg</w:t>
                  </w:r>
                </w:p>
                <w:p w14:paraId="774BAD7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2"/>
                      <w:sz w:val="21"/>
                      <w:szCs w:val="21"/>
                      <w:highlight w:val="none"/>
                      <w14:textFill>
                        <w14:solidFill>
                          <w14:schemeClr w14:val="tx1"/>
                        </w14:solidFill>
                      </w14:textFill>
                    </w:rPr>
                    <w:t>小鼠经口LD</w:t>
                  </w:r>
                  <w:r>
                    <w:rPr>
                      <w:rFonts w:hint="default" w:ascii="Times New Roman" w:hAnsi="Times New Roman" w:eastAsia="宋体" w:cs="Times New Roman"/>
                      <w:color w:val="000000" w:themeColor="text1"/>
                      <w:spacing w:val="0"/>
                      <w:w w:val="100"/>
                      <w:position w:val="2"/>
                      <w:sz w:val="21"/>
                      <w:szCs w:val="21"/>
                      <w:highlight w:val="none"/>
                      <w:vertAlign w:val="subscript"/>
                      <w14:textFill>
                        <w14:solidFill>
                          <w14:schemeClr w14:val="tx1"/>
                        </w14:solidFill>
                      </w14:textFill>
                    </w:rPr>
                    <w:t>50:</w:t>
                  </w:r>
                  <w:r>
                    <w:rPr>
                      <w:rFonts w:hint="default" w:ascii="Times New Roman" w:hAnsi="Times New Roman" w:eastAsia="宋体" w:cs="Times New Roman"/>
                      <w:color w:val="000000" w:themeColor="text1"/>
                      <w:spacing w:val="0"/>
                      <w:w w:val="100"/>
                      <w:position w:val="2"/>
                      <w:sz w:val="21"/>
                      <w:szCs w:val="21"/>
                      <w:highlight w:val="none"/>
                      <w:vertAlign w:val="baseline"/>
                      <w14:textFill>
                        <w14:solidFill>
                          <w14:schemeClr w14:val="tx1"/>
                        </w14:solidFill>
                      </w14:textFill>
                    </w:rPr>
                    <w:t>3163mg/kg ，小鼠经口</w:t>
                  </w:r>
                  <w:r>
                    <w:rPr>
                      <w:rFonts w:hint="default" w:ascii="Times New Roman" w:hAnsi="Times New Roman" w:eastAsia="宋体" w:cs="Times New Roman"/>
                      <w:color w:val="000000" w:themeColor="text1"/>
                      <w:spacing w:val="0"/>
                      <w:w w:val="100"/>
                      <w:position w:val="2"/>
                      <w:sz w:val="21"/>
                      <w:szCs w:val="21"/>
                      <w:highlight w:val="none"/>
                      <w14:textFill>
                        <w14:solidFill>
                          <w14:schemeClr w14:val="tx1"/>
                        </w14:solidFill>
                      </w14:textFill>
                    </w:rPr>
                    <w:t>LD</w:t>
                  </w:r>
                  <w:r>
                    <w:rPr>
                      <w:rFonts w:hint="default" w:ascii="Times New Roman" w:hAnsi="Times New Roman" w:eastAsia="宋体" w:cs="Times New Roman"/>
                      <w:color w:val="000000" w:themeColor="text1"/>
                      <w:spacing w:val="0"/>
                      <w:w w:val="100"/>
                      <w:position w:val="2"/>
                      <w:sz w:val="21"/>
                      <w:szCs w:val="21"/>
                      <w:highlight w:val="none"/>
                      <w:vertAlign w:val="subscript"/>
                      <w14:textFill>
                        <w14:solidFill>
                          <w14:schemeClr w14:val="tx1"/>
                        </w14:solidFill>
                      </w14:textFill>
                    </w:rPr>
                    <w:t>50:</w:t>
                  </w:r>
                  <w:r>
                    <w:rPr>
                      <w:rFonts w:hint="default" w:ascii="Times New Roman" w:hAnsi="Times New Roman" w:eastAsia="宋体" w:cs="Times New Roman"/>
                      <w:color w:val="000000" w:themeColor="text1"/>
                      <w:spacing w:val="0"/>
                      <w:w w:val="100"/>
                      <w:position w:val="2"/>
                      <w:sz w:val="21"/>
                      <w:szCs w:val="21"/>
                      <w:highlight w:val="none"/>
                      <w:vertAlign w:val="baseline"/>
                      <w14:textFill>
                        <w14:solidFill>
                          <w14:schemeClr w14:val="tx1"/>
                        </w14:solidFill>
                      </w14:textFill>
                    </w:rPr>
                    <w:t>3163mg/kg。</w:t>
                  </w:r>
                </w:p>
                <w:p w14:paraId="7638D0AE">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2、可刺激鼻、眼及皮肤，引起结膜炎、红疹</w:t>
                  </w:r>
                </w:p>
              </w:tc>
            </w:tr>
            <w:tr w14:paraId="79336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032" w:type="dxa"/>
                  <w:tcBorders>
                    <w:tl2br w:val="nil"/>
                    <w:tr2bl w:val="nil"/>
                  </w:tcBorders>
                  <w:vAlign w:val="center"/>
                </w:tcPr>
                <w:p w14:paraId="790616CD">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二氧化硅</w:t>
                  </w:r>
                </w:p>
              </w:tc>
              <w:tc>
                <w:tcPr>
                  <w:tcW w:w="2025" w:type="dxa"/>
                  <w:tcBorders>
                    <w:tl2br w:val="nil"/>
                    <w:tr2bl w:val="nil"/>
                  </w:tcBorders>
                  <w:vAlign w:val="center"/>
                </w:tcPr>
                <w:p w14:paraId="04B256DC">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position w:val="0"/>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pacing w:val="0"/>
                      <w:w w:val="100"/>
                      <w:position w:val="2"/>
                      <w:sz w:val="21"/>
                      <w:szCs w:val="21"/>
                      <w:highlight w:val="none"/>
                      <w14:textFill>
                        <w14:solidFill>
                          <w14:schemeClr w14:val="tx1"/>
                        </w14:solidFill>
                      </w14:textFill>
                    </w:rPr>
                    <w:t>分子式：SiO</w:t>
                  </w: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2</w:t>
                  </w:r>
                </w:p>
              </w:tc>
              <w:tc>
                <w:tcPr>
                  <w:tcW w:w="5625" w:type="dxa"/>
                  <w:tcBorders>
                    <w:tl2br w:val="nil"/>
                    <w:tr2bl w:val="nil"/>
                  </w:tcBorders>
                  <w:vAlign w:val="center"/>
                </w:tcPr>
                <w:p w14:paraId="4CF3C23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密度：2.2g/cm</w:t>
                  </w:r>
                  <w:r>
                    <w:rPr>
                      <w:rFonts w:hint="eastAsia" w:ascii="Times New Roman" w:hAnsi="Times New Roman" w:cs="Times New Roman"/>
                      <w:color w:val="000000" w:themeColor="text1"/>
                      <w:spacing w:val="0"/>
                      <w:w w:val="100"/>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pacing w:val="0"/>
                      <w:w w:val="100"/>
                      <w:position w:val="9"/>
                      <w:sz w:val="21"/>
                      <w:szCs w:val="21"/>
                      <w:highlight w:val="none"/>
                      <w14:textFill>
                        <w14:solidFill>
                          <w14:schemeClr w14:val="tx1"/>
                        </w14:solidFill>
                      </w14:textFill>
                    </w:rPr>
                    <w:t xml:space="preserve"> </w:t>
                  </w:r>
                  <w:r>
                    <w:rPr>
                      <w:rFonts w:hint="eastAsia" w:ascii="Times New Roman" w:hAnsi="Times New Roman" w:cs="Times New Roman"/>
                      <w:color w:val="000000" w:themeColor="text1"/>
                      <w:spacing w:val="0"/>
                      <w:w w:val="100"/>
                      <w:position w:val="9"/>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 xml:space="preserve">熔点：1723℃ </w:t>
                  </w:r>
                  <w:r>
                    <w:rPr>
                      <w:rFonts w:hint="eastAsia" w:ascii="Times New Roman" w:hAnsi="Times New Roman" w:cs="Times New Roman"/>
                      <w:color w:val="000000" w:themeColor="text1"/>
                      <w:spacing w:val="0"/>
                      <w:w w:val="100"/>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 xml:space="preserve">沸点：2230℃ </w:t>
                  </w:r>
                </w:p>
                <w:p w14:paraId="0BB6B8EE">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折射率：1.6</w:t>
                  </w:r>
                </w:p>
                <w:p w14:paraId="55EB8DEC">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eastAsia" w:ascii="Times New Roman" w:hAnsi="Times New Roman" w:eastAsia="宋体" w:cs="Times New Roman"/>
                      <w:color w:val="000000" w:themeColor="text1"/>
                      <w:spacing w:val="0"/>
                      <w:w w:val="100"/>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受热时的变化：与强碱在加热时熔化，生成硅酸盐溶解度：不溶于水，能与HF作用生成气态SiF</w:t>
                  </w:r>
                  <w:r>
                    <w:rPr>
                      <w:rFonts w:hint="eastAsia" w:ascii="Times New Roman" w:hAnsi="Times New Roman" w:cs="Times New Roman"/>
                      <w:color w:val="000000" w:themeColor="text1"/>
                      <w:spacing w:val="0"/>
                      <w:w w:val="100"/>
                      <w:position w:val="-2"/>
                      <w:sz w:val="21"/>
                      <w:szCs w:val="21"/>
                      <w:highlight w:val="none"/>
                      <w:vertAlign w:val="subscript"/>
                      <w:lang w:val="en-US" w:eastAsia="zh-CN"/>
                      <w14:textFill>
                        <w14:solidFill>
                          <w14:schemeClr w14:val="tx1"/>
                        </w14:solidFill>
                      </w14:textFill>
                    </w:rPr>
                    <w:t>4</w:t>
                  </w:r>
                </w:p>
              </w:tc>
              <w:tc>
                <w:tcPr>
                  <w:tcW w:w="4744" w:type="dxa"/>
                  <w:tcBorders>
                    <w:tl2br w:val="nil"/>
                    <w:tr2bl w:val="nil"/>
                  </w:tcBorders>
                  <w:vAlign w:val="center"/>
                </w:tcPr>
                <w:p w14:paraId="14A66E79">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w:t>
                  </w:r>
                </w:p>
              </w:tc>
            </w:tr>
            <w:tr w14:paraId="049ED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032" w:type="dxa"/>
                  <w:tcBorders>
                    <w:tl2br w:val="nil"/>
                    <w:tr2bl w:val="nil"/>
                  </w:tcBorders>
                  <w:vAlign w:val="center"/>
                </w:tcPr>
                <w:p w14:paraId="2CFC6F1D">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二氧化钛</w:t>
                  </w:r>
                </w:p>
              </w:tc>
              <w:tc>
                <w:tcPr>
                  <w:tcW w:w="2025" w:type="dxa"/>
                  <w:tcBorders>
                    <w:tl2br w:val="nil"/>
                    <w:tr2bl w:val="nil"/>
                  </w:tcBorders>
                  <w:vAlign w:val="center"/>
                </w:tcPr>
                <w:p w14:paraId="0663539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position w:val="2"/>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2"/>
                      <w:sz w:val="21"/>
                      <w:szCs w:val="21"/>
                      <w:highlight w:val="none"/>
                      <w14:textFill>
                        <w14:solidFill>
                          <w14:schemeClr w14:val="tx1"/>
                        </w14:solidFill>
                      </w14:textFill>
                    </w:rPr>
                    <w:t>分子式：TiO</w:t>
                  </w:r>
                  <w:r>
                    <w:rPr>
                      <w:rFonts w:hint="default" w:ascii="Times New Roman" w:hAnsi="Times New Roman" w:eastAsia="宋体" w:cs="Times New Roman"/>
                      <w:color w:val="000000" w:themeColor="text1"/>
                      <w:spacing w:val="0"/>
                      <w:w w:val="100"/>
                      <w:position w:val="2"/>
                      <w:sz w:val="21"/>
                      <w:szCs w:val="21"/>
                      <w:highlight w:val="none"/>
                      <w:vertAlign w:val="subscript"/>
                      <w14:textFill>
                        <w14:solidFill>
                          <w14:schemeClr w14:val="tx1"/>
                        </w14:solidFill>
                      </w14:textFill>
                    </w:rPr>
                    <w:t>2</w:t>
                  </w:r>
                </w:p>
              </w:tc>
              <w:tc>
                <w:tcPr>
                  <w:tcW w:w="5625" w:type="dxa"/>
                  <w:tcBorders>
                    <w:tl2br w:val="nil"/>
                    <w:tr2bl w:val="nil"/>
                  </w:tcBorders>
                  <w:vAlign w:val="center"/>
                </w:tcPr>
                <w:p w14:paraId="19D7ECA8">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分子量：79.866</w:t>
                  </w:r>
                  <w:r>
                    <w:rPr>
                      <w:rFonts w:hint="eastAsia" w:ascii="Times New Roman" w:hAnsi="Times New Roman" w:cs="Times New Roman"/>
                      <w:color w:val="000000" w:themeColor="text1"/>
                      <w:spacing w:val="0"/>
                      <w:w w:val="100"/>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熔点：1840℃</w:t>
                  </w:r>
                  <w:r>
                    <w:rPr>
                      <w:rFonts w:hint="eastAsia" w:ascii="Times New Roman" w:hAnsi="Times New Roman" w:cs="Times New Roman"/>
                      <w:color w:val="000000" w:themeColor="text1"/>
                      <w:spacing w:val="0"/>
                      <w:w w:val="100"/>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沸点：2900℃</w:t>
                  </w:r>
                </w:p>
                <w:p w14:paraId="2339DA8D">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水溶性：溶于热浓硫酸、盐酸、硝酸密度：4.26g/cm³</w:t>
                  </w:r>
                </w:p>
                <w:p w14:paraId="24C8EEE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折射率：2.76~2.55</w:t>
                  </w:r>
                </w:p>
              </w:tc>
              <w:tc>
                <w:tcPr>
                  <w:tcW w:w="4744" w:type="dxa"/>
                  <w:tcBorders>
                    <w:tl2br w:val="nil"/>
                    <w:tr2bl w:val="nil"/>
                  </w:tcBorders>
                  <w:vAlign w:val="center"/>
                </w:tcPr>
                <w:p w14:paraId="796EFC1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eastAsia" w:ascii="Times New Roman" w:hAnsi="Times New Roman" w:eastAsia="宋体" w:cs="Times New Roman"/>
                      <w:color w:val="000000" w:themeColor="text1"/>
                      <w:spacing w:val="0"/>
                      <w:w w:val="10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pacing w:val="0"/>
                      <w:w w:val="100"/>
                      <w:sz w:val="21"/>
                      <w:szCs w:val="21"/>
                      <w:highlight w:val="none"/>
                      <w:lang w:val="en-US" w:eastAsia="zh-CN"/>
                      <w14:textFill>
                        <w14:solidFill>
                          <w14:schemeClr w14:val="tx1"/>
                        </w14:solidFill>
                      </w14:textFill>
                    </w:rPr>
                    <w:t>/</w:t>
                  </w:r>
                </w:p>
              </w:tc>
            </w:tr>
            <w:tr w14:paraId="43A45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032" w:type="dxa"/>
                  <w:tcBorders>
                    <w:tl2br w:val="nil"/>
                    <w:tr2bl w:val="nil"/>
                  </w:tcBorders>
                  <w:vAlign w:val="center"/>
                </w:tcPr>
                <w:p w14:paraId="5DA2F62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五氧化二钽</w:t>
                  </w:r>
                </w:p>
              </w:tc>
              <w:tc>
                <w:tcPr>
                  <w:tcW w:w="2025" w:type="dxa"/>
                  <w:tcBorders>
                    <w:tl2br w:val="nil"/>
                    <w:tr2bl w:val="nil"/>
                  </w:tcBorders>
                  <w:vAlign w:val="center"/>
                </w:tcPr>
                <w:p w14:paraId="46731B51">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position w:val="2"/>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2"/>
                      <w:sz w:val="21"/>
                      <w:szCs w:val="21"/>
                      <w:highlight w:val="none"/>
                      <w14:textFill>
                        <w14:solidFill>
                          <w14:schemeClr w14:val="tx1"/>
                        </w14:solidFill>
                      </w14:textFill>
                    </w:rPr>
                    <w:t>分子式：Ta</w:t>
                  </w:r>
                  <w:r>
                    <w:rPr>
                      <w:rFonts w:hint="default" w:ascii="Times New Roman" w:hAnsi="Times New Roman" w:eastAsia="宋体" w:cs="Times New Roman"/>
                      <w:color w:val="000000" w:themeColor="text1"/>
                      <w:spacing w:val="0"/>
                      <w:w w:val="100"/>
                      <w:position w:val="2"/>
                      <w:sz w:val="21"/>
                      <w:szCs w:val="21"/>
                      <w:highlight w:val="none"/>
                      <w:vertAlign w:val="subscript"/>
                      <w14:textFill>
                        <w14:solidFill>
                          <w14:schemeClr w14:val="tx1"/>
                        </w14:solidFill>
                      </w14:textFill>
                    </w:rPr>
                    <w:t>2</w:t>
                  </w:r>
                  <w:r>
                    <w:rPr>
                      <w:rFonts w:hint="default" w:ascii="Times New Roman" w:hAnsi="Times New Roman" w:eastAsia="宋体" w:cs="Times New Roman"/>
                      <w:color w:val="000000" w:themeColor="text1"/>
                      <w:spacing w:val="0"/>
                      <w:w w:val="100"/>
                      <w:position w:val="2"/>
                      <w:sz w:val="21"/>
                      <w:szCs w:val="21"/>
                      <w:highlight w:val="none"/>
                      <w:vertAlign w:val="baseline"/>
                      <w14:textFill>
                        <w14:solidFill>
                          <w14:schemeClr w14:val="tx1"/>
                        </w14:solidFill>
                      </w14:textFill>
                    </w:rPr>
                    <w:t>O</w:t>
                  </w:r>
                  <w:r>
                    <w:rPr>
                      <w:rFonts w:hint="default" w:ascii="Times New Roman" w:hAnsi="Times New Roman" w:eastAsia="宋体" w:cs="Times New Roman"/>
                      <w:color w:val="000000" w:themeColor="text1"/>
                      <w:spacing w:val="0"/>
                      <w:w w:val="100"/>
                      <w:position w:val="2"/>
                      <w:sz w:val="21"/>
                      <w:szCs w:val="21"/>
                      <w:highlight w:val="none"/>
                      <w:vertAlign w:val="subscript"/>
                      <w14:textFill>
                        <w14:solidFill>
                          <w14:schemeClr w14:val="tx1"/>
                        </w14:solidFill>
                      </w14:textFill>
                    </w:rPr>
                    <w:t>5</w:t>
                  </w:r>
                </w:p>
              </w:tc>
              <w:tc>
                <w:tcPr>
                  <w:tcW w:w="5625" w:type="dxa"/>
                  <w:tcBorders>
                    <w:tl2br w:val="nil"/>
                    <w:tr2bl w:val="nil"/>
                  </w:tcBorders>
                  <w:vAlign w:val="center"/>
                </w:tcPr>
                <w:p w14:paraId="6107168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分子量：441.89 密度：8.2g/cm</w:t>
                  </w:r>
                  <w:r>
                    <w:rPr>
                      <w:rFonts w:hint="eastAsia" w:ascii="Times New Roman" w:hAnsi="Times New Roman" w:cs="Times New Roman"/>
                      <w:color w:val="000000" w:themeColor="text1"/>
                      <w:spacing w:val="0"/>
                      <w:w w:val="100"/>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pacing w:val="0"/>
                      <w:w w:val="100"/>
                      <w:position w:val="9"/>
                      <w:sz w:val="21"/>
                      <w:szCs w:val="21"/>
                      <w:highlight w:val="none"/>
                      <w14:textFill>
                        <w14:solidFill>
                          <w14:schemeClr w14:val="tx1"/>
                        </w14:solidFill>
                      </w14:textFill>
                    </w:rPr>
                    <w:t xml:space="preserve"> </w:t>
                  </w: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 xml:space="preserve">熔点：1872℃ 沸点：2230℃ </w:t>
                  </w:r>
                </w:p>
                <w:p w14:paraId="0080A65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折射率：2.25</w:t>
                  </w:r>
                </w:p>
                <w:p w14:paraId="6198CB45">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溶解度：溶于熔融硫酸氢钾和氢氟酸，不溶于水和其他酸。</w:t>
                  </w:r>
                </w:p>
              </w:tc>
              <w:tc>
                <w:tcPr>
                  <w:tcW w:w="4744" w:type="dxa"/>
                  <w:tcBorders>
                    <w:tl2br w:val="nil"/>
                    <w:tr2bl w:val="nil"/>
                  </w:tcBorders>
                  <w:vAlign w:val="center"/>
                </w:tcPr>
                <w:p w14:paraId="5431802E">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w:t>
                  </w:r>
                </w:p>
              </w:tc>
            </w:tr>
            <w:tr w14:paraId="1BA54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032" w:type="dxa"/>
                  <w:tcBorders>
                    <w:tl2br w:val="nil"/>
                    <w:tr2bl w:val="nil"/>
                  </w:tcBorders>
                  <w:vAlign w:val="center"/>
                </w:tcPr>
                <w:p w14:paraId="7D3D2588">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氧化铁</w:t>
                  </w:r>
                </w:p>
              </w:tc>
              <w:tc>
                <w:tcPr>
                  <w:tcW w:w="2025" w:type="dxa"/>
                  <w:tcBorders>
                    <w:tl2br w:val="nil"/>
                    <w:tr2bl w:val="nil"/>
                  </w:tcBorders>
                  <w:vAlign w:val="center"/>
                </w:tcPr>
                <w:p w14:paraId="08DADD99">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position w:val="2"/>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分子式：Fe</w:t>
                  </w:r>
                  <w:r>
                    <w:rPr>
                      <w:rFonts w:hint="default" w:ascii="Times New Roman" w:hAnsi="Times New Roman" w:eastAsia="宋体" w:cs="Times New Roman"/>
                      <w:color w:val="000000" w:themeColor="text1"/>
                      <w:spacing w:val="0"/>
                      <w:w w:val="100"/>
                      <w:sz w:val="21"/>
                      <w:szCs w:val="21"/>
                      <w:highlight w:val="none"/>
                      <w:vertAlign w:val="subscript"/>
                      <w14:textFill>
                        <w14:solidFill>
                          <w14:schemeClr w14:val="tx1"/>
                        </w14:solidFill>
                      </w14:textFill>
                    </w:rPr>
                    <w:t>2</w:t>
                  </w:r>
                  <w:r>
                    <w:rPr>
                      <w:rFonts w:hint="default" w:ascii="Times New Roman" w:hAnsi="Times New Roman" w:eastAsia="宋体" w:cs="Times New Roman"/>
                      <w:color w:val="000000" w:themeColor="text1"/>
                      <w:spacing w:val="0"/>
                      <w:w w:val="100"/>
                      <w:sz w:val="21"/>
                      <w:szCs w:val="21"/>
                      <w:highlight w:val="none"/>
                      <w:vertAlign w:val="baseline"/>
                      <w14:textFill>
                        <w14:solidFill>
                          <w14:schemeClr w14:val="tx1"/>
                        </w14:solidFill>
                      </w14:textFill>
                    </w:rPr>
                    <w:t>O</w:t>
                  </w:r>
                  <w:r>
                    <w:rPr>
                      <w:rFonts w:hint="default" w:ascii="Times New Roman" w:hAnsi="Times New Roman" w:eastAsia="宋体" w:cs="Times New Roman"/>
                      <w:color w:val="000000" w:themeColor="text1"/>
                      <w:spacing w:val="0"/>
                      <w:w w:val="100"/>
                      <w:sz w:val="21"/>
                      <w:szCs w:val="21"/>
                      <w:highlight w:val="none"/>
                      <w:vertAlign w:val="subscript"/>
                      <w14:textFill>
                        <w14:solidFill>
                          <w14:schemeClr w14:val="tx1"/>
                        </w14:solidFill>
                      </w14:textFill>
                    </w:rPr>
                    <w:t>3</w:t>
                  </w:r>
                </w:p>
              </w:tc>
              <w:tc>
                <w:tcPr>
                  <w:tcW w:w="5625" w:type="dxa"/>
                  <w:tcBorders>
                    <w:tl2br w:val="nil"/>
                    <w:tr2bl w:val="nil"/>
                  </w:tcBorders>
                  <w:vAlign w:val="center"/>
                </w:tcPr>
                <w:p w14:paraId="5739995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分子量：159.6882</w:t>
                  </w:r>
                  <w:r>
                    <w:rPr>
                      <w:rFonts w:hint="eastAsia" w:ascii="Times New Roman" w:hAnsi="Times New Roman" w:cs="Times New Roman"/>
                      <w:color w:val="000000" w:themeColor="text1"/>
                      <w:spacing w:val="0"/>
                      <w:w w:val="100"/>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密度：5.24g/cm</w:t>
                  </w:r>
                  <w:r>
                    <w:rPr>
                      <w:rFonts w:hint="eastAsia" w:ascii="Times New Roman" w:hAnsi="Times New Roman" w:cs="Times New Roman"/>
                      <w:color w:val="000000" w:themeColor="text1"/>
                      <w:spacing w:val="0"/>
                      <w:w w:val="100"/>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 xml:space="preserve"> </w:t>
                  </w:r>
                  <w:r>
                    <w:rPr>
                      <w:rFonts w:hint="eastAsia" w:ascii="Times New Roman" w:hAnsi="Times New Roman" w:cs="Times New Roman"/>
                      <w:color w:val="000000" w:themeColor="text1"/>
                      <w:spacing w:val="0"/>
                      <w:w w:val="100"/>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熔点：1565℃</w:t>
                  </w:r>
                </w:p>
                <w:p w14:paraId="5874F82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沸点：3414℃</w:t>
                  </w:r>
                </w:p>
                <w:p w14:paraId="55DAA30D">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溶解度：不溶于水，可溶于酸。</w:t>
                  </w:r>
                </w:p>
              </w:tc>
              <w:tc>
                <w:tcPr>
                  <w:tcW w:w="4744" w:type="dxa"/>
                  <w:tcBorders>
                    <w:tl2br w:val="nil"/>
                    <w:tr2bl w:val="nil"/>
                  </w:tcBorders>
                  <w:vAlign w:val="center"/>
                </w:tcPr>
                <w:p w14:paraId="66C8236C">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w:t>
                  </w:r>
                </w:p>
              </w:tc>
            </w:tr>
            <w:tr w14:paraId="36BFAF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032" w:type="dxa"/>
                  <w:tcBorders>
                    <w:tl2br w:val="nil"/>
                    <w:tr2bl w:val="nil"/>
                  </w:tcBorders>
                  <w:vAlign w:val="center"/>
                </w:tcPr>
                <w:p w14:paraId="61F9FF41">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进口胶</w:t>
                  </w:r>
                </w:p>
              </w:tc>
              <w:tc>
                <w:tcPr>
                  <w:tcW w:w="2025" w:type="dxa"/>
                  <w:tcBorders>
                    <w:tl2br w:val="nil"/>
                    <w:tr2bl w:val="nil"/>
                  </w:tcBorders>
                  <w:vAlign w:val="center"/>
                </w:tcPr>
                <w:p w14:paraId="47FB9D7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jc w:val="center"/>
                    <w:textAlignment w:val="auto"/>
                    <w:rPr>
                      <w:rFonts w:hint="default" w:ascii="Times New Roman" w:hAnsi="Times New Roman" w:eastAsia="宋体" w:cs="Times New Roman"/>
                      <w:color w:val="000000" w:themeColor="text1"/>
                      <w:spacing w:val="0"/>
                      <w:w w:val="100"/>
                      <w:position w:val="2"/>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蜡</w:t>
                  </w:r>
                </w:p>
              </w:tc>
              <w:tc>
                <w:tcPr>
                  <w:tcW w:w="5625" w:type="dxa"/>
                  <w:tcBorders>
                    <w:tl2br w:val="nil"/>
                    <w:tr2bl w:val="nil"/>
                  </w:tcBorders>
                  <w:vAlign w:val="center"/>
                </w:tcPr>
                <w:p w14:paraId="515D599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hanging="17"/>
                    <w:jc w:val="both"/>
                    <w:textAlignment w:val="auto"/>
                    <w:rPr>
                      <w:rFonts w:hint="default" w:ascii="Times New Roman" w:hAnsi="Times New Roman" w:eastAsia="宋体" w:cs="Times New Roman"/>
                      <w:color w:val="000000" w:themeColor="text1"/>
                      <w:spacing w:val="0"/>
                      <w:w w:val="100"/>
                      <w:position w:val="2"/>
                      <w:sz w:val="21"/>
                      <w:szCs w:val="21"/>
                      <w:highlight w:val="none"/>
                      <w:vertAlign w:val="baseline"/>
                      <w14:textFill>
                        <w14:solidFill>
                          <w14:schemeClr w14:val="tx1"/>
                        </w14:solidFill>
                      </w14:textFill>
                    </w:rPr>
                  </w:pPr>
                  <w:r>
                    <w:rPr>
                      <w:rFonts w:hint="default" w:ascii="Times New Roman" w:hAnsi="Times New Roman" w:eastAsia="宋体" w:cs="Times New Roman"/>
                      <w:color w:val="000000" w:themeColor="text1"/>
                      <w:spacing w:val="0"/>
                      <w:w w:val="100"/>
                      <w:position w:val="2"/>
                      <w:sz w:val="21"/>
                      <w:szCs w:val="21"/>
                      <w:highlight w:val="none"/>
                      <w14:textFill>
                        <w14:solidFill>
                          <w14:schemeClr w14:val="tx1"/>
                        </w14:solidFill>
                      </w14:textFill>
                    </w:rPr>
                    <w:t>外观性状：不定性颜色的固体比重（H</w:t>
                  </w:r>
                  <w:r>
                    <w:rPr>
                      <w:rFonts w:hint="default" w:ascii="Times New Roman" w:hAnsi="Times New Roman" w:eastAsia="宋体" w:cs="Times New Roman"/>
                      <w:color w:val="000000" w:themeColor="text1"/>
                      <w:spacing w:val="0"/>
                      <w:w w:val="100"/>
                      <w:position w:val="2"/>
                      <w:sz w:val="21"/>
                      <w:szCs w:val="21"/>
                      <w:highlight w:val="none"/>
                      <w:vertAlign w:val="subscript"/>
                      <w14:textFill>
                        <w14:solidFill>
                          <w14:schemeClr w14:val="tx1"/>
                        </w14:solidFill>
                      </w14:textFill>
                    </w:rPr>
                    <w:t>2</w:t>
                  </w:r>
                  <w:r>
                    <w:rPr>
                      <w:rFonts w:hint="default" w:ascii="Times New Roman" w:hAnsi="Times New Roman" w:eastAsia="宋体" w:cs="Times New Roman"/>
                      <w:color w:val="000000" w:themeColor="text1"/>
                      <w:spacing w:val="0"/>
                      <w:w w:val="100"/>
                      <w:position w:val="2"/>
                      <w:sz w:val="21"/>
                      <w:szCs w:val="21"/>
                      <w:highlight w:val="none"/>
                      <w:vertAlign w:val="baseline"/>
                      <w14:textFill>
                        <w14:solidFill>
                          <w14:schemeClr w14:val="tx1"/>
                        </w14:solidFill>
                      </w14:textFill>
                    </w:rPr>
                    <w:t xml:space="preserve">0=1）：0.9±0.05  </w:t>
                  </w:r>
                </w:p>
                <w:p w14:paraId="6970989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hanging="17"/>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vertAlign w:val="baseline"/>
                      <w14:textFill>
                        <w14:solidFill>
                          <w14:schemeClr w14:val="tx1"/>
                        </w14:solidFill>
                      </w14:textFill>
                    </w:rPr>
                    <w:t>闪点：240℃</w:t>
                  </w:r>
                </w:p>
                <w:p w14:paraId="0F77DD9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溶解性：不溶于水</w:t>
                  </w:r>
                </w:p>
              </w:tc>
              <w:tc>
                <w:tcPr>
                  <w:tcW w:w="4744" w:type="dxa"/>
                  <w:tcBorders>
                    <w:tl2br w:val="nil"/>
                    <w:tr2bl w:val="nil"/>
                  </w:tcBorders>
                  <w:vAlign w:val="center"/>
                </w:tcPr>
                <w:p w14:paraId="0D2CA99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眼睛接触：热的蜡屑可能会刺激、灼伤眼睛皮肤接触：会发紧、热蜡可能会使皮肤灼伤</w:t>
                  </w:r>
                </w:p>
              </w:tc>
            </w:tr>
            <w:tr w14:paraId="6D529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032" w:type="dxa"/>
                  <w:tcBorders>
                    <w:tl2br w:val="nil"/>
                    <w:tr2bl w:val="nil"/>
                  </w:tcBorders>
                  <w:vAlign w:val="center"/>
                </w:tcPr>
                <w:p w14:paraId="015EDC08">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金刚石钻石液</w:t>
                  </w:r>
                </w:p>
              </w:tc>
              <w:tc>
                <w:tcPr>
                  <w:tcW w:w="2025" w:type="dxa"/>
                  <w:tcBorders>
                    <w:tl2br w:val="nil"/>
                    <w:tr2bl w:val="nil"/>
                  </w:tcBorders>
                  <w:vAlign w:val="center"/>
                </w:tcPr>
                <w:p w14:paraId="0F107BB9">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position w:val="2"/>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金刚石，化学式SiC</w:t>
                  </w:r>
                </w:p>
              </w:tc>
              <w:tc>
                <w:tcPr>
                  <w:tcW w:w="5625" w:type="dxa"/>
                  <w:tcBorders>
                    <w:tl2br w:val="nil"/>
                    <w:tr2bl w:val="nil"/>
                  </w:tcBorders>
                  <w:vAlign w:val="center"/>
                </w:tcPr>
                <w:p w14:paraId="69A23FE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 xml:space="preserve">外观和性状：深灰色不透明液体，轻微的酸性气味 </w:t>
                  </w:r>
                </w:p>
                <w:p w14:paraId="1EEE6C9F">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沸点：100℃</w:t>
                  </w:r>
                </w:p>
                <w:p w14:paraId="53D388B6">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比重：1.00-1.1g/cm</w:t>
                  </w:r>
                  <w:r>
                    <w:rPr>
                      <w:rFonts w:hint="eastAsia" w:ascii="Times New Roman" w:hAnsi="Times New Roman" w:cs="Times New Roman"/>
                      <w:color w:val="000000" w:themeColor="text1"/>
                      <w:spacing w:val="0"/>
                      <w:w w:val="100"/>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pacing w:val="0"/>
                      <w:w w:val="100"/>
                      <w:position w:val="7"/>
                      <w:sz w:val="21"/>
                      <w:szCs w:val="21"/>
                      <w:highlight w:val="none"/>
                      <w14:textFill>
                        <w14:solidFill>
                          <w14:schemeClr w14:val="tx1"/>
                        </w14:solidFill>
                      </w14:textFill>
                    </w:rPr>
                    <w:t xml:space="preserve"> </w:t>
                  </w:r>
                  <w:r>
                    <w:rPr>
                      <w:rFonts w:hint="eastAsia" w:ascii="Times New Roman" w:hAnsi="Times New Roman" w:cs="Times New Roman"/>
                      <w:color w:val="000000" w:themeColor="text1"/>
                      <w:spacing w:val="0"/>
                      <w:w w:val="100"/>
                      <w:position w:val="7"/>
                      <w:sz w:val="21"/>
                      <w:szCs w:val="21"/>
                      <w:highlight w:val="none"/>
                      <w:lang w:eastAsia="zh-CN"/>
                      <w14:textFill>
                        <w14:solidFill>
                          <w14:schemeClr w14:val="tx1"/>
                        </w14:solidFill>
                      </w14:textFill>
                    </w:rPr>
                    <w:t>黏度</w:t>
                  </w: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：约1.1cps</w:t>
                  </w:r>
                </w:p>
                <w:p w14:paraId="6DD44495">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pH值：2-7</w:t>
                  </w:r>
                </w:p>
                <w:p w14:paraId="56579B49">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溶解性：可溶于水</w:t>
                  </w:r>
                </w:p>
              </w:tc>
              <w:tc>
                <w:tcPr>
                  <w:tcW w:w="4744" w:type="dxa"/>
                  <w:tcBorders>
                    <w:tl2br w:val="nil"/>
                    <w:tr2bl w:val="nil"/>
                  </w:tcBorders>
                  <w:vAlign w:val="center"/>
                </w:tcPr>
                <w:p w14:paraId="73A263C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9"/>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吸入：在高浓度的气态环境中（高于700ppm</w:t>
                  </w:r>
                  <w:r>
                    <w:rPr>
                      <w:rFonts w:hint="eastAsia" w:ascii="Times New Roman" w:hAnsi="Times New Roman" w:cs="Times New Roman"/>
                      <w:color w:val="000000" w:themeColor="text1"/>
                      <w:spacing w:val="0"/>
                      <w:w w:val="100"/>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会刺激眼睛和呼吸道，有时会导致头疼、麻醉以及意识不清晰。</w:t>
                  </w:r>
                </w:p>
                <w:p w14:paraId="1108AA7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2"/>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皮肤和眼睛接触：虽然有轻微的酸性，但是不</w:t>
                  </w:r>
                </w:p>
                <w:p w14:paraId="473AAEC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会损害眼组织。有轻微的毒性，若长时间或反复接触，可能会刺激和皮肤发炎。</w:t>
                  </w:r>
                </w:p>
              </w:tc>
            </w:tr>
            <w:tr w14:paraId="742FF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032" w:type="dxa"/>
                  <w:tcBorders>
                    <w:tl2br w:val="nil"/>
                    <w:tr2bl w:val="nil"/>
                  </w:tcBorders>
                  <w:vAlign w:val="center"/>
                </w:tcPr>
                <w:p w14:paraId="66848DA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氟化镁</w:t>
                  </w:r>
                </w:p>
              </w:tc>
              <w:tc>
                <w:tcPr>
                  <w:tcW w:w="2025" w:type="dxa"/>
                  <w:tcBorders>
                    <w:tl2br w:val="nil"/>
                    <w:tr2bl w:val="nil"/>
                  </w:tcBorders>
                  <w:vAlign w:val="center"/>
                </w:tcPr>
                <w:p w14:paraId="2A6684C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position w:val="2"/>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1"/>
                      <w:sz w:val="21"/>
                      <w:szCs w:val="21"/>
                      <w:highlight w:val="none"/>
                      <w14:textFill>
                        <w14:solidFill>
                          <w14:schemeClr w14:val="tx1"/>
                        </w14:solidFill>
                      </w14:textFill>
                    </w:rPr>
                    <w:t>分子式：MgF</w:t>
                  </w:r>
                  <w:r>
                    <w:rPr>
                      <w:rFonts w:hint="default" w:ascii="Times New Roman" w:hAnsi="Times New Roman" w:eastAsia="宋体" w:cs="Times New Roman"/>
                      <w:color w:val="000000" w:themeColor="text1"/>
                      <w:spacing w:val="0"/>
                      <w:w w:val="100"/>
                      <w:position w:val="1"/>
                      <w:sz w:val="21"/>
                      <w:szCs w:val="21"/>
                      <w:highlight w:val="none"/>
                      <w:vertAlign w:val="subscript"/>
                      <w14:textFill>
                        <w14:solidFill>
                          <w14:schemeClr w14:val="tx1"/>
                        </w14:solidFill>
                      </w14:textFill>
                    </w:rPr>
                    <w:t>2</w:t>
                  </w:r>
                </w:p>
              </w:tc>
              <w:tc>
                <w:tcPr>
                  <w:tcW w:w="5625" w:type="dxa"/>
                  <w:tcBorders>
                    <w:tl2br w:val="nil"/>
                    <w:tr2bl w:val="nil"/>
                  </w:tcBorders>
                  <w:vAlign w:val="center"/>
                </w:tcPr>
                <w:p w14:paraId="596DC2D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外观和性状：无色四方晶体，难溶于水和醇，微溶于稀酸，溶于硝酸。</w:t>
                  </w:r>
                </w:p>
                <w:p w14:paraId="4055E52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熔点：1261°C</w:t>
                  </w:r>
                </w:p>
                <w:p w14:paraId="33F188B9">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沸点：2260°C（分解） 水溶性：难溶</w:t>
                  </w:r>
                </w:p>
                <w:p w14:paraId="3EDF73CE">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jc w:val="both"/>
                    <w:textAlignment w:val="auto"/>
                    <w:rPr>
                      <w:rFonts w:hint="eastAsia" w:ascii="Times New Roman" w:hAnsi="Times New Roman" w:eastAsia="宋体" w:cs="Times New Roman"/>
                      <w:color w:val="000000" w:themeColor="text1"/>
                      <w:spacing w:val="0"/>
                      <w:w w:val="10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密度：3.148 g/cm</w:t>
                  </w:r>
                  <w:r>
                    <w:rPr>
                      <w:rFonts w:hint="eastAsia" w:ascii="Times New Roman" w:hAnsi="Times New Roman" w:cs="Times New Roman"/>
                      <w:color w:val="000000" w:themeColor="text1"/>
                      <w:spacing w:val="0"/>
                      <w:w w:val="100"/>
                      <w:sz w:val="21"/>
                      <w:szCs w:val="21"/>
                      <w:highlight w:val="none"/>
                      <w:vertAlign w:val="superscript"/>
                      <w:lang w:val="en-US" w:eastAsia="zh-CN"/>
                      <w14:textFill>
                        <w14:solidFill>
                          <w14:schemeClr w14:val="tx1"/>
                        </w14:solidFill>
                      </w14:textFill>
                    </w:rPr>
                    <w:t>3</w:t>
                  </w:r>
                </w:p>
              </w:tc>
              <w:tc>
                <w:tcPr>
                  <w:tcW w:w="4744" w:type="dxa"/>
                  <w:tcBorders>
                    <w:tl2br w:val="nil"/>
                    <w:tr2bl w:val="nil"/>
                  </w:tcBorders>
                  <w:vAlign w:val="center"/>
                </w:tcPr>
                <w:p w14:paraId="5BB5ECC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w:t>
                  </w:r>
                </w:p>
              </w:tc>
            </w:tr>
            <w:tr w14:paraId="0F0133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032" w:type="dxa"/>
                  <w:tcBorders>
                    <w:tl2br w:val="nil"/>
                    <w:tr2bl w:val="nil"/>
                  </w:tcBorders>
                  <w:vAlign w:val="center"/>
                </w:tcPr>
                <w:p w14:paraId="0DB74B7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氩气</w:t>
                  </w:r>
                </w:p>
              </w:tc>
              <w:tc>
                <w:tcPr>
                  <w:tcW w:w="2025" w:type="dxa"/>
                  <w:tcBorders>
                    <w:tl2br w:val="nil"/>
                    <w:tr2bl w:val="nil"/>
                  </w:tcBorders>
                  <w:vAlign w:val="center"/>
                </w:tcPr>
                <w:p w14:paraId="4EDE032D">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position w:val="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w w:val="100"/>
                      <w:position w:val="1"/>
                      <w:sz w:val="21"/>
                      <w:szCs w:val="21"/>
                      <w:highlight w:val="none"/>
                      <w14:textFill>
                        <w14:solidFill>
                          <w14:schemeClr w14:val="tx1"/>
                        </w14:solidFill>
                      </w14:textFill>
                    </w:rPr>
                    <w:t>分子式：</w:t>
                  </w:r>
                  <w:r>
                    <w:rPr>
                      <w:rFonts w:hint="eastAsia" w:ascii="Times New Roman" w:hAnsi="Times New Roman" w:cs="Times New Roman"/>
                      <w:color w:val="000000" w:themeColor="text1"/>
                      <w:spacing w:val="0"/>
                      <w:w w:val="100"/>
                      <w:position w:val="1"/>
                      <w:sz w:val="21"/>
                      <w:szCs w:val="21"/>
                      <w:highlight w:val="none"/>
                      <w:lang w:val="en-US" w:eastAsia="zh-CN"/>
                      <w14:textFill>
                        <w14:solidFill>
                          <w14:schemeClr w14:val="tx1"/>
                        </w14:solidFill>
                      </w14:textFill>
                    </w:rPr>
                    <w:t>Ar</w:t>
                  </w:r>
                </w:p>
              </w:tc>
              <w:tc>
                <w:tcPr>
                  <w:tcW w:w="5625" w:type="dxa"/>
                  <w:tcBorders>
                    <w:tl2br w:val="nil"/>
                    <w:tr2bl w:val="nil"/>
                  </w:tcBorders>
                  <w:vAlign w:val="center"/>
                </w:tcPr>
                <w:p w14:paraId="5B711DD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一种无色、无味、无毒的单原子惰性气体，其密度是空气的1.4倍，是氦气的10倍。氩气不能燃烧或支持燃烧，并且在室温下不会与其他物质发生任何化学反应。其化学性质非常不活泼，具有良好的稳定性。它在高温下也不溶于液态金属，并显示出其在焊接有色金属方面的优越性。</w:t>
                  </w:r>
                </w:p>
              </w:tc>
              <w:tc>
                <w:tcPr>
                  <w:tcW w:w="4744" w:type="dxa"/>
                  <w:tcBorders>
                    <w:tl2br w:val="nil"/>
                    <w:tr2bl w:val="nil"/>
                  </w:tcBorders>
                  <w:vAlign w:val="center"/>
                </w:tcPr>
                <w:p w14:paraId="24189843">
                  <w:pPr>
                    <w:pStyle w:val="110"/>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color w:val="000000" w:themeColor="text1"/>
                      <w:highlight w:val="none"/>
                      <w14:textFill>
                        <w14:solidFill>
                          <w14:schemeClr w14:val="tx1"/>
                        </w14:solidFill>
                      </w14:textFill>
                    </w:rPr>
                    <w:t>普通大气压下无毒。高浓度时，使氧分压降低而发生窒息。氩浓度达50%以上，引起严重症状；75%以上时，可在数分钟内死亡。当空气中氩浓度增高时，先出现呼吸加速，注意力不集中，共济失调。继之，疲倦乏力、烦躁不安、恶心、呕吐、昏迷、抽搐，以致死亡。液态氩可致皮肤冻伤；眼部接触可引起炎症。</w:t>
                  </w:r>
                  <w:bookmarkStart w:id="28" w:name="_GoBack"/>
                  <w:bookmarkEnd w:id="28"/>
                  <w:r>
                    <w:rPr>
                      <w:color w:val="000000" w:themeColor="text1"/>
                      <w:highlight w:val="none"/>
                      <w14:textFill>
                        <w14:solidFill>
                          <w14:schemeClr w14:val="tx1"/>
                        </w14:solidFill>
                      </w14:textFill>
                    </w:rPr>
                    <w:t>若遇高热，容器内压增大，有开裂和爆炸的危险。</w:t>
                  </w:r>
                </w:p>
              </w:tc>
            </w:tr>
            <w:tr w14:paraId="2EF8E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032" w:type="dxa"/>
                  <w:tcBorders>
                    <w:tl2br w:val="nil"/>
                    <w:tr2bl w:val="nil"/>
                  </w:tcBorders>
                  <w:vAlign w:val="center"/>
                </w:tcPr>
                <w:p w14:paraId="0F5294F1">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氧气</w:t>
                  </w:r>
                </w:p>
              </w:tc>
              <w:tc>
                <w:tcPr>
                  <w:tcW w:w="2025" w:type="dxa"/>
                  <w:tcBorders>
                    <w:tl2br w:val="nil"/>
                    <w:tr2bl w:val="nil"/>
                  </w:tcBorders>
                  <w:vAlign w:val="center"/>
                </w:tcPr>
                <w:p w14:paraId="4271918C">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position w:val="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w w:val="100"/>
                      <w:position w:val="1"/>
                      <w:sz w:val="21"/>
                      <w:szCs w:val="21"/>
                      <w:highlight w:val="none"/>
                      <w14:textFill>
                        <w14:solidFill>
                          <w14:schemeClr w14:val="tx1"/>
                        </w14:solidFill>
                      </w14:textFill>
                    </w:rPr>
                    <w:t>分子式：</w:t>
                  </w:r>
                  <w:r>
                    <w:rPr>
                      <w:rFonts w:hint="eastAsia" w:ascii="Times New Roman" w:hAnsi="Times New Roman" w:cs="Times New Roman"/>
                      <w:color w:val="000000" w:themeColor="text1"/>
                      <w:spacing w:val="0"/>
                      <w:w w:val="100"/>
                      <w:position w:val="1"/>
                      <w:sz w:val="21"/>
                      <w:szCs w:val="21"/>
                      <w:highlight w:val="none"/>
                      <w:lang w:val="en-US" w:eastAsia="zh-CN"/>
                      <w14:textFill>
                        <w14:solidFill>
                          <w14:schemeClr w14:val="tx1"/>
                        </w14:solidFill>
                      </w14:textFill>
                    </w:rPr>
                    <w:t>O</w:t>
                  </w:r>
                  <w:r>
                    <w:rPr>
                      <w:rFonts w:hint="eastAsia" w:ascii="Times New Roman" w:hAnsi="Times New Roman" w:cs="Times New Roman"/>
                      <w:color w:val="000000" w:themeColor="text1"/>
                      <w:spacing w:val="0"/>
                      <w:w w:val="100"/>
                      <w:position w:val="1"/>
                      <w:sz w:val="21"/>
                      <w:szCs w:val="21"/>
                      <w:highlight w:val="none"/>
                      <w:vertAlign w:val="subscript"/>
                      <w:lang w:val="en-US" w:eastAsia="zh-CN"/>
                      <w14:textFill>
                        <w14:solidFill>
                          <w14:schemeClr w14:val="tx1"/>
                        </w14:solidFill>
                      </w14:textFill>
                    </w:rPr>
                    <w:t>2</w:t>
                  </w:r>
                </w:p>
              </w:tc>
              <w:tc>
                <w:tcPr>
                  <w:tcW w:w="5625" w:type="dxa"/>
                  <w:tcBorders>
                    <w:tl2br w:val="nil"/>
                    <w:tr2bl w:val="nil"/>
                  </w:tcBorders>
                  <w:vAlign w:val="center"/>
                </w:tcPr>
                <w:p w14:paraId="2FB3D4F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是氧元素形成的一种单质，化学式O2，其化学性质比较活泼，大部分的元素都能与氧气反应。常温下不是很活泼，与许多物质都不易作用。但在高温下则很活泼，能与多种元素直接化合，这与氧原子的电负性仅次于氟有关。无色无味气体，是氧元素最常见的单质形态。熔点-218.4℃，沸点-183℃。不易溶于水，1L水中溶解约30mL氧气。在空气中氧气约占21%。液氧为天蓝色。固氧为蓝色晶体。</w:t>
                  </w:r>
                </w:p>
              </w:tc>
              <w:tc>
                <w:tcPr>
                  <w:tcW w:w="4744" w:type="dxa"/>
                  <w:tcBorders>
                    <w:tl2br w:val="nil"/>
                    <w:tr2bl w:val="nil"/>
                  </w:tcBorders>
                  <w:vAlign w:val="center"/>
                </w:tcPr>
                <w:p w14:paraId="4DA5EF6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急性毒性：人类吸入TCLo：100pph/14HTCLo：100%（100%）（人吸入，14h）；TCLo：80%（大鼠吸入）。氧气是一种易燃物质，可以加速燃烧。如果氧气泄漏，尤其在封闭空间中，可能导致火灾或爆炸。</w:t>
                  </w:r>
                </w:p>
              </w:tc>
            </w:tr>
            <w:tr w14:paraId="38A6F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032" w:type="dxa"/>
                  <w:tcBorders>
                    <w:tl2br w:val="nil"/>
                    <w:tr2bl w:val="nil"/>
                  </w:tcBorders>
                  <w:vAlign w:val="center"/>
                </w:tcPr>
                <w:p w14:paraId="7DAB10BE">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氮气</w:t>
                  </w:r>
                </w:p>
              </w:tc>
              <w:tc>
                <w:tcPr>
                  <w:tcW w:w="2025" w:type="dxa"/>
                  <w:tcBorders>
                    <w:tl2br w:val="nil"/>
                    <w:tr2bl w:val="nil"/>
                  </w:tcBorders>
                  <w:vAlign w:val="center"/>
                </w:tcPr>
                <w:p w14:paraId="4CFEE1AC">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position w:val="1"/>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1"/>
                      <w:sz w:val="21"/>
                      <w:szCs w:val="21"/>
                      <w:highlight w:val="none"/>
                      <w14:textFill>
                        <w14:solidFill>
                          <w14:schemeClr w14:val="tx1"/>
                        </w14:solidFill>
                      </w14:textFill>
                    </w:rPr>
                    <w:t>分子式：</w:t>
                  </w:r>
                  <w:r>
                    <w:rPr>
                      <w:rFonts w:hint="eastAsia" w:ascii="Times New Roman" w:hAnsi="Times New Roman" w:cs="Times New Roman"/>
                      <w:color w:val="000000" w:themeColor="text1"/>
                      <w:spacing w:val="0"/>
                      <w:w w:val="100"/>
                      <w:position w:val="1"/>
                      <w:sz w:val="21"/>
                      <w:szCs w:val="21"/>
                      <w:highlight w:val="none"/>
                      <w:lang w:val="en-US" w:eastAsia="zh-CN"/>
                      <w14:textFill>
                        <w14:solidFill>
                          <w14:schemeClr w14:val="tx1"/>
                        </w14:solidFill>
                      </w14:textFill>
                    </w:rPr>
                    <w:t>N</w:t>
                  </w:r>
                  <w:r>
                    <w:rPr>
                      <w:rFonts w:hint="eastAsia" w:ascii="Times New Roman" w:hAnsi="Times New Roman" w:cs="Times New Roman"/>
                      <w:color w:val="000000" w:themeColor="text1"/>
                      <w:spacing w:val="0"/>
                      <w:w w:val="100"/>
                      <w:position w:val="1"/>
                      <w:sz w:val="21"/>
                      <w:szCs w:val="21"/>
                      <w:highlight w:val="none"/>
                      <w:vertAlign w:val="subscript"/>
                      <w:lang w:val="en-US" w:eastAsia="zh-CN"/>
                      <w14:textFill>
                        <w14:solidFill>
                          <w14:schemeClr w14:val="tx1"/>
                        </w14:solidFill>
                      </w14:textFill>
                    </w:rPr>
                    <w:t>2</w:t>
                  </w:r>
                </w:p>
              </w:tc>
              <w:tc>
                <w:tcPr>
                  <w:tcW w:w="5625" w:type="dxa"/>
                  <w:tcBorders>
                    <w:tl2br w:val="nil"/>
                    <w:tr2bl w:val="nil"/>
                  </w:tcBorders>
                  <w:vAlign w:val="center"/>
                </w:tcPr>
                <w:p w14:paraId="449AE89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分子量：28.0134；液体密度（-210℃，12.534kPa）：869.5kg/m</w:t>
                  </w:r>
                  <w:r>
                    <w:rPr>
                      <w:rFonts w:hint="default" w:ascii="Times New Roman" w:hAnsi="Times New Roman" w:eastAsia="宋体" w:cs="Times New Roman"/>
                      <w:color w:val="000000" w:themeColor="text1"/>
                      <w:spacing w:val="0"/>
                      <w:w w:val="100"/>
                      <w:sz w:val="21"/>
                      <w:szCs w:val="21"/>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在常温常压下，为无色无臭无味的惰性气体。</w:t>
                  </w:r>
                </w:p>
              </w:tc>
              <w:tc>
                <w:tcPr>
                  <w:tcW w:w="4744" w:type="dxa"/>
                  <w:tcBorders>
                    <w:tl2br w:val="nil"/>
                    <w:tr2bl w:val="nil"/>
                  </w:tcBorders>
                  <w:vAlign w:val="center"/>
                </w:tcPr>
                <w:p w14:paraId="4E43C76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无毒，无刺激性，液氮接触皮肤能引起冷烧伤</w:t>
                  </w:r>
                </w:p>
              </w:tc>
            </w:tr>
            <w:tr w14:paraId="4A952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032" w:type="dxa"/>
                  <w:tcBorders>
                    <w:tl2br w:val="nil"/>
                    <w:tr2bl w:val="nil"/>
                  </w:tcBorders>
                  <w:vAlign w:val="center"/>
                </w:tcPr>
                <w:p w14:paraId="2E3EDFB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显影液</w:t>
                  </w:r>
                </w:p>
              </w:tc>
              <w:tc>
                <w:tcPr>
                  <w:tcW w:w="2025" w:type="dxa"/>
                  <w:tcBorders>
                    <w:tl2br w:val="nil"/>
                    <w:tr2bl w:val="nil"/>
                  </w:tcBorders>
                  <w:vAlign w:val="center"/>
                </w:tcPr>
                <w:p w14:paraId="58F21B6C">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position w:val="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四甲基氢氧化铵</w:t>
                  </w:r>
                  <w:r>
                    <w:rPr>
                      <w:rFonts w:hint="default" w:ascii="Times New Roman" w:hAnsi="Times New Roman" w:eastAsia="宋体" w:cs="Times New Roman"/>
                      <w:color w:val="000000" w:themeColor="text1"/>
                      <w:spacing w:val="0"/>
                      <w:w w:val="100"/>
                      <w:position w:val="1"/>
                      <w:sz w:val="21"/>
                      <w:szCs w:val="21"/>
                      <w:highlight w:val="none"/>
                      <w14:textFill>
                        <w14:solidFill>
                          <w14:schemeClr w14:val="tx1"/>
                        </w14:solidFill>
                      </w14:textFill>
                    </w:rPr>
                    <w:t>分子式：</w:t>
                  </w:r>
                  <w:r>
                    <w:rPr>
                      <w:rFonts w:hint="eastAsia" w:ascii="Times New Roman" w:hAnsi="Times New Roman" w:cs="Times New Roman"/>
                      <w:color w:val="000000" w:themeColor="text1"/>
                      <w:spacing w:val="0"/>
                      <w:w w:val="100"/>
                      <w:position w:val="1"/>
                      <w:sz w:val="21"/>
                      <w:szCs w:val="21"/>
                      <w:highlight w:val="none"/>
                      <w:lang w:val="en-US" w:eastAsia="zh-CN"/>
                      <w14:textFill>
                        <w14:solidFill>
                          <w14:schemeClr w14:val="tx1"/>
                        </w14:solidFill>
                      </w14:textFill>
                    </w:rPr>
                    <w:t>(CH</w:t>
                  </w:r>
                  <w:r>
                    <w:rPr>
                      <w:rFonts w:hint="eastAsia" w:ascii="Times New Roman" w:hAnsi="Times New Roman" w:cs="Times New Roman"/>
                      <w:color w:val="000000" w:themeColor="text1"/>
                      <w:spacing w:val="0"/>
                      <w:w w:val="100"/>
                      <w:position w:val="1"/>
                      <w:sz w:val="21"/>
                      <w:szCs w:val="21"/>
                      <w:highlight w:val="none"/>
                      <w:vertAlign w:val="subscript"/>
                      <w:lang w:val="en-US" w:eastAsia="zh-CN"/>
                      <w14:textFill>
                        <w14:solidFill>
                          <w14:schemeClr w14:val="tx1"/>
                        </w14:solidFill>
                      </w14:textFill>
                    </w:rPr>
                    <w:t>3</w:t>
                  </w:r>
                  <w:r>
                    <w:rPr>
                      <w:rFonts w:hint="eastAsia" w:ascii="Times New Roman" w:hAnsi="Times New Roman" w:cs="Times New Roman"/>
                      <w:color w:val="000000" w:themeColor="text1"/>
                      <w:spacing w:val="0"/>
                      <w:w w:val="100"/>
                      <w:position w:val="1"/>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pacing w:val="0"/>
                      <w:w w:val="100"/>
                      <w:position w:val="1"/>
                      <w:sz w:val="21"/>
                      <w:szCs w:val="21"/>
                      <w:highlight w:val="none"/>
                      <w:vertAlign w:val="subscript"/>
                      <w:lang w:val="en-US" w:eastAsia="zh-CN"/>
                      <w14:textFill>
                        <w14:solidFill>
                          <w14:schemeClr w14:val="tx1"/>
                        </w14:solidFill>
                      </w14:textFill>
                    </w:rPr>
                    <w:t>4</w:t>
                  </w:r>
                  <w:r>
                    <w:rPr>
                      <w:rFonts w:hint="eastAsia" w:ascii="Times New Roman" w:hAnsi="Times New Roman" w:cs="Times New Roman"/>
                      <w:color w:val="000000" w:themeColor="text1"/>
                      <w:spacing w:val="0"/>
                      <w:w w:val="100"/>
                      <w:position w:val="1"/>
                      <w:sz w:val="21"/>
                      <w:szCs w:val="21"/>
                      <w:highlight w:val="none"/>
                      <w:lang w:val="en-US" w:eastAsia="zh-CN"/>
                      <w14:textFill>
                        <w14:solidFill>
                          <w14:schemeClr w14:val="tx1"/>
                        </w14:solidFill>
                      </w14:textFill>
                    </w:rPr>
                    <w:t>NOH</w:t>
                  </w:r>
                </w:p>
              </w:tc>
              <w:tc>
                <w:tcPr>
                  <w:tcW w:w="5625" w:type="dxa"/>
                  <w:tcBorders>
                    <w:tl2br w:val="nil"/>
                    <w:tr2bl w:val="nil"/>
                  </w:tcBorders>
                  <w:vAlign w:val="center"/>
                </w:tcPr>
                <w:p w14:paraId="2F758CD8">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有害成分2.38%四甲基氢氧化铵，相对密度（水=1）1，PH:11-13，溶于水与醇，沸点102℃。稳定性：稳定。</w:t>
                  </w:r>
                </w:p>
              </w:tc>
              <w:tc>
                <w:tcPr>
                  <w:tcW w:w="4744" w:type="dxa"/>
                  <w:tcBorders>
                    <w:tl2br w:val="nil"/>
                    <w:tr2bl w:val="nil"/>
                  </w:tcBorders>
                  <w:vAlign w:val="center"/>
                </w:tcPr>
                <w:p w14:paraId="04C8E377">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急性毒性：LD50:50mg/kg ，LC50:90mg/kg</w:t>
                  </w:r>
                </w:p>
              </w:tc>
            </w:tr>
            <w:tr w14:paraId="44D62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032" w:type="dxa"/>
                  <w:tcBorders>
                    <w:tl2br w:val="nil"/>
                    <w:tr2bl w:val="nil"/>
                  </w:tcBorders>
                  <w:vAlign w:val="center"/>
                </w:tcPr>
                <w:p w14:paraId="2C20A2CC">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硫酸</w:t>
                  </w:r>
                </w:p>
              </w:tc>
              <w:tc>
                <w:tcPr>
                  <w:tcW w:w="2025" w:type="dxa"/>
                  <w:tcBorders>
                    <w:tl2br w:val="nil"/>
                    <w:tr2bl w:val="nil"/>
                  </w:tcBorders>
                  <w:vAlign w:val="center"/>
                </w:tcPr>
                <w:p w14:paraId="1BE27ECC">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1"/>
                      <w:sz w:val="21"/>
                      <w:szCs w:val="21"/>
                      <w:highlight w:val="none"/>
                      <w14:textFill>
                        <w14:solidFill>
                          <w14:schemeClr w14:val="tx1"/>
                        </w14:solidFill>
                      </w14:textFill>
                    </w:rPr>
                    <w:t>分子式：</w:t>
                  </w: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H</w:t>
                  </w:r>
                  <w:r>
                    <w:rPr>
                      <w:rFonts w:hint="default" w:ascii="Times New Roman" w:hAnsi="Times New Roman" w:eastAsia="宋体" w:cs="Times New Roman"/>
                      <w:color w:val="000000" w:themeColor="text1"/>
                      <w:spacing w:val="0"/>
                      <w:w w:val="100"/>
                      <w:sz w:val="21"/>
                      <w:szCs w:val="21"/>
                      <w:highlight w:val="none"/>
                      <w:vertAlign w:val="subscript"/>
                      <w14:textFill>
                        <w14:solidFill>
                          <w14:schemeClr w14:val="tx1"/>
                        </w14:solidFill>
                      </w14:textFill>
                    </w:rPr>
                    <w:t>2</w:t>
                  </w: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SO</w:t>
                  </w:r>
                  <w:r>
                    <w:rPr>
                      <w:rFonts w:hint="default" w:ascii="Times New Roman" w:hAnsi="Times New Roman" w:eastAsia="宋体" w:cs="Times New Roman"/>
                      <w:color w:val="000000" w:themeColor="text1"/>
                      <w:spacing w:val="0"/>
                      <w:w w:val="100"/>
                      <w:sz w:val="21"/>
                      <w:szCs w:val="21"/>
                      <w:highlight w:val="none"/>
                      <w:vertAlign w:val="subscript"/>
                      <w14:textFill>
                        <w14:solidFill>
                          <w14:schemeClr w14:val="tx1"/>
                        </w14:solidFill>
                      </w14:textFill>
                    </w:rPr>
                    <w:t>4</w:t>
                  </w:r>
                </w:p>
              </w:tc>
              <w:tc>
                <w:tcPr>
                  <w:tcW w:w="5625" w:type="dxa"/>
                  <w:tcBorders>
                    <w:tl2br w:val="nil"/>
                    <w:tr2bl w:val="nil"/>
                  </w:tcBorders>
                  <w:vAlign w:val="center"/>
                </w:tcPr>
                <w:p w14:paraId="56D092E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分子量98.07，密度1.834（98%），熔点10.49℃，沸点338℃，无色油状液体。工业品如含有杂质，则呈黄、棕等色。溶于水。</w:t>
                  </w:r>
                </w:p>
              </w:tc>
              <w:tc>
                <w:tcPr>
                  <w:tcW w:w="4744" w:type="dxa"/>
                  <w:tcBorders>
                    <w:tl2br w:val="nil"/>
                    <w:tr2bl w:val="nil"/>
                  </w:tcBorders>
                  <w:vAlign w:val="center"/>
                </w:tcPr>
                <w:p w14:paraId="7B3005B6">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强腐蚀性酸</w:t>
                  </w:r>
                </w:p>
              </w:tc>
            </w:tr>
            <w:tr w14:paraId="1F738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032" w:type="dxa"/>
                  <w:tcBorders>
                    <w:tl2br w:val="nil"/>
                    <w:tr2bl w:val="nil"/>
                  </w:tcBorders>
                  <w:vAlign w:val="center"/>
                </w:tcPr>
                <w:p w14:paraId="401C3656">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硝酸</w:t>
                  </w:r>
                </w:p>
              </w:tc>
              <w:tc>
                <w:tcPr>
                  <w:tcW w:w="2025" w:type="dxa"/>
                  <w:tcBorders>
                    <w:tl2br w:val="nil"/>
                    <w:tr2bl w:val="nil"/>
                  </w:tcBorders>
                  <w:vAlign w:val="center"/>
                </w:tcPr>
                <w:p w14:paraId="3263855D">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1"/>
                      <w:sz w:val="21"/>
                      <w:szCs w:val="21"/>
                      <w:highlight w:val="none"/>
                      <w14:textFill>
                        <w14:solidFill>
                          <w14:schemeClr w14:val="tx1"/>
                        </w14:solidFill>
                      </w14:textFill>
                    </w:rPr>
                    <w:t>分子式：</w:t>
                  </w: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HNO</w:t>
                  </w:r>
                  <w:r>
                    <w:rPr>
                      <w:rFonts w:hint="default" w:ascii="Times New Roman" w:hAnsi="Times New Roman" w:eastAsia="宋体" w:cs="Times New Roman"/>
                      <w:color w:val="000000" w:themeColor="text1"/>
                      <w:spacing w:val="0"/>
                      <w:w w:val="100"/>
                      <w:sz w:val="21"/>
                      <w:szCs w:val="21"/>
                      <w:highlight w:val="none"/>
                      <w:vertAlign w:val="subscript"/>
                      <w14:textFill>
                        <w14:solidFill>
                          <w14:schemeClr w14:val="tx1"/>
                        </w14:solidFill>
                      </w14:textFill>
                    </w:rPr>
                    <w:t>3</w:t>
                  </w:r>
                </w:p>
              </w:tc>
              <w:tc>
                <w:tcPr>
                  <w:tcW w:w="5625" w:type="dxa"/>
                  <w:tcBorders>
                    <w:tl2br w:val="nil"/>
                    <w:tr2bl w:val="nil"/>
                  </w:tcBorders>
                  <w:vAlign w:val="center"/>
                </w:tcPr>
                <w:p w14:paraId="298040F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硝酸是一种具有强氧化性、腐蚀性的强酸。相对密度（水=1）1.42，熔点：-42℃，沸点：78℃，易溶于水，常温下纯硝酸溶液无色透明。</w:t>
                  </w:r>
                </w:p>
              </w:tc>
              <w:tc>
                <w:tcPr>
                  <w:tcW w:w="4744" w:type="dxa"/>
                  <w:tcBorders>
                    <w:tl2br w:val="nil"/>
                    <w:tr2bl w:val="nil"/>
                  </w:tcBorders>
                  <w:vAlign w:val="center"/>
                </w:tcPr>
                <w:p w14:paraId="08B3DF9C">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危险性类别：酸性腐蚀品、氧化剂、易制爆、强腐蚀（含量高于70%）/氧化剂（含量不超过70%）。健康危害：吸入硝酸气雾产生呼吸道刺激作用，可引起急性肺水肿。口服引起腹部剧痛，严重者可有胃穿孔、腹膜炎、喉痉挛、肾损害、休克以及窒息。眼和皮肤接触引起灼伤。慢性影响长期接触可引起牙齿酸蚀症。</w:t>
                  </w:r>
                </w:p>
              </w:tc>
            </w:tr>
            <w:tr w14:paraId="1FDF2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032" w:type="dxa"/>
                  <w:tcBorders>
                    <w:tl2br w:val="nil"/>
                    <w:tr2bl w:val="nil"/>
                  </w:tcBorders>
                  <w:vAlign w:val="center"/>
                </w:tcPr>
                <w:p w14:paraId="7DA42AB5">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盐酸</w:t>
                  </w:r>
                </w:p>
              </w:tc>
              <w:tc>
                <w:tcPr>
                  <w:tcW w:w="2025" w:type="dxa"/>
                  <w:tcBorders>
                    <w:tl2br w:val="nil"/>
                    <w:tr2bl w:val="nil"/>
                  </w:tcBorders>
                  <w:vAlign w:val="center"/>
                </w:tcPr>
                <w:p w14:paraId="3EC70EC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1"/>
                      <w:sz w:val="21"/>
                      <w:szCs w:val="21"/>
                      <w:highlight w:val="none"/>
                      <w14:textFill>
                        <w14:solidFill>
                          <w14:schemeClr w14:val="tx1"/>
                        </w14:solidFill>
                      </w14:textFill>
                    </w:rPr>
                    <w:t>分子式：</w:t>
                  </w: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HCl</w:t>
                  </w:r>
                </w:p>
              </w:tc>
              <w:tc>
                <w:tcPr>
                  <w:tcW w:w="5625" w:type="dxa"/>
                  <w:tcBorders>
                    <w:tl2br w:val="nil"/>
                    <w:tr2bl w:val="nil"/>
                  </w:tcBorders>
                  <w:vAlign w:val="center"/>
                </w:tcPr>
                <w:p w14:paraId="1E9B0D6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分子量36.46，无色或微黄色有刺激性气味发烟液体；蒸汽压4225.6kPa（20℃）；熔点-114.2℃；沸点-85.0℃易溶于水；相对密度（水=1）1.19，（空气=1）1.27</w:t>
                  </w:r>
                </w:p>
              </w:tc>
              <w:tc>
                <w:tcPr>
                  <w:tcW w:w="4744" w:type="dxa"/>
                  <w:tcBorders>
                    <w:tl2br w:val="nil"/>
                    <w:tr2bl w:val="nil"/>
                  </w:tcBorders>
                  <w:vAlign w:val="center"/>
                </w:tcPr>
                <w:p w14:paraId="53751F5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leftChars="0" w:right="0" w:rightChars="0"/>
                    <w:jc w:val="both"/>
                    <w:textAlignment w:val="auto"/>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t>急性毒性：LD50：400mg/kg（兔经口）；LC504600mg/m3，1小时（大鼠吸入）无水氯化氢无腐蚀性，但遇水时有强腐蚀性。能与一些活性金属粉末发生反应，放出氢气。遇氰化物能产生剧毒的氰化氢气。</w:t>
                  </w:r>
                </w:p>
              </w:tc>
            </w:tr>
            <w:tr w14:paraId="16B2A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032" w:type="dxa"/>
                  <w:tcBorders>
                    <w:tl2br w:val="nil"/>
                    <w:tr2bl w:val="nil"/>
                  </w:tcBorders>
                  <w:vAlign w:val="center"/>
                </w:tcPr>
                <w:p w14:paraId="3DD6C2F3">
                  <w:pPr>
                    <w:keepNext w:val="0"/>
                    <w:keepLines w:val="0"/>
                    <w:widowControl/>
                    <w:suppressLineNumbers w:val="0"/>
                    <w:jc w:val="center"/>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AZ</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光刻胶</w:t>
                  </w:r>
                </w:p>
              </w:tc>
              <w:tc>
                <w:tcPr>
                  <w:tcW w:w="2025" w:type="dxa"/>
                  <w:tcBorders>
                    <w:tl2br w:val="nil"/>
                    <w:tr2bl w:val="nil"/>
                  </w:tcBorders>
                  <w:vAlign w:val="center"/>
                </w:tcPr>
                <w:p w14:paraId="4816B854">
                  <w:pPr>
                    <w:keepNext w:val="0"/>
                    <w:keepLines w:val="0"/>
                    <w:widowControl/>
                    <w:suppressLineNumbers w:val="0"/>
                    <w:jc w:val="center"/>
                    <w:textAlignment w:val="center"/>
                    <w:rPr>
                      <w:rFonts w:hint="default" w:ascii="Times New Roman" w:hAnsi="Times New Roman" w:eastAsia="宋体" w:cs="Times New Roman"/>
                      <w:color w:val="000000" w:themeColor="text1"/>
                      <w:spacing w:val="0"/>
                      <w:w w:val="100"/>
                      <w:position w:val="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混合物：主要含光刻胶树脂、感光剂、有机溶剂、添加剂等</w:t>
                  </w:r>
                </w:p>
              </w:tc>
              <w:tc>
                <w:tcPr>
                  <w:tcW w:w="5625" w:type="dxa"/>
                  <w:tcBorders>
                    <w:tl2br w:val="nil"/>
                    <w:tr2bl w:val="nil"/>
                  </w:tcBorders>
                  <w:vAlign w:val="center"/>
                </w:tcPr>
                <w:p w14:paraId="3CE752DB">
                  <w:pPr>
                    <w:keepNext w:val="0"/>
                    <w:keepLines w:val="0"/>
                    <w:widowControl/>
                    <w:suppressLineNumbers w:val="0"/>
                    <w:jc w:val="both"/>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常温下为淡黄色至无色透明</w:t>
                  </w: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黏稠</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液体，易溶于醇类、酯类有机溶剂；</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沸点：</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80~150℃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（随溶剂组分变化）</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相对密度（水</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 xml:space="preserve"> = 1</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0.95~1.05</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闪点：</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45~60℃</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易挥发，在光照条件下易发生光化学反应</w:t>
                  </w:r>
                </w:p>
              </w:tc>
              <w:tc>
                <w:tcPr>
                  <w:tcW w:w="4744" w:type="dxa"/>
                  <w:tcBorders>
                    <w:tl2br w:val="nil"/>
                    <w:tr2bl w:val="nil"/>
                  </w:tcBorders>
                  <w:vAlign w:val="center"/>
                </w:tcPr>
                <w:p w14:paraId="03FDE526">
                  <w:pPr>
                    <w:keepNext w:val="0"/>
                    <w:keepLines w:val="0"/>
                    <w:widowControl/>
                    <w:suppressLineNumbers w:val="0"/>
                    <w:jc w:val="both"/>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吸入：挥发气体会刺激呼吸道，引起咳嗽、咽喉不适；</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皮肤：接触会造成皮肤干燥、刺激，长期接触可能引发皮炎；</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眼睛：直接接触会造成严重眼刺激，出现红肿、刺痛；</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摄入：误吞有害，会刺激消化道黏膜。</w:t>
                  </w:r>
                </w:p>
              </w:tc>
            </w:tr>
            <w:tr w14:paraId="5FAF4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032" w:type="dxa"/>
                  <w:tcBorders>
                    <w:tl2br w:val="nil"/>
                    <w:tr2bl w:val="nil"/>
                  </w:tcBorders>
                  <w:vAlign w:val="center"/>
                </w:tcPr>
                <w:p w14:paraId="5C0095A8">
                  <w:pPr>
                    <w:keepNext w:val="0"/>
                    <w:keepLines w:val="0"/>
                    <w:widowControl/>
                    <w:suppressLineNumbers w:val="0"/>
                    <w:jc w:val="center"/>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增粘剂六甲基二硅杂氮烷（</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HMDS</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p>
              </w:tc>
              <w:tc>
                <w:tcPr>
                  <w:tcW w:w="2025" w:type="dxa"/>
                  <w:tcBorders>
                    <w:tl2br w:val="nil"/>
                    <w:tr2bl w:val="nil"/>
                  </w:tcBorders>
                  <w:vAlign w:val="center"/>
                </w:tcPr>
                <w:p w14:paraId="5FEA8279">
                  <w:pPr>
                    <w:keepNext w:val="0"/>
                    <w:keepLines w:val="0"/>
                    <w:widowControl/>
                    <w:suppressLineNumbers w:val="0"/>
                    <w:jc w:val="center"/>
                    <w:textAlignment w:val="center"/>
                    <w:rPr>
                      <w:rFonts w:hint="default" w:ascii="Times New Roman" w:hAnsi="Times New Roman" w:eastAsia="宋体" w:cs="Times New Roman"/>
                      <w:color w:val="000000" w:themeColor="text1"/>
                      <w:spacing w:val="0"/>
                      <w:w w:val="100"/>
                      <w:position w:val="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C</w:t>
                  </w:r>
                  <w:r>
                    <w:rPr>
                      <w:rFonts w:hint="default" w:ascii="Times New Roman" w:hAnsi="Times New Roman" w:eastAsia="宋体" w:cs="Times New Roman"/>
                      <w:i w:val="0"/>
                      <w:iCs w:val="0"/>
                      <w:color w:val="000000" w:themeColor="text1"/>
                      <w:kern w:val="0"/>
                      <w:sz w:val="22"/>
                      <w:szCs w:val="22"/>
                      <w:highlight w:val="none"/>
                      <w:u w:val="none"/>
                      <w:vertAlign w:val="subscript"/>
                      <w:lang w:val="en-US" w:eastAsia="zh-CN" w:bidi="ar"/>
                      <w14:textFill>
                        <w14:solidFill>
                          <w14:schemeClr w14:val="tx1"/>
                        </w14:solidFill>
                      </w14:textFill>
                    </w:rPr>
                    <w:t>6</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H</w:t>
                  </w:r>
                  <w:r>
                    <w:rPr>
                      <w:rFonts w:hint="default" w:ascii="Times New Roman" w:hAnsi="Times New Roman" w:eastAsia="宋体" w:cs="Times New Roman"/>
                      <w:i w:val="0"/>
                      <w:iCs w:val="0"/>
                      <w:color w:val="000000" w:themeColor="text1"/>
                      <w:kern w:val="0"/>
                      <w:sz w:val="22"/>
                      <w:szCs w:val="22"/>
                      <w:highlight w:val="none"/>
                      <w:u w:val="none"/>
                      <w:vertAlign w:val="subscript"/>
                      <w:lang w:val="en-US" w:eastAsia="zh-CN" w:bidi="ar"/>
                      <w14:textFill>
                        <w14:solidFill>
                          <w14:schemeClr w14:val="tx1"/>
                        </w14:solidFill>
                      </w14:textFill>
                    </w:rPr>
                    <w:t>19</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NSi</w:t>
                  </w:r>
                  <w:r>
                    <w:rPr>
                      <w:rFonts w:hint="default" w:ascii="Times New Roman" w:hAnsi="Times New Roman" w:eastAsia="宋体" w:cs="Times New Roman"/>
                      <w:i w:val="0"/>
                      <w:iCs w:val="0"/>
                      <w:color w:val="000000" w:themeColor="text1"/>
                      <w:kern w:val="0"/>
                      <w:sz w:val="22"/>
                      <w:szCs w:val="22"/>
                      <w:highlight w:val="none"/>
                      <w:u w:val="none"/>
                      <w:vertAlign w:val="subscript"/>
                      <w:lang w:val="en-US" w:eastAsia="zh-CN" w:bidi="ar"/>
                      <w14:textFill>
                        <w14:solidFill>
                          <w14:schemeClr w14:val="tx1"/>
                        </w14:solidFill>
                      </w14:textFill>
                    </w:rPr>
                    <w:t>2</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(CH</w:t>
                  </w:r>
                  <w:r>
                    <w:rPr>
                      <w:rFonts w:hint="default" w:ascii="Times New Roman" w:hAnsi="Times New Roman" w:eastAsia="宋体" w:cs="Times New Roman"/>
                      <w:i w:val="0"/>
                      <w:iCs w:val="0"/>
                      <w:color w:val="000000" w:themeColor="text1"/>
                      <w:kern w:val="0"/>
                      <w:sz w:val="22"/>
                      <w:szCs w:val="22"/>
                      <w:highlight w:val="none"/>
                      <w:u w:val="none"/>
                      <w:vertAlign w:val="sub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vertAlign w:val="sub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SiNHSi(CH</w:t>
                  </w:r>
                  <w:r>
                    <w:rPr>
                      <w:rFonts w:hint="default" w:ascii="Times New Roman" w:hAnsi="Times New Roman" w:eastAsia="宋体" w:cs="Times New Roman"/>
                      <w:i w:val="0"/>
                      <w:iCs w:val="0"/>
                      <w:color w:val="000000" w:themeColor="text1"/>
                      <w:kern w:val="0"/>
                      <w:sz w:val="22"/>
                      <w:szCs w:val="22"/>
                      <w:highlight w:val="none"/>
                      <w:u w:val="none"/>
                      <w:vertAlign w:val="sub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vertAlign w:val="subscript"/>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p>
              </w:tc>
              <w:tc>
                <w:tcPr>
                  <w:tcW w:w="5625" w:type="dxa"/>
                  <w:tcBorders>
                    <w:tl2br w:val="nil"/>
                    <w:tr2bl w:val="nil"/>
                  </w:tcBorders>
                  <w:vAlign w:val="center"/>
                </w:tcPr>
                <w:p w14:paraId="324BBCEA">
                  <w:pPr>
                    <w:keepNext w:val="0"/>
                    <w:keepLines w:val="0"/>
                    <w:widowControl/>
                    <w:suppressLineNumbers w:val="0"/>
                    <w:jc w:val="both"/>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外观为无色透明易挥发液体，有轻微胺味；</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熔点：</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-78℃</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沸点：</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126℃</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相对密度（水</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 xml:space="preserve"> = 1</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0.77</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饱和蒸汽压（</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kPa</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1.6</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闪点：</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25℃</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易溶于有机溶剂，遇水易水解生成六甲基二硅氧烷和氨。</w:t>
                  </w:r>
                </w:p>
              </w:tc>
              <w:tc>
                <w:tcPr>
                  <w:tcW w:w="4744" w:type="dxa"/>
                  <w:tcBorders>
                    <w:tl2br w:val="nil"/>
                    <w:tr2bl w:val="nil"/>
                  </w:tcBorders>
                  <w:vAlign w:val="center"/>
                </w:tcPr>
                <w:p w14:paraId="3FEFE22D">
                  <w:pPr>
                    <w:keepNext w:val="0"/>
                    <w:keepLines w:val="0"/>
                    <w:widowControl/>
                    <w:suppressLineNumbers w:val="0"/>
                    <w:jc w:val="both"/>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吸入：高浓度蒸气会刺激呼吸道，引起头晕、恶心、胸闷，严重时可致头痛、意识模糊；</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皮肤：接触会造成皮肤刺激、干燥，偶发过敏；</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眼睛：直接接触会引起眼结膜红肿、刺痛，严重时可致角膜损伤；</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摄入：误吞有害，会刺激胃肠道，引发呕吐、腹痛。</w:t>
                  </w:r>
                </w:p>
              </w:tc>
            </w:tr>
            <w:tr w14:paraId="79540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032" w:type="dxa"/>
                  <w:tcBorders>
                    <w:tl2br w:val="nil"/>
                    <w:tr2bl w:val="nil"/>
                  </w:tcBorders>
                  <w:vAlign w:val="center"/>
                </w:tcPr>
                <w:p w14:paraId="60457059">
                  <w:pPr>
                    <w:keepNext w:val="0"/>
                    <w:keepLines w:val="0"/>
                    <w:widowControl/>
                    <w:suppressLineNumbers w:val="0"/>
                    <w:jc w:val="center"/>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稀释剂</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1,2-</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丙二醇甲醚醋酸酯（</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PGMEA</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p>
              </w:tc>
              <w:tc>
                <w:tcPr>
                  <w:tcW w:w="2025" w:type="dxa"/>
                  <w:tcBorders>
                    <w:tl2br w:val="nil"/>
                    <w:tr2bl w:val="nil"/>
                  </w:tcBorders>
                  <w:vAlign w:val="center"/>
                </w:tcPr>
                <w:p w14:paraId="1239B0EF">
                  <w:pPr>
                    <w:keepNext w:val="0"/>
                    <w:keepLines w:val="0"/>
                    <w:widowControl/>
                    <w:suppressLineNumbers w:val="0"/>
                    <w:jc w:val="center"/>
                    <w:textAlignment w:val="center"/>
                    <w:rPr>
                      <w:rFonts w:hint="default" w:ascii="Times New Roman" w:hAnsi="Times New Roman" w:eastAsia="宋体" w:cs="Times New Roman"/>
                      <w:color w:val="000000" w:themeColor="text1"/>
                      <w:spacing w:val="0"/>
                      <w:w w:val="100"/>
                      <w:position w:val="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C</w:t>
                  </w:r>
                  <w:r>
                    <w:rPr>
                      <w:rFonts w:hint="default" w:ascii="Times New Roman" w:hAnsi="Times New Roman" w:eastAsia="宋体" w:cs="Times New Roman"/>
                      <w:i w:val="0"/>
                      <w:iCs w:val="0"/>
                      <w:color w:val="000000" w:themeColor="text1"/>
                      <w:kern w:val="0"/>
                      <w:sz w:val="22"/>
                      <w:szCs w:val="22"/>
                      <w:highlight w:val="none"/>
                      <w:u w:val="none"/>
                      <w:vertAlign w:val="subscript"/>
                      <w:lang w:val="en-US" w:eastAsia="zh-CN" w:bidi="ar"/>
                      <w14:textFill>
                        <w14:solidFill>
                          <w14:schemeClr w14:val="tx1"/>
                        </w14:solidFill>
                      </w14:textFill>
                    </w:rPr>
                    <w:t>6</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H</w:t>
                  </w:r>
                  <w:r>
                    <w:rPr>
                      <w:rFonts w:hint="default" w:ascii="Times New Roman" w:hAnsi="Times New Roman" w:eastAsia="宋体" w:cs="Times New Roman"/>
                      <w:i w:val="0"/>
                      <w:iCs w:val="0"/>
                      <w:color w:val="000000" w:themeColor="text1"/>
                      <w:kern w:val="0"/>
                      <w:sz w:val="22"/>
                      <w:szCs w:val="22"/>
                      <w:highlight w:val="none"/>
                      <w:u w:val="none"/>
                      <w:vertAlign w:val="subscript"/>
                      <w:lang w:val="en-US" w:eastAsia="zh-CN" w:bidi="ar"/>
                      <w14:textFill>
                        <w14:solidFill>
                          <w14:schemeClr w14:val="tx1"/>
                        </w14:solidFill>
                      </w14:textFill>
                    </w:rPr>
                    <w:t>12</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O</w:t>
                  </w:r>
                  <w:r>
                    <w:rPr>
                      <w:rFonts w:hint="default" w:ascii="Times New Roman" w:hAnsi="Times New Roman" w:eastAsia="宋体" w:cs="Times New Roman"/>
                      <w:i w:val="0"/>
                      <w:iCs w:val="0"/>
                      <w:color w:val="000000" w:themeColor="text1"/>
                      <w:kern w:val="0"/>
                      <w:sz w:val="22"/>
                      <w:szCs w:val="22"/>
                      <w:highlight w:val="none"/>
                      <w:u w:val="none"/>
                      <w:vertAlign w:val="sub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w:t>
                  </w:r>
                </w:p>
              </w:tc>
              <w:tc>
                <w:tcPr>
                  <w:tcW w:w="5625" w:type="dxa"/>
                  <w:tcBorders>
                    <w:tl2br w:val="nil"/>
                    <w:tr2bl w:val="nil"/>
                  </w:tcBorders>
                  <w:vAlign w:val="center"/>
                </w:tcPr>
                <w:p w14:paraId="176818DE">
                  <w:pPr>
                    <w:keepNext w:val="0"/>
                    <w:keepLines w:val="0"/>
                    <w:widowControl/>
                    <w:suppressLineNumbers w:val="0"/>
                    <w:jc w:val="both"/>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外观为无色透明液体，有轻微酯类气味；</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熔点：</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-87℃</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沸点：</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146℃</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相对密度（水</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 xml:space="preserve"> = 1</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0.97</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水溶性：</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19.8g/L</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25℃</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闪点：</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42℃</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饱和蒸汽压（</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kPa</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0.67</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能与醇、醚、酮等有机溶剂互溶。</w:t>
                  </w:r>
                </w:p>
              </w:tc>
              <w:tc>
                <w:tcPr>
                  <w:tcW w:w="4744" w:type="dxa"/>
                  <w:tcBorders>
                    <w:tl2br w:val="nil"/>
                    <w:tr2bl w:val="nil"/>
                  </w:tcBorders>
                  <w:vAlign w:val="center"/>
                </w:tcPr>
                <w:p w14:paraId="6245E280">
                  <w:pPr>
                    <w:keepNext w:val="0"/>
                    <w:keepLines w:val="0"/>
                    <w:widowControl/>
                    <w:suppressLineNumbers w:val="0"/>
                    <w:jc w:val="both"/>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吸入：长期吸入低浓度蒸气会引起头晕、乏力、食欲减退，高浓度会刺激呼吸道；</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皮肤：长期接触会造成皮肤干燥、脱脂，轻微刺激；</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眼睛：接触会引起眼刺激，出现红肿、流泪；</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急性毒性：大鼠经口</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 xml:space="preserve"> LD50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2500mg/kg</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，属于低毒溶剂。</w:t>
                  </w:r>
                </w:p>
              </w:tc>
            </w:tr>
            <w:tr w14:paraId="205D6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032" w:type="dxa"/>
                  <w:tcBorders>
                    <w:tl2br w:val="nil"/>
                    <w:tr2bl w:val="nil"/>
                  </w:tcBorders>
                  <w:vAlign w:val="center"/>
                </w:tcPr>
                <w:p w14:paraId="0456ABE7">
                  <w:pPr>
                    <w:keepNext w:val="0"/>
                    <w:keepLines w:val="0"/>
                    <w:widowControl/>
                    <w:suppressLineNumbers w:val="0"/>
                    <w:jc w:val="center"/>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清洁胶</w:t>
                  </w:r>
                </w:p>
              </w:tc>
              <w:tc>
                <w:tcPr>
                  <w:tcW w:w="2025" w:type="dxa"/>
                  <w:tcBorders>
                    <w:tl2br w:val="nil"/>
                    <w:tr2bl w:val="nil"/>
                  </w:tcBorders>
                  <w:vAlign w:val="center"/>
                </w:tcPr>
                <w:p w14:paraId="6D0E954C">
                  <w:pPr>
                    <w:keepNext w:val="0"/>
                    <w:keepLines w:val="0"/>
                    <w:widowControl/>
                    <w:suppressLineNumbers w:val="0"/>
                    <w:jc w:val="center"/>
                    <w:textAlignment w:val="center"/>
                    <w:rPr>
                      <w:rFonts w:hint="default" w:ascii="Times New Roman" w:hAnsi="Times New Roman" w:eastAsia="宋体" w:cs="Times New Roman"/>
                      <w:color w:val="000000" w:themeColor="text1"/>
                      <w:spacing w:val="0"/>
                      <w:w w:val="100"/>
                      <w:position w:val="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混合物：主要含高分子胶黏剂、有机溶剂、表面活性剂等</w:t>
                  </w:r>
                </w:p>
              </w:tc>
              <w:tc>
                <w:tcPr>
                  <w:tcW w:w="5625" w:type="dxa"/>
                  <w:tcBorders>
                    <w:tl2br w:val="nil"/>
                    <w:tr2bl w:val="nil"/>
                  </w:tcBorders>
                  <w:vAlign w:val="center"/>
                </w:tcPr>
                <w:p w14:paraId="30891C3B">
                  <w:pPr>
                    <w:keepNext w:val="0"/>
                    <w:keepLines w:val="0"/>
                    <w:widowControl/>
                    <w:suppressLineNumbers w:val="0"/>
                    <w:jc w:val="both"/>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常温下为无色至淡黄色膏状</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 xml:space="preserve"> / </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液体，根据型号略有差异；</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相对密度（水</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 xml:space="preserve"> = 1</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0.9~1.1</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闪点：</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60~80℃</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不易溶于水，易溶于醇类、酮类有机溶剂；</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常温下稳定，加热至</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 xml:space="preserve"> 100℃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以上易挥发。</w:t>
                  </w:r>
                </w:p>
              </w:tc>
              <w:tc>
                <w:tcPr>
                  <w:tcW w:w="4744" w:type="dxa"/>
                  <w:tcBorders>
                    <w:tl2br w:val="nil"/>
                    <w:tr2bl w:val="nil"/>
                  </w:tcBorders>
                  <w:vAlign w:val="center"/>
                </w:tcPr>
                <w:p w14:paraId="19E6B3FE">
                  <w:pPr>
                    <w:keepNext w:val="0"/>
                    <w:keepLines w:val="0"/>
                    <w:widowControl/>
                    <w:suppressLineNumbers w:val="0"/>
                    <w:jc w:val="both"/>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吸入：挥发气体轻微刺激呼吸道，长期接触可能引起咽喉不适；</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皮肤：接触一般无强烈刺激，少数人会出现轻微皮肤瘙痒；</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眼睛：直接接触会引起眼刺激，出现红肿、异物感；</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摄入：误吞有害，会刺激消化道，引发恶心。</w:t>
                  </w:r>
                </w:p>
              </w:tc>
            </w:tr>
            <w:tr w14:paraId="26525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032" w:type="dxa"/>
                  <w:tcBorders>
                    <w:tl2br w:val="nil"/>
                    <w:tr2bl w:val="nil"/>
                  </w:tcBorders>
                  <w:vAlign w:val="center"/>
                </w:tcPr>
                <w:p w14:paraId="5657412E">
                  <w:pPr>
                    <w:keepNext w:val="0"/>
                    <w:keepLines w:val="0"/>
                    <w:widowControl/>
                    <w:suppressLineNumbers w:val="0"/>
                    <w:jc w:val="center"/>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N-</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甲基吡咯烷酮（</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NMP</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p>
              </w:tc>
              <w:tc>
                <w:tcPr>
                  <w:tcW w:w="2025" w:type="dxa"/>
                  <w:tcBorders>
                    <w:tl2br w:val="nil"/>
                    <w:tr2bl w:val="nil"/>
                  </w:tcBorders>
                  <w:vAlign w:val="center"/>
                </w:tcPr>
                <w:p w14:paraId="4D0EE87F">
                  <w:pPr>
                    <w:keepNext w:val="0"/>
                    <w:keepLines w:val="0"/>
                    <w:widowControl/>
                    <w:suppressLineNumbers w:val="0"/>
                    <w:jc w:val="center"/>
                    <w:textAlignment w:val="center"/>
                    <w:rPr>
                      <w:rFonts w:hint="default" w:ascii="Times New Roman" w:hAnsi="Times New Roman" w:eastAsia="宋体" w:cs="Times New Roman"/>
                      <w:color w:val="000000" w:themeColor="text1"/>
                      <w:spacing w:val="0"/>
                      <w:w w:val="100"/>
                      <w:position w:val="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C</w:t>
                  </w:r>
                  <w:r>
                    <w:rPr>
                      <w:rFonts w:hint="default" w:ascii="Times New Roman" w:hAnsi="Times New Roman" w:eastAsia="宋体" w:cs="Times New Roman"/>
                      <w:i w:val="0"/>
                      <w:iCs w:val="0"/>
                      <w:color w:val="000000" w:themeColor="text1"/>
                      <w:kern w:val="0"/>
                      <w:sz w:val="22"/>
                      <w:szCs w:val="22"/>
                      <w:highlight w:val="none"/>
                      <w:u w:val="none"/>
                      <w:vertAlign w:val="subscript"/>
                      <w:lang w:val="en-US" w:eastAsia="zh-CN" w:bidi="ar"/>
                      <w14:textFill>
                        <w14:solidFill>
                          <w14:schemeClr w14:val="tx1"/>
                        </w14:solidFill>
                      </w14:textFill>
                    </w:rPr>
                    <w:t>5</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H</w:t>
                  </w:r>
                  <w:r>
                    <w:rPr>
                      <w:rFonts w:hint="default" w:ascii="Times New Roman" w:hAnsi="Times New Roman" w:eastAsia="宋体" w:cs="Times New Roman"/>
                      <w:i w:val="0"/>
                      <w:iCs w:val="0"/>
                      <w:color w:val="000000" w:themeColor="text1"/>
                      <w:kern w:val="0"/>
                      <w:sz w:val="22"/>
                      <w:szCs w:val="22"/>
                      <w:highlight w:val="none"/>
                      <w:u w:val="none"/>
                      <w:vertAlign w:val="subscript"/>
                      <w:lang w:val="en-US" w:eastAsia="zh-CN" w:bidi="ar"/>
                      <w14:textFill>
                        <w14:solidFill>
                          <w14:schemeClr w14:val="tx1"/>
                        </w14:solidFill>
                      </w14:textFill>
                    </w:rPr>
                    <w:t>9</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NO</w:t>
                  </w:r>
                </w:p>
              </w:tc>
              <w:tc>
                <w:tcPr>
                  <w:tcW w:w="5625" w:type="dxa"/>
                  <w:tcBorders>
                    <w:tl2br w:val="nil"/>
                    <w:tr2bl w:val="nil"/>
                  </w:tcBorders>
                  <w:vAlign w:val="center"/>
                </w:tcPr>
                <w:p w14:paraId="780F0520">
                  <w:pPr>
                    <w:keepNext w:val="0"/>
                    <w:keepLines w:val="0"/>
                    <w:widowControl/>
                    <w:suppressLineNumbers w:val="0"/>
                    <w:jc w:val="both"/>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外观为无色透明液体，有轻微胺味；</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熔点：</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-24℃</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沸点：</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202℃</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相对密度（水</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 xml:space="preserve"> = 1</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1.03</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水溶性：与水互溶</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闪点：</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95℃</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饱和蒸汽压（</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kPa</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0.09</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能与多数有机溶剂互溶，化学性质稳定。</w:t>
                  </w:r>
                </w:p>
              </w:tc>
              <w:tc>
                <w:tcPr>
                  <w:tcW w:w="4744" w:type="dxa"/>
                  <w:tcBorders>
                    <w:tl2br w:val="nil"/>
                    <w:tr2bl w:val="nil"/>
                  </w:tcBorders>
                  <w:vAlign w:val="center"/>
                </w:tcPr>
                <w:p w14:paraId="4E7589DE">
                  <w:pPr>
                    <w:keepNext w:val="0"/>
                    <w:keepLines w:val="0"/>
                    <w:widowControl/>
                    <w:suppressLineNumbers w:val="0"/>
                    <w:jc w:val="both"/>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吸入：长期吸入低浓度蒸气会引起头晕、乏力、失眠，高浓度会刺激呼吸道；</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皮肤：可经皮肤吸收，长期接触会造成皮肤干燥、脱皮，偶发肝肾功能轻微异常；</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眼睛：接触会引起眼刺激，出现红肿、刺痛；</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急性毒性：大鼠经口</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 xml:space="preserve"> LD50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3910mg/kg</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，经皮</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 xml:space="preserve"> LD50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&gt;2000mg/kg</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p>
              </w:tc>
            </w:tr>
            <w:tr w14:paraId="5AD55C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032" w:type="dxa"/>
                  <w:tcBorders>
                    <w:tl2br w:val="nil"/>
                    <w:tr2bl w:val="nil"/>
                  </w:tcBorders>
                  <w:vAlign w:val="center"/>
                </w:tcPr>
                <w:p w14:paraId="1FC5A548">
                  <w:pPr>
                    <w:keepNext w:val="0"/>
                    <w:keepLines w:val="0"/>
                    <w:widowControl/>
                    <w:suppressLineNumbers w:val="0"/>
                    <w:jc w:val="center"/>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氢氟酸</w:t>
                  </w:r>
                </w:p>
              </w:tc>
              <w:tc>
                <w:tcPr>
                  <w:tcW w:w="2025" w:type="dxa"/>
                  <w:tcBorders>
                    <w:tl2br w:val="nil"/>
                    <w:tr2bl w:val="nil"/>
                  </w:tcBorders>
                  <w:vAlign w:val="center"/>
                </w:tcPr>
                <w:p w14:paraId="337A6A23">
                  <w:pPr>
                    <w:keepNext w:val="0"/>
                    <w:keepLines w:val="0"/>
                    <w:widowControl/>
                    <w:suppressLineNumbers w:val="0"/>
                    <w:jc w:val="center"/>
                    <w:textAlignment w:val="center"/>
                    <w:rPr>
                      <w:rFonts w:hint="default" w:ascii="Times New Roman" w:hAnsi="Times New Roman" w:eastAsia="宋体" w:cs="Times New Roman"/>
                      <w:color w:val="000000" w:themeColor="text1"/>
                      <w:spacing w:val="0"/>
                      <w:w w:val="100"/>
                      <w:position w:val="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HF</w:t>
                  </w:r>
                </w:p>
              </w:tc>
              <w:tc>
                <w:tcPr>
                  <w:tcW w:w="5625" w:type="dxa"/>
                  <w:tcBorders>
                    <w:tl2br w:val="nil"/>
                    <w:tr2bl w:val="nil"/>
                  </w:tcBorders>
                  <w:vAlign w:val="center"/>
                </w:tcPr>
                <w:p w14:paraId="326C27C0">
                  <w:pPr>
                    <w:keepNext w:val="0"/>
                    <w:keepLines w:val="0"/>
                    <w:widowControl/>
                    <w:suppressLineNumbers w:val="0"/>
                    <w:jc w:val="both"/>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外观为无色透明腐蚀性液体，有刺激性气味；</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纯品熔点：</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-83.1℃</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，沸点：</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19.5℃</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水溶液相对密度（水</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 xml:space="preserve"> = 1</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1.05</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与水、乙醇互溶，具有强腐蚀性，能与玻璃、金属发生反应。</w:t>
                  </w:r>
                </w:p>
              </w:tc>
              <w:tc>
                <w:tcPr>
                  <w:tcW w:w="4744" w:type="dxa"/>
                  <w:tcBorders>
                    <w:tl2br w:val="nil"/>
                    <w:tr2bl w:val="nil"/>
                  </w:tcBorders>
                  <w:vAlign w:val="center"/>
                </w:tcPr>
                <w:p w14:paraId="577EEF19">
                  <w:pPr>
                    <w:keepNext w:val="0"/>
                    <w:keepLines w:val="0"/>
                    <w:widowControl/>
                    <w:suppressLineNumbers w:val="0"/>
                    <w:jc w:val="both"/>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吸入：蒸气会强烈刺激呼吸道黏膜，引起咳嗽、胸闷，严重时可致肺水肿、氟中毒；</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皮肤：接触会造成严重化学灼伤，初期无痛感，数小时后出现红肿、水泡，深层组织坏死，且氟离子会经皮肤吸收引发全身中毒；</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眼睛：接触会造成角膜、结膜严重灼伤，甚至失明；</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摄入：误吞会灼伤口腔、食道、胃黏膜，引发呕血、休克，严重时可致脏器损伤。</w:t>
                  </w:r>
                </w:p>
              </w:tc>
            </w:tr>
            <w:tr w14:paraId="46FAF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032" w:type="dxa"/>
                  <w:tcBorders>
                    <w:tl2br w:val="nil"/>
                    <w:tr2bl w:val="nil"/>
                  </w:tcBorders>
                  <w:vAlign w:val="center"/>
                </w:tcPr>
                <w:p w14:paraId="6EE5D525">
                  <w:pPr>
                    <w:keepNext w:val="0"/>
                    <w:keepLines w:val="0"/>
                    <w:widowControl/>
                    <w:suppressLineNumbers w:val="0"/>
                    <w:jc w:val="center"/>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硝酸铈铵</w:t>
                  </w:r>
                </w:p>
              </w:tc>
              <w:tc>
                <w:tcPr>
                  <w:tcW w:w="2025" w:type="dxa"/>
                  <w:tcBorders>
                    <w:tl2br w:val="nil"/>
                    <w:tr2bl w:val="nil"/>
                  </w:tcBorders>
                  <w:vAlign w:val="center"/>
                </w:tcPr>
                <w:p w14:paraId="3A302147">
                  <w:pPr>
                    <w:keepNext w:val="0"/>
                    <w:keepLines w:val="0"/>
                    <w:widowControl/>
                    <w:suppressLineNumbers w:val="0"/>
                    <w:jc w:val="center"/>
                    <w:textAlignment w:val="center"/>
                    <w:rPr>
                      <w:rFonts w:hint="default" w:ascii="Times New Roman" w:hAnsi="Times New Roman" w:eastAsia="宋体" w:cs="Times New Roman"/>
                      <w:color w:val="000000" w:themeColor="text1"/>
                      <w:spacing w:val="0"/>
                      <w:w w:val="100"/>
                      <w:position w:val="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(NH</w:t>
                  </w:r>
                  <w:r>
                    <w:rPr>
                      <w:rFonts w:hint="default" w:ascii="Times New Roman" w:hAnsi="Times New Roman" w:eastAsia="宋体" w:cs="Times New Roman"/>
                      <w:i w:val="0"/>
                      <w:iCs w:val="0"/>
                      <w:color w:val="000000" w:themeColor="text1"/>
                      <w:kern w:val="0"/>
                      <w:sz w:val="22"/>
                      <w:szCs w:val="22"/>
                      <w:highlight w:val="none"/>
                      <w:u w:val="none"/>
                      <w:vertAlign w:val="subscript"/>
                      <w:lang w:val="en-US" w:eastAsia="zh-CN" w:bidi="ar"/>
                      <w14:textFill>
                        <w14:solidFill>
                          <w14:schemeClr w14:val="tx1"/>
                        </w14:solidFill>
                      </w14:textFill>
                    </w:rPr>
                    <w:t>4</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vertAlign w:val="subscript"/>
                      <w:lang w:val="en-US" w:eastAsia="zh-CN" w:bidi="ar"/>
                      <w14:textFill>
                        <w14:solidFill>
                          <w14:schemeClr w14:val="tx1"/>
                        </w14:solidFill>
                      </w14:textFill>
                    </w:rPr>
                    <w:t>2</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Ce(NO</w:t>
                  </w:r>
                  <w:r>
                    <w:rPr>
                      <w:rFonts w:hint="default" w:ascii="Times New Roman" w:hAnsi="Times New Roman" w:eastAsia="宋体" w:cs="Times New Roman"/>
                      <w:i w:val="0"/>
                      <w:iCs w:val="0"/>
                      <w:color w:val="000000" w:themeColor="text1"/>
                      <w:kern w:val="0"/>
                      <w:sz w:val="22"/>
                      <w:szCs w:val="22"/>
                      <w:highlight w:val="none"/>
                      <w:u w:val="none"/>
                      <w:vertAlign w:val="sub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vertAlign w:val="subscript"/>
                      <w:lang w:val="en-US" w:eastAsia="zh-CN" w:bidi="ar"/>
                      <w14:textFill>
                        <w14:solidFill>
                          <w14:schemeClr w14:val="tx1"/>
                        </w14:solidFill>
                      </w14:textFill>
                    </w:rPr>
                    <w:t>6</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w:t>
                  </w:r>
                </w:p>
              </w:tc>
              <w:tc>
                <w:tcPr>
                  <w:tcW w:w="5625" w:type="dxa"/>
                  <w:tcBorders>
                    <w:tl2br w:val="nil"/>
                    <w:tr2bl w:val="nil"/>
                  </w:tcBorders>
                  <w:vAlign w:val="center"/>
                </w:tcPr>
                <w:p w14:paraId="22EDEA90">
                  <w:pPr>
                    <w:keepNext w:val="0"/>
                    <w:keepLines w:val="0"/>
                    <w:widowControl/>
                    <w:suppressLineNumbers w:val="0"/>
                    <w:jc w:val="both"/>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外观为橘红色结晶粉末，易潮解；</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熔点：</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107℃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（分解）</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相对密度（水</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 xml:space="preserve"> = 1</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1.77</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水溶性：易溶于水、乙醇，不溶于浓硝酸；</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常温下稳定，受热易分解产生氮氧化物。</w:t>
                  </w:r>
                </w:p>
              </w:tc>
              <w:tc>
                <w:tcPr>
                  <w:tcW w:w="4744" w:type="dxa"/>
                  <w:tcBorders>
                    <w:tl2br w:val="nil"/>
                    <w:tr2bl w:val="nil"/>
                  </w:tcBorders>
                  <w:vAlign w:val="center"/>
                </w:tcPr>
                <w:p w14:paraId="3014813B">
                  <w:pPr>
                    <w:keepNext w:val="0"/>
                    <w:keepLines w:val="0"/>
                    <w:widowControl/>
                    <w:suppressLineNumbers w:val="0"/>
                    <w:jc w:val="both"/>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吸入：粉尘会刺激呼吸道，引起咳嗽、胸闷，长期接触可能导致肺组织损伤；</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皮肤：接触会造成皮肤刺激、红肿，粉末入眼会引起严重眼刺激；</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眼睛：直接接触会导致结膜红肿、角膜损伤；</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摄入：误吞有害，会刺激消化道，引发恶心、呕吐，铈离子会对肝肾造成轻微损伤。</w:t>
                  </w:r>
                </w:p>
              </w:tc>
            </w:tr>
            <w:tr w14:paraId="5AA35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032" w:type="dxa"/>
                  <w:tcBorders>
                    <w:tl2br w:val="nil"/>
                    <w:tr2bl w:val="nil"/>
                  </w:tcBorders>
                  <w:vAlign w:val="center"/>
                </w:tcPr>
                <w:p w14:paraId="0C1A03C1">
                  <w:pPr>
                    <w:keepNext w:val="0"/>
                    <w:keepLines w:val="0"/>
                    <w:widowControl/>
                    <w:suppressLineNumbers w:val="0"/>
                    <w:jc w:val="center"/>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冰乙酸</w:t>
                  </w:r>
                </w:p>
              </w:tc>
              <w:tc>
                <w:tcPr>
                  <w:tcW w:w="2025" w:type="dxa"/>
                  <w:tcBorders>
                    <w:tl2br w:val="nil"/>
                    <w:tr2bl w:val="nil"/>
                  </w:tcBorders>
                  <w:vAlign w:val="center"/>
                </w:tcPr>
                <w:p w14:paraId="652056EB">
                  <w:pPr>
                    <w:keepNext w:val="0"/>
                    <w:keepLines w:val="0"/>
                    <w:widowControl/>
                    <w:suppressLineNumbers w:val="0"/>
                    <w:jc w:val="center"/>
                    <w:textAlignment w:val="center"/>
                    <w:rPr>
                      <w:rFonts w:hint="default" w:ascii="Times New Roman" w:hAnsi="Times New Roman" w:eastAsia="宋体" w:cs="Times New Roman"/>
                      <w:color w:val="000000" w:themeColor="text1"/>
                      <w:spacing w:val="0"/>
                      <w:w w:val="100"/>
                      <w:position w:val="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CH</w:t>
                  </w:r>
                  <w:r>
                    <w:rPr>
                      <w:rFonts w:hint="default" w:ascii="Times New Roman" w:hAnsi="Times New Roman" w:eastAsia="宋体" w:cs="Times New Roman"/>
                      <w:i w:val="0"/>
                      <w:iCs w:val="0"/>
                      <w:color w:val="000000" w:themeColor="text1"/>
                      <w:kern w:val="0"/>
                      <w:sz w:val="22"/>
                      <w:szCs w:val="22"/>
                      <w:highlight w:val="none"/>
                      <w:u w:val="none"/>
                      <w:vertAlign w:val="sub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COOH</w:t>
                  </w:r>
                </w:p>
              </w:tc>
              <w:tc>
                <w:tcPr>
                  <w:tcW w:w="5625" w:type="dxa"/>
                  <w:tcBorders>
                    <w:tl2br w:val="nil"/>
                    <w:tr2bl w:val="nil"/>
                  </w:tcBorders>
                  <w:vAlign w:val="center"/>
                </w:tcPr>
                <w:p w14:paraId="1F2AED62">
                  <w:pPr>
                    <w:keepNext w:val="0"/>
                    <w:keepLines w:val="0"/>
                    <w:widowControl/>
                    <w:suppressLineNumbers w:val="0"/>
                    <w:jc w:val="both"/>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外观为无色透明液体，有强烈刺激性酸味；</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熔点：</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16.6℃</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沸点：</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117.9℃</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相对密度（水</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 xml:space="preserve"> = 1</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1.05</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水溶性：与水、乙醇、乙醚等互溶</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闪点：</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43℃</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饱和蒸汽压（</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kPa</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1.52</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p>
              </w:tc>
              <w:tc>
                <w:tcPr>
                  <w:tcW w:w="4744" w:type="dxa"/>
                  <w:tcBorders>
                    <w:tl2br w:val="nil"/>
                    <w:tr2bl w:val="nil"/>
                  </w:tcBorders>
                  <w:vAlign w:val="center"/>
                </w:tcPr>
                <w:p w14:paraId="3E221526">
                  <w:pPr>
                    <w:keepNext w:val="0"/>
                    <w:keepLines w:val="0"/>
                    <w:widowControl/>
                    <w:suppressLineNumbers w:val="0"/>
                    <w:jc w:val="both"/>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吸入：蒸气会强烈刺激鼻、咽喉和呼吸道，引起咳嗽、胸闷，长期接触可致慢性支气管炎；</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皮肤：接触会造成皮肤灼伤、红肿、水泡，长期接触会导致皮肤粗糙、脱皮；</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眼睛：直接接触会造成严重眼灼伤，出现结膜充血、角膜损伤；</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摄入：误吞会灼伤口腔、食道和胃黏膜，引发剧烈腹痛、呕吐。</w:t>
                  </w:r>
                </w:p>
              </w:tc>
            </w:tr>
            <w:tr w14:paraId="6D182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032" w:type="dxa"/>
                  <w:tcBorders>
                    <w:tl2br w:val="nil"/>
                    <w:tr2bl w:val="nil"/>
                  </w:tcBorders>
                  <w:vAlign w:val="center"/>
                </w:tcPr>
                <w:p w14:paraId="5138C627">
                  <w:pPr>
                    <w:keepNext w:val="0"/>
                    <w:keepLines w:val="0"/>
                    <w:widowControl/>
                    <w:suppressLineNumbers w:val="0"/>
                    <w:jc w:val="center"/>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 xml:space="preserve">85% </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磷酸</w:t>
                  </w:r>
                </w:p>
              </w:tc>
              <w:tc>
                <w:tcPr>
                  <w:tcW w:w="2025" w:type="dxa"/>
                  <w:tcBorders>
                    <w:tl2br w:val="nil"/>
                    <w:tr2bl w:val="nil"/>
                  </w:tcBorders>
                  <w:vAlign w:val="center"/>
                </w:tcPr>
                <w:p w14:paraId="54D2CC22">
                  <w:pPr>
                    <w:keepNext w:val="0"/>
                    <w:keepLines w:val="0"/>
                    <w:widowControl/>
                    <w:suppressLineNumbers w:val="0"/>
                    <w:jc w:val="center"/>
                    <w:textAlignment w:val="center"/>
                    <w:rPr>
                      <w:rFonts w:hint="default" w:ascii="Times New Roman" w:hAnsi="Times New Roman" w:eastAsia="宋体" w:cs="Times New Roman"/>
                      <w:color w:val="000000" w:themeColor="text1"/>
                      <w:spacing w:val="0"/>
                      <w:w w:val="100"/>
                      <w:position w:val="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H</w:t>
                  </w:r>
                  <w:r>
                    <w:rPr>
                      <w:rFonts w:hint="default" w:ascii="Times New Roman" w:hAnsi="Times New Roman" w:eastAsia="宋体" w:cs="Times New Roman"/>
                      <w:i w:val="0"/>
                      <w:iCs w:val="0"/>
                      <w:color w:val="000000" w:themeColor="text1"/>
                      <w:kern w:val="0"/>
                      <w:sz w:val="22"/>
                      <w:szCs w:val="22"/>
                      <w:highlight w:val="none"/>
                      <w:u w:val="none"/>
                      <w:vertAlign w:val="sub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PO</w:t>
                  </w:r>
                  <w:r>
                    <w:rPr>
                      <w:rFonts w:hint="default" w:ascii="Times New Roman" w:hAnsi="Times New Roman" w:eastAsia="宋体" w:cs="Times New Roman"/>
                      <w:i w:val="0"/>
                      <w:iCs w:val="0"/>
                      <w:color w:val="000000" w:themeColor="text1"/>
                      <w:kern w:val="0"/>
                      <w:sz w:val="22"/>
                      <w:szCs w:val="22"/>
                      <w:highlight w:val="none"/>
                      <w:u w:val="none"/>
                      <w:vertAlign w:val="subscript"/>
                      <w:lang w:val="en-US" w:eastAsia="zh-CN" w:bidi="ar"/>
                      <w14:textFill>
                        <w14:solidFill>
                          <w14:schemeClr w14:val="tx1"/>
                        </w14:solidFill>
                      </w14:textFill>
                    </w:rPr>
                    <w:t>4</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w:t>
                  </w:r>
                </w:p>
              </w:tc>
              <w:tc>
                <w:tcPr>
                  <w:tcW w:w="5625" w:type="dxa"/>
                  <w:tcBorders>
                    <w:tl2br w:val="nil"/>
                    <w:tr2bl w:val="nil"/>
                  </w:tcBorders>
                  <w:vAlign w:val="center"/>
                </w:tcPr>
                <w:p w14:paraId="02D08618">
                  <w:pPr>
                    <w:keepNext w:val="0"/>
                    <w:keepLines w:val="0"/>
                    <w:widowControl/>
                    <w:suppressLineNumbers w:val="0"/>
                    <w:jc w:val="both"/>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纯品为无色斜方晶体，</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 xml:space="preserve">85% </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工业品为无色透明</w:t>
                  </w: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黏稠</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液体，无刺激性气味；</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纯品熔点：</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42.35℃</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沸点：</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213℃</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（失去</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 xml:space="preserve"> 1/2H2​O</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85%</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溶液相对密度（水</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 1</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25℃</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1.685</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易溶于水、乙醇，在空气中易吸潮，化学性质稳定，无强氧化性。</w:t>
                  </w:r>
                </w:p>
              </w:tc>
              <w:tc>
                <w:tcPr>
                  <w:tcW w:w="4744" w:type="dxa"/>
                  <w:tcBorders>
                    <w:tl2br w:val="nil"/>
                    <w:tr2bl w:val="nil"/>
                  </w:tcBorders>
                  <w:vAlign w:val="center"/>
                </w:tcPr>
                <w:p w14:paraId="2666EBFD">
                  <w:pPr>
                    <w:keepNext w:val="0"/>
                    <w:keepLines w:val="0"/>
                    <w:widowControl/>
                    <w:suppressLineNumbers w:val="0"/>
                    <w:jc w:val="both"/>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吸入：蒸气</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 xml:space="preserve"> / </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雾滴会刺激呼吸道黏膜，引起咳嗽、咽喉不适，长期接触可致慢性鼻炎；</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皮肤：接触会造成轻微腐蚀，出现皮肤发红、刺痛，高浓度会造成灼伤；</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眼睛：接触会引起眼刺激，高浓度会致结膜、角膜损伤；</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摄入：误吞会刺激消化道，引发恶心、呕吐，严重时可致消化道黏膜灼伤。</w:t>
                  </w:r>
                </w:p>
              </w:tc>
            </w:tr>
            <w:tr w14:paraId="5C8C4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032" w:type="dxa"/>
                  <w:tcBorders>
                    <w:tl2br w:val="nil"/>
                    <w:tr2bl w:val="nil"/>
                  </w:tcBorders>
                  <w:vAlign w:val="center"/>
                </w:tcPr>
                <w:p w14:paraId="51017C1B">
                  <w:pPr>
                    <w:keepNext w:val="0"/>
                    <w:keepLines w:val="0"/>
                    <w:widowControl/>
                    <w:suppressLineNumbers w:val="0"/>
                    <w:jc w:val="center"/>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氟化铵</w:t>
                  </w:r>
                </w:p>
              </w:tc>
              <w:tc>
                <w:tcPr>
                  <w:tcW w:w="2025" w:type="dxa"/>
                  <w:tcBorders>
                    <w:tl2br w:val="nil"/>
                    <w:tr2bl w:val="nil"/>
                  </w:tcBorders>
                  <w:vAlign w:val="center"/>
                </w:tcPr>
                <w:p w14:paraId="003CF868">
                  <w:pPr>
                    <w:keepNext w:val="0"/>
                    <w:keepLines w:val="0"/>
                    <w:widowControl/>
                    <w:suppressLineNumbers w:val="0"/>
                    <w:jc w:val="center"/>
                    <w:textAlignment w:val="center"/>
                    <w:rPr>
                      <w:rFonts w:hint="default" w:ascii="Times New Roman" w:hAnsi="Times New Roman" w:eastAsia="宋体" w:cs="Times New Roman"/>
                      <w:color w:val="000000" w:themeColor="text1"/>
                      <w:spacing w:val="0"/>
                      <w:w w:val="100"/>
                      <w:position w:val="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NH</w:t>
                  </w:r>
                  <w:r>
                    <w:rPr>
                      <w:rFonts w:hint="default" w:ascii="Times New Roman" w:hAnsi="Times New Roman" w:eastAsia="宋体" w:cs="Times New Roman"/>
                      <w:i w:val="0"/>
                      <w:iCs w:val="0"/>
                      <w:color w:val="000000" w:themeColor="text1"/>
                      <w:kern w:val="0"/>
                      <w:sz w:val="22"/>
                      <w:szCs w:val="22"/>
                      <w:highlight w:val="none"/>
                      <w:u w:val="none"/>
                      <w:vertAlign w:val="subscript"/>
                      <w:lang w:val="en-US" w:eastAsia="zh-CN" w:bidi="ar"/>
                      <w14:textFill>
                        <w14:solidFill>
                          <w14:schemeClr w14:val="tx1"/>
                        </w14:solidFill>
                      </w14:textFill>
                    </w:rPr>
                    <w:t>4</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F</w:t>
                  </w:r>
                </w:p>
              </w:tc>
              <w:tc>
                <w:tcPr>
                  <w:tcW w:w="5625" w:type="dxa"/>
                  <w:tcBorders>
                    <w:tl2br w:val="nil"/>
                    <w:tr2bl w:val="nil"/>
                  </w:tcBorders>
                  <w:vAlign w:val="center"/>
                </w:tcPr>
                <w:p w14:paraId="3B816D26">
                  <w:pPr>
                    <w:keepNext w:val="0"/>
                    <w:keepLines w:val="0"/>
                    <w:widowControl/>
                    <w:suppressLineNumbers w:val="0"/>
                    <w:jc w:val="both"/>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外观为无色透明结晶或白色粉末，易潮解；</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熔点：</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100℃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（分解）</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相对密度（水</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 xml:space="preserve"> = 1</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1.01</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水溶性：易溶于水，水溶液呈弱酸性，微溶于乙醇，受热易分解产生氟化氢和氨；</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与酸接触会释放出氟化氢气体。</w:t>
                  </w:r>
                </w:p>
              </w:tc>
              <w:tc>
                <w:tcPr>
                  <w:tcW w:w="4744" w:type="dxa"/>
                  <w:tcBorders>
                    <w:tl2br w:val="nil"/>
                    <w:tr2bl w:val="nil"/>
                  </w:tcBorders>
                  <w:vAlign w:val="center"/>
                </w:tcPr>
                <w:p w14:paraId="17D5A9EC">
                  <w:pPr>
                    <w:keepNext w:val="0"/>
                    <w:keepLines w:val="0"/>
                    <w:widowControl/>
                    <w:suppressLineNumbers w:val="0"/>
                    <w:jc w:val="both"/>
                    <w:textAlignment w:val="center"/>
                    <w:rPr>
                      <w:rFonts w:hint="default" w:ascii="Times New Roman" w:hAnsi="Times New Roman" w:eastAsia="宋体" w:cs="Times New Roman"/>
                      <w:color w:val="000000" w:themeColor="text1"/>
                      <w:spacing w:val="0"/>
                      <w:w w:val="10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吸入：粉尘</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 xml:space="preserve"> / </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蒸气会刺激呼吸道，引起咳嗽、胸闷，氟离子会损伤呼吸道黏膜，长期接触可致氟中毒；</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皮肤：接触会造成皮肤刺激、红肿，粉末潮解后具有腐蚀性，可致皮肤灼伤；</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眼睛：接触会引起眼结膜红肿、刺痛，严重时可致角膜损伤；</w:t>
                  </w: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摄入：误吞有害，会刺激消化道，引发呕吐、腹痛，氟离子经消化道吸收会引发全身氟中毒。</w:t>
                  </w:r>
                </w:p>
              </w:tc>
            </w:tr>
          </w:tbl>
          <w:p w14:paraId="177A8671">
            <w:pPr>
              <w:spacing w:line="360" w:lineRule="auto"/>
              <w:jc w:val="center"/>
              <w:rPr>
                <w:rFonts w:hint="eastAsia"/>
                <w:b/>
                <w:bCs/>
                <w:color w:val="000000" w:themeColor="text1"/>
                <w:sz w:val="24"/>
                <w:szCs w:val="24"/>
                <w:highlight w:val="none"/>
                <w:lang w:val="en-US" w:eastAsia="zh-CN"/>
                <w14:textFill>
                  <w14:solidFill>
                    <w14:schemeClr w14:val="tx1"/>
                  </w14:solidFill>
                </w14:textFill>
              </w:rPr>
            </w:pPr>
          </w:p>
          <w:p w14:paraId="34FCAFA4">
            <w:pPr>
              <w:spacing w:line="360" w:lineRule="auto"/>
              <w:jc w:val="center"/>
              <w:rPr>
                <w:rFonts w:hint="eastAsia"/>
                <w:b/>
                <w:bCs/>
                <w:color w:val="000000" w:themeColor="text1"/>
                <w:sz w:val="24"/>
                <w:szCs w:val="24"/>
                <w:highlight w:val="none"/>
                <w:lang w:val="en-US" w:eastAsia="zh-CN"/>
                <w14:textFill>
                  <w14:solidFill>
                    <w14:schemeClr w14:val="tx1"/>
                  </w14:solidFill>
                </w14:textFill>
              </w:rPr>
            </w:pPr>
          </w:p>
          <w:p w14:paraId="620D3B08">
            <w:pPr>
              <w:spacing w:line="360" w:lineRule="auto"/>
              <w:jc w:val="center"/>
              <w:rPr>
                <w:rFonts w:hint="eastAsia"/>
                <w:b/>
                <w:bCs/>
                <w:color w:val="000000" w:themeColor="text1"/>
                <w:sz w:val="24"/>
                <w:szCs w:val="24"/>
                <w:highlight w:val="none"/>
                <w:lang w:val="en-US" w:eastAsia="zh-CN"/>
                <w14:textFill>
                  <w14:solidFill>
                    <w14:schemeClr w14:val="tx1"/>
                  </w14:solidFill>
                </w14:textFill>
              </w:rPr>
            </w:pPr>
          </w:p>
          <w:p w14:paraId="26C23727">
            <w:pPr>
              <w:spacing w:line="360" w:lineRule="auto"/>
              <w:jc w:val="center"/>
              <w:rPr>
                <w:rFonts w:hint="eastAsia"/>
                <w:b/>
                <w:bCs/>
                <w:color w:val="000000" w:themeColor="text1"/>
                <w:sz w:val="24"/>
                <w:szCs w:val="24"/>
                <w:highlight w:val="none"/>
                <w:lang w:val="en-US" w:eastAsia="zh-CN"/>
                <w14:textFill>
                  <w14:solidFill>
                    <w14:schemeClr w14:val="tx1"/>
                  </w14:solidFill>
                </w14:textFill>
              </w:rPr>
            </w:pPr>
          </w:p>
          <w:p w14:paraId="665DDC8D">
            <w:pPr>
              <w:spacing w:line="360" w:lineRule="auto"/>
              <w:jc w:val="center"/>
              <w:rPr>
                <w:rFonts w:hint="eastAsia"/>
                <w:b/>
                <w:bCs/>
                <w:color w:val="000000" w:themeColor="text1"/>
                <w:sz w:val="24"/>
                <w:szCs w:val="24"/>
                <w:highlight w:val="none"/>
                <w:lang w:val="en-US" w:eastAsia="zh-CN"/>
                <w14:textFill>
                  <w14:solidFill>
                    <w14:schemeClr w14:val="tx1"/>
                  </w14:solidFill>
                </w14:textFill>
              </w:rPr>
            </w:pPr>
          </w:p>
          <w:p w14:paraId="0F680BF1">
            <w:pPr>
              <w:spacing w:line="360" w:lineRule="auto"/>
              <w:jc w:val="center"/>
              <w:rPr>
                <w:rFonts w:hint="eastAsia"/>
                <w:b/>
                <w:bCs/>
                <w:color w:val="000000" w:themeColor="text1"/>
                <w:sz w:val="24"/>
                <w:szCs w:val="24"/>
                <w:highlight w:val="none"/>
                <w:lang w:val="en-US" w:eastAsia="zh-CN"/>
                <w14:textFill>
                  <w14:solidFill>
                    <w14:schemeClr w14:val="tx1"/>
                  </w14:solidFill>
                </w14:textFill>
              </w:rPr>
            </w:pPr>
          </w:p>
          <w:p w14:paraId="759916E1">
            <w:pPr>
              <w:spacing w:line="360" w:lineRule="auto"/>
              <w:jc w:val="center"/>
              <w:rPr>
                <w:rFonts w:hint="eastAsia"/>
                <w:b/>
                <w:bCs/>
                <w:color w:val="000000" w:themeColor="text1"/>
                <w:sz w:val="24"/>
                <w:szCs w:val="24"/>
                <w:highlight w:val="none"/>
                <w:lang w:val="en-US" w:eastAsia="zh-CN"/>
                <w14:textFill>
                  <w14:solidFill>
                    <w14:schemeClr w14:val="tx1"/>
                  </w14:solidFill>
                </w14:textFill>
              </w:rPr>
            </w:pPr>
          </w:p>
          <w:p w14:paraId="78BF81D7">
            <w:pPr>
              <w:spacing w:line="360" w:lineRule="auto"/>
              <w:jc w:val="center"/>
              <w:rPr>
                <w:rFonts w:hint="eastAsia"/>
                <w:b/>
                <w:bCs/>
                <w:color w:val="000000" w:themeColor="text1"/>
                <w:sz w:val="24"/>
                <w:szCs w:val="24"/>
                <w:highlight w:val="none"/>
                <w:lang w:val="en-US" w:eastAsia="zh-CN"/>
                <w14:textFill>
                  <w14:solidFill>
                    <w14:schemeClr w14:val="tx1"/>
                  </w14:solidFill>
                </w14:textFill>
              </w:rPr>
            </w:pPr>
          </w:p>
          <w:p w14:paraId="5B527F28">
            <w:pPr>
              <w:spacing w:line="360" w:lineRule="auto"/>
              <w:jc w:val="center"/>
              <w:rPr>
                <w:rFonts w:hint="eastAsia"/>
                <w:b/>
                <w:bCs/>
                <w:color w:val="000000" w:themeColor="text1"/>
                <w:sz w:val="24"/>
                <w:szCs w:val="24"/>
                <w:highlight w:val="none"/>
                <w:lang w:val="en-US" w:eastAsia="zh-CN"/>
                <w14:textFill>
                  <w14:solidFill>
                    <w14:schemeClr w14:val="tx1"/>
                  </w14:solidFill>
                </w14:textFill>
              </w:rPr>
            </w:pPr>
          </w:p>
          <w:p w14:paraId="7EE01DCD">
            <w:pPr>
              <w:spacing w:line="360" w:lineRule="auto"/>
              <w:jc w:val="center"/>
              <w:rPr>
                <w:rFonts w:hint="eastAsia"/>
                <w:b/>
                <w:bCs/>
                <w:color w:val="000000" w:themeColor="text1"/>
                <w:sz w:val="24"/>
                <w:szCs w:val="24"/>
                <w:highlight w:val="none"/>
                <w:lang w:val="en-US" w:eastAsia="zh-CN"/>
                <w14:textFill>
                  <w14:solidFill>
                    <w14:schemeClr w14:val="tx1"/>
                  </w14:solidFill>
                </w14:textFill>
              </w:rPr>
            </w:pPr>
          </w:p>
          <w:p w14:paraId="061F4AD1">
            <w:pPr>
              <w:spacing w:line="360" w:lineRule="auto"/>
              <w:jc w:val="center"/>
              <w:rPr>
                <w:rFonts w:hint="eastAsia"/>
                <w:b/>
                <w:bCs/>
                <w:color w:val="000000" w:themeColor="text1"/>
                <w:sz w:val="24"/>
                <w:szCs w:val="24"/>
                <w:highlight w:val="none"/>
                <w:lang w:val="en-US" w:eastAsia="zh-CN"/>
                <w14:textFill>
                  <w14:solidFill>
                    <w14:schemeClr w14:val="tx1"/>
                  </w14:solidFill>
                </w14:textFill>
              </w:rPr>
            </w:pPr>
          </w:p>
          <w:p w14:paraId="6E875710">
            <w:pPr>
              <w:spacing w:line="360" w:lineRule="auto"/>
              <w:jc w:val="center"/>
              <w:rPr>
                <w:rFonts w:hint="eastAsia"/>
                <w:b/>
                <w:bCs/>
                <w:color w:val="000000" w:themeColor="text1"/>
                <w:sz w:val="24"/>
                <w:szCs w:val="24"/>
                <w:highlight w:val="none"/>
                <w:lang w:val="en-US" w:eastAsia="zh-CN"/>
                <w14:textFill>
                  <w14:solidFill>
                    <w14:schemeClr w14:val="tx1"/>
                  </w14:solidFill>
                </w14:textFill>
              </w:rPr>
            </w:pPr>
          </w:p>
        </w:tc>
      </w:tr>
    </w:tbl>
    <w:p w14:paraId="52AB0530">
      <w:pPr>
        <w:pStyle w:val="12"/>
        <w:rPr>
          <w:snapToGrid w:val="0"/>
          <w:color w:val="000000" w:themeColor="text1"/>
          <w:highlight w:val="none"/>
          <w14:textFill>
            <w14:solidFill>
              <w14:schemeClr w14:val="tx1"/>
            </w14:solidFill>
          </w14:textFill>
        </w:rPr>
        <w:sectPr>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546"/>
        <w:gridCol w:w="8278"/>
      </w:tblGrid>
      <w:tr w14:paraId="775B92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48" w:hRule="atLeast"/>
          <w:jc w:val="center"/>
        </w:trPr>
        <w:tc>
          <w:tcPr>
            <w:tcW w:w="546" w:type="dxa"/>
            <w:vAlign w:val="center"/>
          </w:tcPr>
          <w:p w14:paraId="61877815">
            <w:pPr>
              <w:pStyle w:val="26"/>
              <w:adjustRightInd w:val="0"/>
              <w:snapToGrid w:val="0"/>
              <w:spacing w:before="0" w:beforeAutospacing="0" w:after="0" w:afterAutospacing="0"/>
              <w:jc w:val="center"/>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工艺流程和产排污环节</w:t>
            </w:r>
          </w:p>
        </w:tc>
        <w:tc>
          <w:tcPr>
            <w:tcW w:w="8278" w:type="dxa"/>
          </w:tcPr>
          <w:p w14:paraId="669931E7">
            <w:pPr>
              <w:pStyle w:val="37"/>
              <w:rPr>
                <w:rFonts w:hint="default"/>
                <w:b w:val="0"/>
                <w:color w:val="000000" w:themeColor="text1"/>
                <w:sz w:val="24"/>
                <w:szCs w:val="21"/>
                <w:highlight w:val="none"/>
                <w:lang w:val="en-US" w:eastAsia="zh-CN"/>
                <w14:textFill>
                  <w14:solidFill>
                    <w14:schemeClr w14:val="tx1"/>
                  </w14:solidFill>
                </w14:textFill>
              </w:rPr>
            </w:pPr>
            <w:r>
              <w:rPr>
                <w:rFonts w:hint="eastAsia"/>
                <w:b w:val="0"/>
                <w:color w:val="000000" w:themeColor="text1"/>
                <w:sz w:val="24"/>
                <w:szCs w:val="21"/>
                <w:highlight w:val="none"/>
                <w:lang w:val="en-US" w:eastAsia="zh-CN"/>
                <w14:textFill>
                  <w14:solidFill>
                    <w14:schemeClr w14:val="tx1"/>
                  </w14:solidFill>
                </w14:textFill>
              </w:rPr>
              <w:t>2.5 主要生产设备</w:t>
            </w:r>
          </w:p>
          <w:p w14:paraId="13619D51">
            <w:pPr>
              <w:pStyle w:val="36"/>
              <w:keepNext w:val="0"/>
              <w:keepLines w:val="0"/>
              <w:pageBreakBefore w:val="0"/>
              <w:widowControl w:val="0"/>
              <w:kinsoku/>
              <w:wordWrap/>
              <w:overflowPunct/>
              <w:topLinePunct w:val="0"/>
              <w:bidi w:val="0"/>
              <w:adjustRightInd/>
              <w:snapToGrid/>
              <w:spacing w:before="0" w:line="360" w:lineRule="auto"/>
              <w:ind w:left="488"/>
              <w:textAlignment w:val="auto"/>
              <w:rPr>
                <w:rFonts w:hint="eastAsia" w:ascii="Times New Roman" w:hAnsi="Times New Roman" w:eastAsia="宋体" w:cs="Times New Roman"/>
                <w:color w:val="000000" w:themeColor="text1"/>
                <w:kern w:val="2"/>
                <w:sz w:val="24"/>
                <w:szCs w:val="32"/>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32"/>
                <w:highlight w:val="none"/>
                <w:lang w:val="en-US" w:eastAsia="zh-CN" w:bidi="ar-SA"/>
                <w14:textFill>
                  <w14:solidFill>
                    <w14:schemeClr w14:val="tx1"/>
                  </w14:solidFill>
                </w14:textFill>
              </w:rPr>
              <w:t>（1）主要生产设备</w:t>
            </w:r>
          </w:p>
          <w:p w14:paraId="6ED8F175">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imes New Roman" w:hAnsi="Times New Roman" w:eastAsia="宋体" w:cs="Times New Roman"/>
                <w:color w:val="000000" w:themeColor="text1"/>
                <w:kern w:val="2"/>
                <w:sz w:val="24"/>
                <w:szCs w:val="32"/>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32"/>
                <w:highlight w:val="none"/>
                <w:lang w:val="en-US" w:eastAsia="zh-CN" w:bidi="ar-SA"/>
                <w14:textFill>
                  <w14:solidFill>
                    <w14:schemeClr w14:val="tx1"/>
                  </w14:solidFill>
                </w14:textFill>
              </w:rPr>
              <w:t>本项目的主要生产设备详见下表。</w:t>
            </w:r>
          </w:p>
          <w:p w14:paraId="529357A9">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eastAsia"/>
                <w:color w:val="000000" w:themeColor="text1"/>
                <w:sz w:val="24"/>
                <w:szCs w:val="32"/>
                <w:highlight w:val="none"/>
                <w:lang w:val="en-US" w:eastAsia="zh-CN"/>
                <w14:textFill>
                  <w14:solidFill>
                    <w14:schemeClr w14:val="tx1"/>
                  </w14:solidFill>
                </w14:textFill>
              </w:rPr>
            </w:pPr>
            <w:r>
              <w:rPr>
                <w:rFonts w:hint="eastAsia"/>
                <w:b/>
                <w:color w:val="000000" w:themeColor="text1"/>
                <w:sz w:val="24"/>
                <w:szCs w:val="24"/>
                <w:highlight w:val="none"/>
                <w14:textFill>
                  <w14:solidFill>
                    <w14:schemeClr w14:val="tx1"/>
                  </w14:solidFill>
                </w14:textFill>
              </w:rPr>
              <w:t>表</w:t>
            </w:r>
            <w:r>
              <w:rPr>
                <w:rFonts w:hint="eastAsia"/>
                <w:b/>
                <w:color w:val="000000" w:themeColor="text1"/>
                <w:sz w:val="24"/>
                <w:szCs w:val="24"/>
                <w:highlight w:val="none"/>
                <w:lang w:val="en-US" w:eastAsia="zh-CN"/>
                <w14:textFill>
                  <w14:solidFill>
                    <w14:schemeClr w14:val="tx1"/>
                  </w14:solidFill>
                </w14:textFill>
              </w:rPr>
              <w:t>2.5-1</w:t>
            </w:r>
            <w:r>
              <w:rPr>
                <w:b/>
                <w:color w:val="000000" w:themeColor="text1"/>
                <w:sz w:val="24"/>
                <w:szCs w:val="24"/>
                <w:highlight w:val="none"/>
                <w14:textFill>
                  <w14:solidFill>
                    <w14:schemeClr w14:val="tx1"/>
                  </w14:solidFill>
                </w14:textFill>
              </w:rPr>
              <w:t xml:space="preserve"> </w:t>
            </w:r>
            <w:r>
              <w:rPr>
                <w:rFonts w:hint="eastAsia"/>
                <w:b/>
                <w:color w:val="000000" w:themeColor="text1"/>
                <w:sz w:val="24"/>
                <w:szCs w:val="24"/>
                <w:highlight w:val="none"/>
                <w:lang w:val="en-US" w:eastAsia="zh-CN"/>
                <w14:textFill>
                  <w14:solidFill>
                    <w14:schemeClr w14:val="tx1"/>
                  </w14:solidFill>
                </w14:textFill>
              </w:rPr>
              <w:t>本</w:t>
            </w:r>
            <w:r>
              <w:rPr>
                <w:rFonts w:hint="eastAsia"/>
                <w:b/>
                <w:color w:val="000000" w:themeColor="text1"/>
                <w:sz w:val="24"/>
                <w:szCs w:val="24"/>
                <w:highlight w:val="none"/>
                <w14:textFill>
                  <w14:solidFill>
                    <w14:schemeClr w14:val="tx1"/>
                  </w14:solidFill>
                </w14:textFill>
              </w:rPr>
              <w:t>项目主要</w:t>
            </w:r>
            <w:r>
              <w:rPr>
                <w:rFonts w:hint="eastAsia"/>
                <w:b/>
                <w:color w:val="000000" w:themeColor="text1"/>
                <w:sz w:val="24"/>
                <w:szCs w:val="24"/>
                <w:highlight w:val="none"/>
                <w:lang w:val="en-US" w:eastAsia="zh-CN"/>
                <w14:textFill>
                  <w14:solidFill>
                    <w14:schemeClr w14:val="tx1"/>
                  </w14:solidFill>
                </w14:textFill>
              </w:rPr>
              <w:t>生产设备</w:t>
            </w:r>
            <w:r>
              <w:rPr>
                <w:rFonts w:hint="eastAsia"/>
                <w:b/>
                <w:color w:val="000000" w:themeColor="text1"/>
                <w:sz w:val="24"/>
                <w:szCs w:val="24"/>
                <w:highlight w:val="none"/>
                <w14:textFill>
                  <w14:solidFill>
                    <w14:schemeClr w14:val="tx1"/>
                  </w14:solidFill>
                </w14:textFill>
              </w:rPr>
              <w:t>一览</w:t>
            </w:r>
            <w:r>
              <w:rPr>
                <w:rFonts w:hint="eastAsia"/>
                <w:b/>
                <w:color w:val="000000" w:themeColor="text1"/>
                <w:sz w:val="24"/>
                <w:szCs w:val="24"/>
                <w:highlight w:val="none"/>
                <w:lang w:val="en-US" w:eastAsia="zh-CN"/>
                <w14:textFill>
                  <w14:solidFill>
                    <w14:schemeClr w14:val="tx1"/>
                  </w14:solidFill>
                </w14:textFill>
              </w:rPr>
              <w:t>表</w:t>
            </w:r>
          </w:p>
          <w:tbl>
            <w:tblPr>
              <w:tblStyle w:val="30"/>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67"/>
              <w:gridCol w:w="2480"/>
              <w:gridCol w:w="2077"/>
              <w:gridCol w:w="2230"/>
            </w:tblGrid>
            <w:tr w14:paraId="21481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52" w:type="dxa"/>
                  <w:tcBorders>
                    <w:tl2br w:val="nil"/>
                    <w:tr2bl w:val="nil"/>
                  </w:tcBorders>
                  <w:noWrap w:val="0"/>
                  <w:tcMar>
                    <w:top w:w="15" w:type="dxa"/>
                    <w:left w:w="15" w:type="dxa"/>
                    <w:right w:w="15" w:type="dxa"/>
                  </w:tcMar>
                  <w:vAlign w:val="center"/>
                </w:tcPr>
                <w:p w14:paraId="7246D68D">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序号</w:t>
                  </w:r>
                </w:p>
              </w:tc>
              <w:tc>
                <w:tcPr>
                  <w:tcW w:w="2452" w:type="dxa"/>
                  <w:tcBorders>
                    <w:tl2br w:val="nil"/>
                    <w:tr2bl w:val="nil"/>
                  </w:tcBorders>
                  <w:noWrap w:val="0"/>
                  <w:tcMar>
                    <w:top w:w="15" w:type="dxa"/>
                    <w:left w:w="15" w:type="dxa"/>
                    <w:right w:w="15" w:type="dxa"/>
                  </w:tcMar>
                  <w:vAlign w:val="center"/>
                </w:tcPr>
                <w:p w14:paraId="76641F3F">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设备名称</w:t>
                  </w:r>
                </w:p>
              </w:tc>
              <w:tc>
                <w:tcPr>
                  <w:tcW w:w="2054" w:type="dxa"/>
                  <w:tcBorders>
                    <w:tl2br w:val="nil"/>
                    <w:tr2bl w:val="nil"/>
                  </w:tcBorders>
                  <w:noWrap w:val="0"/>
                  <w:tcMar>
                    <w:top w:w="15" w:type="dxa"/>
                    <w:left w:w="15" w:type="dxa"/>
                    <w:right w:w="15" w:type="dxa"/>
                  </w:tcMar>
                  <w:vAlign w:val="center"/>
                </w:tcPr>
                <w:p w14:paraId="48090814">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单位</w:t>
                  </w:r>
                </w:p>
              </w:tc>
              <w:tc>
                <w:tcPr>
                  <w:tcW w:w="2204" w:type="dxa"/>
                  <w:tcBorders>
                    <w:tl2br w:val="nil"/>
                    <w:tr2bl w:val="nil"/>
                  </w:tcBorders>
                  <w:noWrap w:val="0"/>
                  <w:tcMar>
                    <w:top w:w="15" w:type="dxa"/>
                    <w:left w:w="15" w:type="dxa"/>
                    <w:right w:w="15" w:type="dxa"/>
                  </w:tcMar>
                  <w:vAlign w:val="center"/>
                </w:tcPr>
                <w:p w14:paraId="79A15856">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数量</w:t>
                  </w:r>
                </w:p>
              </w:tc>
            </w:tr>
            <w:tr w14:paraId="4B72C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52" w:type="dxa"/>
                  <w:tcBorders>
                    <w:tl2br w:val="nil"/>
                    <w:tr2bl w:val="nil"/>
                  </w:tcBorders>
                  <w:noWrap w:val="0"/>
                  <w:tcMar>
                    <w:top w:w="15" w:type="dxa"/>
                    <w:left w:w="15" w:type="dxa"/>
                    <w:right w:w="15" w:type="dxa"/>
                  </w:tcMar>
                  <w:vAlign w:val="center"/>
                </w:tcPr>
                <w:p w14:paraId="153119FB">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2452" w:type="dxa"/>
                  <w:tcBorders>
                    <w:tl2br w:val="nil"/>
                    <w:tr2bl w:val="nil"/>
                  </w:tcBorders>
                  <w:noWrap w:val="0"/>
                  <w:tcMar>
                    <w:top w:w="15" w:type="dxa"/>
                    <w:left w:w="15" w:type="dxa"/>
                    <w:right w:w="15" w:type="dxa"/>
                  </w:tcMar>
                  <w:vAlign w:val="center"/>
                </w:tcPr>
                <w:p w14:paraId="24D6A7E8">
                  <w:pPr>
                    <w:widowControl/>
                    <w:jc w:val="center"/>
                    <w:textAlignment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抛光机</w:t>
                  </w:r>
                </w:p>
              </w:tc>
              <w:tc>
                <w:tcPr>
                  <w:tcW w:w="2054" w:type="dxa"/>
                  <w:tcBorders>
                    <w:tl2br w:val="nil"/>
                    <w:tr2bl w:val="nil"/>
                  </w:tcBorders>
                  <w:noWrap w:val="0"/>
                  <w:tcMar>
                    <w:top w:w="15" w:type="dxa"/>
                    <w:left w:w="15" w:type="dxa"/>
                    <w:right w:w="15" w:type="dxa"/>
                  </w:tcMar>
                  <w:vAlign w:val="center"/>
                </w:tcPr>
                <w:p w14:paraId="5DFC01B7">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台</w:t>
                  </w:r>
                </w:p>
              </w:tc>
              <w:tc>
                <w:tcPr>
                  <w:tcW w:w="2204" w:type="dxa"/>
                  <w:tcBorders>
                    <w:tl2br w:val="nil"/>
                    <w:tr2bl w:val="nil"/>
                  </w:tcBorders>
                  <w:noWrap w:val="0"/>
                  <w:tcMar>
                    <w:top w:w="15" w:type="dxa"/>
                    <w:left w:w="15" w:type="dxa"/>
                    <w:right w:w="15" w:type="dxa"/>
                  </w:tcMar>
                  <w:vAlign w:val="center"/>
                </w:tcPr>
                <w:p w14:paraId="556E4613">
                  <w:pPr>
                    <w:widowControl/>
                    <w:jc w:val="center"/>
                    <w:textAlignment w:val="center"/>
                    <w:rPr>
                      <w:color w:val="000000" w:themeColor="text1"/>
                      <w:szCs w:val="21"/>
                      <w:highlight w:val="none"/>
                      <w14:textFill>
                        <w14:solidFill>
                          <w14:schemeClr w14:val="tx1"/>
                        </w14:solidFill>
                      </w14:textFill>
                    </w:rPr>
                  </w:pPr>
                </w:p>
              </w:tc>
            </w:tr>
            <w:tr w14:paraId="2C70E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52" w:type="dxa"/>
                  <w:tcBorders>
                    <w:tl2br w:val="nil"/>
                    <w:tr2bl w:val="nil"/>
                  </w:tcBorders>
                  <w:noWrap w:val="0"/>
                  <w:tcMar>
                    <w:top w:w="15" w:type="dxa"/>
                    <w:left w:w="15" w:type="dxa"/>
                    <w:right w:w="15" w:type="dxa"/>
                  </w:tcMar>
                  <w:vAlign w:val="center"/>
                </w:tcPr>
                <w:p w14:paraId="2C1E9430">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p>
              </w:tc>
              <w:tc>
                <w:tcPr>
                  <w:tcW w:w="2452" w:type="dxa"/>
                  <w:tcBorders>
                    <w:tl2br w:val="nil"/>
                    <w:tr2bl w:val="nil"/>
                  </w:tcBorders>
                  <w:noWrap w:val="0"/>
                  <w:tcMar>
                    <w:top w:w="15" w:type="dxa"/>
                    <w:left w:w="15" w:type="dxa"/>
                    <w:right w:w="15" w:type="dxa"/>
                  </w:tcMar>
                  <w:vAlign w:val="center"/>
                </w:tcPr>
                <w:p w14:paraId="244FCAA7">
                  <w:pPr>
                    <w:widowControl/>
                    <w:jc w:val="center"/>
                    <w:textAlignment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研磨机</w:t>
                  </w:r>
                </w:p>
              </w:tc>
              <w:tc>
                <w:tcPr>
                  <w:tcW w:w="2054" w:type="dxa"/>
                  <w:tcBorders>
                    <w:tl2br w:val="nil"/>
                    <w:tr2bl w:val="nil"/>
                  </w:tcBorders>
                  <w:noWrap w:val="0"/>
                  <w:tcMar>
                    <w:top w:w="15" w:type="dxa"/>
                    <w:left w:w="15" w:type="dxa"/>
                    <w:right w:w="15" w:type="dxa"/>
                  </w:tcMar>
                  <w:vAlign w:val="center"/>
                </w:tcPr>
                <w:p w14:paraId="2CD59079">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台</w:t>
                  </w:r>
                </w:p>
              </w:tc>
              <w:tc>
                <w:tcPr>
                  <w:tcW w:w="2204" w:type="dxa"/>
                  <w:tcBorders>
                    <w:tl2br w:val="nil"/>
                    <w:tr2bl w:val="nil"/>
                  </w:tcBorders>
                  <w:noWrap w:val="0"/>
                  <w:tcMar>
                    <w:top w:w="15" w:type="dxa"/>
                    <w:left w:w="15" w:type="dxa"/>
                    <w:right w:w="15" w:type="dxa"/>
                  </w:tcMar>
                  <w:vAlign w:val="center"/>
                </w:tcPr>
                <w:p w14:paraId="552E26BF">
                  <w:pPr>
                    <w:widowControl/>
                    <w:jc w:val="center"/>
                    <w:textAlignment w:val="center"/>
                    <w:rPr>
                      <w:color w:val="000000" w:themeColor="text1"/>
                      <w:szCs w:val="21"/>
                      <w:highlight w:val="none"/>
                      <w14:textFill>
                        <w14:solidFill>
                          <w14:schemeClr w14:val="tx1"/>
                        </w14:solidFill>
                      </w14:textFill>
                    </w:rPr>
                  </w:pPr>
                </w:p>
              </w:tc>
            </w:tr>
            <w:tr w14:paraId="7EB67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52" w:type="dxa"/>
                  <w:tcBorders>
                    <w:tl2br w:val="nil"/>
                    <w:tr2bl w:val="nil"/>
                  </w:tcBorders>
                  <w:noWrap w:val="0"/>
                  <w:tcMar>
                    <w:top w:w="15" w:type="dxa"/>
                    <w:left w:w="15" w:type="dxa"/>
                    <w:right w:w="15" w:type="dxa"/>
                  </w:tcMar>
                  <w:vAlign w:val="center"/>
                </w:tcPr>
                <w:p w14:paraId="0E11DB40">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w:t>
                  </w:r>
                </w:p>
              </w:tc>
              <w:tc>
                <w:tcPr>
                  <w:tcW w:w="2452" w:type="dxa"/>
                  <w:tcBorders>
                    <w:tl2br w:val="nil"/>
                    <w:tr2bl w:val="nil"/>
                  </w:tcBorders>
                  <w:noWrap w:val="0"/>
                  <w:tcMar>
                    <w:top w:w="15" w:type="dxa"/>
                    <w:left w:w="15" w:type="dxa"/>
                    <w:right w:w="15" w:type="dxa"/>
                  </w:tcMar>
                  <w:vAlign w:val="center"/>
                </w:tcPr>
                <w:p w14:paraId="33D80C42">
                  <w:pPr>
                    <w:widowControl/>
                    <w:jc w:val="center"/>
                    <w:textAlignment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铣磨机</w:t>
                  </w:r>
                </w:p>
              </w:tc>
              <w:tc>
                <w:tcPr>
                  <w:tcW w:w="2054" w:type="dxa"/>
                  <w:tcBorders>
                    <w:tl2br w:val="nil"/>
                    <w:tr2bl w:val="nil"/>
                  </w:tcBorders>
                  <w:noWrap w:val="0"/>
                  <w:tcMar>
                    <w:top w:w="15" w:type="dxa"/>
                    <w:left w:w="15" w:type="dxa"/>
                    <w:right w:w="15" w:type="dxa"/>
                  </w:tcMar>
                  <w:vAlign w:val="center"/>
                </w:tcPr>
                <w:p w14:paraId="2F5FE338">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台</w:t>
                  </w:r>
                </w:p>
              </w:tc>
              <w:tc>
                <w:tcPr>
                  <w:tcW w:w="2204" w:type="dxa"/>
                  <w:tcBorders>
                    <w:tl2br w:val="nil"/>
                    <w:tr2bl w:val="nil"/>
                  </w:tcBorders>
                  <w:noWrap w:val="0"/>
                  <w:tcMar>
                    <w:top w:w="15" w:type="dxa"/>
                    <w:left w:w="15" w:type="dxa"/>
                    <w:right w:w="15" w:type="dxa"/>
                  </w:tcMar>
                  <w:vAlign w:val="center"/>
                </w:tcPr>
                <w:p w14:paraId="54FB8E5F">
                  <w:pPr>
                    <w:widowControl/>
                    <w:jc w:val="center"/>
                    <w:textAlignment w:val="center"/>
                    <w:rPr>
                      <w:color w:val="000000" w:themeColor="text1"/>
                      <w:szCs w:val="21"/>
                      <w:highlight w:val="none"/>
                      <w14:textFill>
                        <w14:solidFill>
                          <w14:schemeClr w14:val="tx1"/>
                        </w14:solidFill>
                      </w14:textFill>
                    </w:rPr>
                  </w:pPr>
                </w:p>
              </w:tc>
            </w:tr>
            <w:tr w14:paraId="409E3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52" w:type="dxa"/>
                  <w:tcBorders>
                    <w:tl2br w:val="nil"/>
                    <w:tr2bl w:val="nil"/>
                  </w:tcBorders>
                  <w:noWrap w:val="0"/>
                  <w:tcMar>
                    <w:top w:w="15" w:type="dxa"/>
                    <w:left w:w="15" w:type="dxa"/>
                    <w:right w:w="15" w:type="dxa"/>
                  </w:tcMar>
                  <w:vAlign w:val="center"/>
                </w:tcPr>
                <w:p w14:paraId="1EC8F38D">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w:t>
                  </w:r>
                </w:p>
              </w:tc>
              <w:tc>
                <w:tcPr>
                  <w:tcW w:w="2452" w:type="dxa"/>
                  <w:tcBorders>
                    <w:tl2br w:val="nil"/>
                    <w:tr2bl w:val="nil"/>
                  </w:tcBorders>
                  <w:noWrap w:val="0"/>
                  <w:tcMar>
                    <w:top w:w="15" w:type="dxa"/>
                    <w:left w:w="15" w:type="dxa"/>
                    <w:right w:w="15" w:type="dxa"/>
                  </w:tcMar>
                  <w:vAlign w:val="center"/>
                </w:tcPr>
                <w:p w14:paraId="59EE902D">
                  <w:pPr>
                    <w:widowControl/>
                    <w:jc w:val="center"/>
                    <w:textAlignment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超声波清洗机</w:t>
                  </w:r>
                </w:p>
              </w:tc>
              <w:tc>
                <w:tcPr>
                  <w:tcW w:w="2054" w:type="dxa"/>
                  <w:tcBorders>
                    <w:tl2br w:val="nil"/>
                    <w:tr2bl w:val="nil"/>
                  </w:tcBorders>
                  <w:noWrap w:val="0"/>
                  <w:tcMar>
                    <w:top w:w="15" w:type="dxa"/>
                    <w:left w:w="15" w:type="dxa"/>
                    <w:right w:w="15" w:type="dxa"/>
                  </w:tcMar>
                  <w:vAlign w:val="center"/>
                </w:tcPr>
                <w:p w14:paraId="0ACE4901">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台</w:t>
                  </w:r>
                </w:p>
              </w:tc>
              <w:tc>
                <w:tcPr>
                  <w:tcW w:w="2204" w:type="dxa"/>
                  <w:tcBorders>
                    <w:tl2br w:val="nil"/>
                    <w:tr2bl w:val="nil"/>
                  </w:tcBorders>
                  <w:noWrap w:val="0"/>
                  <w:tcMar>
                    <w:top w:w="15" w:type="dxa"/>
                    <w:left w:w="15" w:type="dxa"/>
                    <w:right w:w="15" w:type="dxa"/>
                  </w:tcMar>
                  <w:vAlign w:val="center"/>
                </w:tcPr>
                <w:p w14:paraId="1666528D">
                  <w:pPr>
                    <w:widowControl/>
                    <w:jc w:val="center"/>
                    <w:textAlignment w:val="center"/>
                    <w:rPr>
                      <w:color w:val="000000" w:themeColor="text1"/>
                      <w:szCs w:val="21"/>
                      <w:highlight w:val="none"/>
                      <w14:textFill>
                        <w14:solidFill>
                          <w14:schemeClr w14:val="tx1"/>
                        </w14:solidFill>
                      </w14:textFill>
                    </w:rPr>
                  </w:pPr>
                </w:p>
              </w:tc>
            </w:tr>
            <w:tr w14:paraId="78968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52" w:type="dxa"/>
                  <w:tcBorders>
                    <w:tl2br w:val="nil"/>
                    <w:tr2bl w:val="nil"/>
                  </w:tcBorders>
                  <w:noWrap w:val="0"/>
                  <w:tcMar>
                    <w:top w:w="15" w:type="dxa"/>
                    <w:left w:w="15" w:type="dxa"/>
                    <w:right w:w="15" w:type="dxa"/>
                  </w:tcMar>
                  <w:vAlign w:val="center"/>
                </w:tcPr>
                <w:p w14:paraId="3E0A125F">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w:t>
                  </w:r>
                </w:p>
              </w:tc>
              <w:tc>
                <w:tcPr>
                  <w:tcW w:w="2452" w:type="dxa"/>
                  <w:tcBorders>
                    <w:tl2br w:val="nil"/>
                    <w:tr2bl w:val="nil"/>
                  </w:tcBorders>
                  <w:noWrap w:val="0"/>
                  <w:tcMar>
                    <w:top w:w="15" w:type="dxa"/>
                    <w:left w:w="15" w:type="dxa"/>
                    <w:right w:w="15" w:type="dxa"/>
                  </w:tcMar>
                  <w:vAlign w:val="center"/>
                </w:tcPr>
                <w:p w14:paraId="47100B7F">
                  <w:pPr>
                    <w:widowControl/>
                    <w:jc w:val="center"/>
                    <w:textAlignment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激光平面干涉仪</w:t>
                  </w:r>
                </w:p>
              </w:tc>
              <w:tc>
                <w:tcPr>
                  <w:tcW w:w="2054" w:type="dxa"/>
                  <w:tcBorders>
                    <w:tl2br w:val="nil"/>
                    <w:tr2bl w:val="nil"/>
                  </w:tcBorders>
                  <w:noWrap w:val="0"/>
                  <w:tcMar>
                    <w:top w:w="15" w:type="dxa"/>
                    <w:left w:w="15" w:type="dxa"/>
                    <w:right w:w="15" w:type="dxa"/>
                  </w:tcMar>
                  <w:vAlign w:val="center"/>
                </w:tcPr>
                <w:p w14:paraId="512487F0">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台</w:t>
                  </w:r>
                </w:p>
              </w:tc>
              <w:tc>
                <w:tcPr>
                  <w:tcW w:w="2204" w:type="dxa"/>
                  <w:tcBorders>
                    <w:tl2br w:val="nil"/>
                    <w:tr2bl w:val="nil"/>
                  </w:tcBorders>
                  <w:noWrap w:val="0"/>
                  <w:tcMar>
                    <w:top w:w="15" w:type="dxa"/>
                    <w:left w:w="15" w:type="dxa"/>
                    <w:right w:w="15" w:type="dxa"/>
                  </w:tcMar>
                  <w:vAlign w:val="center"/>
                </w:tcPr>
                <w:p w14:paraId="71875FB4">
                  <w:pPr>
                    <w:widowControl/>
                    <w:jc w:val="center"/>
                    <w:textAlignment w:val="center"/>
                    <w:rPr>
                      <w:color w:val="000000" w:themeColor="text1"/>
                      <w:szCs w:val="21"/>
                      <w:highlight w:val="none"/>
                      <w14:textFill>
                        <w14:solidFill>
                          <w14:schemeClr w14:val="tx1"/>
                        </w14:solidFill>
                      </w14:textFill>
                    </w:rPr>
                  </w:pPr>
                </w:p>
              </w:tc>
            </w:tr>
            <w:tr w14:paraId="334BD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52" w:type="dxa"/>
                  <w:tcBorders>
                    <w:tl2br w:val="nil"/>
                    <w:tr2bl w:val="nil"/>
                  </w:tcBorders>
                  <w:noWrap w:val="0"/>
                  <w:tcMar>
                    <w:top w:w="15" w:type="dxa"/>
                    <w:left w:w="15" w:type="dxa"/>
                    <w:right w:w="15" w:type="dxa"/>
                  </w:tcMar>
                  <w:vAlign w:val="center"/>
                </w:tcPr>
                <w:p w14:paraId="23F48716">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6</w:t>
                  </w:r>
                </w:p>
              </w:tc>
              <w:tc>
                <w:tcPr>
                  <w:tcW w:w="2452" w:type="dxa"/>
                  <w:tcBorders>
                    <w:tl2br w:val="nil"/>
                    <w:tr2bl w:val="nil"/>
                  </w:tcBorders>
                  <w:noWrap w:val="0"/>
                  <w:tcMar>
                    <w:top w:w="15" w:type="dxa"/>
                    <w:left w:w="15" w:type="dxa"/>
                    <w:right w:w="15" w:type="dxa"/>
                  </w:tcMar>
                  <w:vAlign w:val="center"/>
                </w:tcPr>
                <w:p w14:paraId="51BB20FB">
                  <w:pPr>
                    <w:widowControl/>
                    <w:jc w:val="center"/>
                    <w:textAlignment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影像测量仪</w:t>
                  </w:r>
                </w:p>
              </w:tc>
              <w:tc>
                <w:tcPr>
                  <w:tcW w:w="2054" w:type="dxa"/>
                  <w:tcBorders>
                    <w:tl2br w:val="nil"/>
                    <w:tr2bl w:val="nil"/>
                  </w:tcBorders>
                  <w:noWrap w:val="0"/>
                  <w:tcMar>
                    <w:top w:w="15" w:type="dxa"/>
                    <w:left w:w="15" w:type="dxa"/>
                    <w:right w:w="15" w:type="dxa"/>
                  </w:tcMar>
                  <w:vAlign w:val="center"/>
                </w:tcPr>
                <w:p w14:paraId="316CC40D">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台</w:t>
                  </w:r>
                </w:p>
              </w:tc>
              <w:tc>
                <w:tcPr>
                  <w:tcW w:w="2204" w:type="dxa"/>
                  <w:tcBorders>
                    <w:tl2br w:val="nil"/>
                    <w:tr2bl w:val="nil"/>
                  </w:tcBorders>
                  <w:noWrap w:val="0"/>
                  <w:tcMar>
                    <w:top w:w="15" w:type="dxa"/>
                    <w:left w:w="15" w:type="dxa"/>
                    <w:right w:w="15" w:type="dxa"/>
                  </w:tcMar>
                  <w:vAlign w:val="center"/>
                </w:tcPr>
                <w:p w14:paraId="51F19B62">
                  <w:pPr>
                    <w:widowControl/>
                    <w:jc w:val="center"/>
                    <w:textAlignment w:val="center"/>
                    <w:rPr>
                      <w:color w:val="000000" w:themeColor="text1"/>
                      <w:szCs w:val="21"/>
                      <w:highlight w:val="none"/>
                      <w14:textFill>
                        <w14:solidFill>
                          <w14:schemeClr w14:val="tx1"/>
                        </w14:solidFill>
                      </w14:textFill>
                    </w:rPr>
                  </w:pPr>
                </w:p>
              </w:tc>
            </w:tr>
            <w:tr w14:paraId="63C96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52" w:type="dxa"/>
                  <w:tcBorders>
                    <w:tl2br w:val="nil"/>
                    <w:tr2bl w:val="nil"/>
                  </w:tcBorders>
                  <w:noWrap w:val="0"/>
                  <w:tcMar>
                    <w:top w:w="15" w:type="dxa"/>
                    <w:left w:w="15" w:type="dxa"/>
                    <w:right w:w="15" w:type="dxa"/>
                  </w:tcMar>
                  <w:vAlign w:val="center"/>
                </w:tcPr>
                <w:p w14:paraId="0254438D">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7</w:t>
                  </w:r>
                </w:p>
              </w:tc>
              <w:tc>
                <w:tcPr>
                  <w:tcW w:w="2452" w:type="dxa"/>
                  <w:tcBorders>
                    <w:tl2br w:val="nil"/>
                    <w:tr2bl w:val="nil"/>
                  </w:tcBorders>
                  <w:noWrap w:val="0"/>
                  <w:tcMar>
                    <w:top w:w="15" w:type="dxa"/>
                    <w:left w:w="15" w:type="dxa"/>
                    <w:right w:w="15" w:type="dxa"/>
                  </w:tcMar>
                  <w:vAlign w:val="center"/>
                </w:tcPr>
                <w:p w14:paraId="02D2E15B">
                  <w:pPr>
                    <w:widowControl/>
                    <w:jc w:val="center"/>
                    <w:textAlignment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环磨机</w:t>
                  </w:r>
                </w:p>
              </w:tc>
              <w:tc>
                <w:tcPr>
                  <w:tcW w:w="2054" w:type="dxa"/>
                  <w:tcBorders>
                    <w:tl2br w:val="nil"/>
                    <w:tr2bl w:val="nil"/>
                  </w:tcBorders>
                  <w:noWrap w:val="0"/>
                  <w:tcMar>
                    <w:top w:w="15" w:type="dxa"/>
                    <w:left w:w="15" w:type="dxa"/>
                    <w:right w:w="15" w:type="dxa"/>
                  </w:tcMar>
                  <w:vAlign w:val="center"/>
                </w:tcPr>
                <w:p w14:paraId="2007F357">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台</w:t>
                  </w:r>
                </w:p>
              </w:tc>
              <w:tc>
                <w:tcPr>
                  <w:tcW w:w="2204" w:type="dxa"/>
                  <w:tcBorders>
                    <w:tl2br w:val="nil"/>
                    <w:tr2bl w:val="nil"/>
                  </w:tcBorders>
                  <w:noWrap w:val="0"/>
                  <w:tcMar>
                    <w:top w:w="15" w:type="dxa"/>
                    <w:left w:w="15" w:type="dxa"/>
                    <w:right w:w="15" w:type="dxa"/>
                  </w:tcMar>
                  <w:vAlign w:val="center"/>
                </w:tcPr>
                <w:p w14:paraId="7C6B40F0">
                  <w:pPr>
                    <w:widowControl/>
                    <w:jc w:val="center"/>
                    <w:textAlignment w:val="center"/>
                    <w:rPr>
                      <w:color w:val="000000" w:themeColor="text1"/>
                      <w:szCs w:val="21"/>
                      <w:highlight w:val="none"/>
                      <w14:textFill>
                        <w14:solidFill>
                          <w14:schemeClr w14:val="tx1"/>
                        </w14:solidFill>
                      </w14:textFill>
                    </w:rPr>
                  </w:pPr>
                </w:p>
              </w:tc>
            </w:tr>
            <w:tr w14:paraId="179D9F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52" w:type="dxa"/>
                  <w:tcBorders>
                    <w:tl2br w:val="nil"/>
                    <w:tr2bl w:val="nil"/>
                  </w:tcBorders>
                  <w:noWrap w:val="0"/>
                  <w:tcMar>
                    <w:top w:w="15" w:type="dxa"/>
                    <w:left w:w="15" w:type="dxa"/>
                    <w:right w:w="15" w:type="dxa"/>
                  </w:tcMar>
                  <w:vAlign w:val="center"/>
                </w:tcPr>
                <w:p w14:paraId="064F3E06">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8</w:t>
                  </w:r>
                </w:p>
              </w:tc>
              <w:tc>
                <w:tcPr>
                  <w:tcW w:w="2452" w:type="dxa"/>
                  <w:tcBorders>
                    <w:tl2br w:val="nil"/>
                    <w:tr2bl w:val="nil"/>
                  </w:tcBorders>
                  <w:noWrap w:val="0"/>
                  <w:tcMar>
                    <w:top w:w="15" w:type="dxa"/>
                    <w:left w:w="15" w:type="dxa"/>
                    <w:right w:w="15" w:type="dxa"/>
                  </w:tcMar>
                  <w:vAlign w:val="center"/>
                </w:tcPr>
                <w:p w14:paraId="1C42B658">
                  <w:pPr>
                    <w:widowControl/>
                    <w:jc w:val="center"/>
                    <w:textAlignment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环抛机</w:t>
                  </w:r>
                </w:p>
              </w:tc>
              <w:tc>
                <w:tcPr>
                  <w:tcW w:w="2054" w:type="dxa"/>
                  <w:tcBorders>
                    <w:tl2br w:val="nil"/>
                    <w:tr2bl w:val="nil"/>
                  </w:tcBorders>
                  <w:noWrap w:val="0"/>
                  <w:tcMar>
                    <w:top w:w="15" w:type="dxa"/>
                    <w:left w:w="15" w:type="dxa"/>
                    <w:right w:w="15" w:type="dxa"/>
                  </w:tcMar>
                  <w:vAlign w:val="center"/>
                </w:tcPr>
                <w:p w14:paraId="588EB1F3">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台</w:t>
                  </w:r>
                </w:p>
              </w:tc>
              <w:tc>
                <w:tcPr>
                  <w:tcW w:w="2204" w:type="dxa"/>
                  <w:tcBorders>
                    <w:tl2br w:val="nil"/>
                    <w:tr2bl w:val="nil"/>
                  </w:tcBorders>
                  <w:noWrap w:val="0"/>
                  <w:tcMar>
                    <w:top w:w="15" w:type="dxa"/>
                    <w:left w:w="15" w:type="dxa"/>
                    <w:right w:w="15" w:type="dxa"/>
                  </w:tcMar>
                  <w:vAlign w:val="center"/>
                </w:tcPr>
                <w:p w14:paraId="31C8AA44">
                  <w:pPr>
                    <w:widowControl/>
                    <w:jc w:val="center"/>
                    <w:textAlignment w:val="center"/>
                    <w:rPr>
                      <w:color w:val="000000" w:themeColor="text1"/>
                      <w:szCs w:val="21"/>
                      <w:highlight w:val="none"/>
                      <w14:textFill>
                        <w14:solidFill>
                          <w14:schemeClr w14:val="tx1"/>
                        </w14:solidFill>
                      </w14:textFill>
                    </w:rPr>
                  </w:pPr>
                </w:p>
              </w:tc>
            </w:tr>
            <w:tr w14:paraId="3940B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52" w:type="dxa"/>
                  <w:tcBorders>
                    <w:tl2br w:val="nil"/>
                    <w:tr2bl w:val="nil"/>
                  </w:tcBorders>
                  <w:noWrap w:val="0"/>
                  <w:tcMar>
                    <w:top w:w="15" w:type="dxa"/>
                    <w:left w:w="15" w:type="dxa"/>
                    <w:right w:w="15" w:type="dxa"/>
                  </w:tcMar>
                  <w:vAlign w:val="center"/>
                </w:tcPr>
                <w:p w14:paraId="70398D4D">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9</w:t>
                  </w:r>
                </w:p>
              </w:tc>
              <w:tc>
                <w:tcPr>
                  <w:tcW w:w="2452" w:type="dxa"/>
                  <w:tcBorders>
                    <w:tl2br w:val="nil"/>
                    <w:tr2bl w:val="nil"/>
                  </w:tcBorders>
                  <w:noWrap w:val="0"/>
                  <w:tcMar>
                    <w:top w:w="15" w:type="dxa"/>
                    <w:left w:w="15" w:type="dxa"/>
                    <w:right w:w="15" w:type="dxa"/>
                  </w:tcMar>
                  <w:vAlign w:val="center"/>
                </w:tcPr>
                <w:p w14:paraId="73D90D87">
                  <w:pPr>
                    <w:widowControl/>
                    <w:jc w:val="center"/>
                    <w:textAlignment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马弗炉</w:t>
                  </w:r>
                </w:p>
              </w:tc>
              <w:tc>
                <w:tcPr>
                  <w:tcW w:w="2054" w:type="dxa"/>
                  <w:tcBorders>
                    <w:tl2br w:val="nil"/>
                    <w:tr2bl w:val="nil"/>
                  </w:tcBorders>
                  <w:noWrap w:val="0"/>
                  <w:tcMar>
                    <w:top w:w="15" w:type="dxa"/>
                    <w:left w:w="15" w:type="dxa"/>
                    <w:right w:w="15" w:type="dxa"/>
                  </w:tcMar>
                  <w:vAlign w:val="center"/>
                </w:tcPr>
                <w:p w14:paraId="5D814A11">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台</w:t>
                  </w:r>
                </w:p>
              </w:tc>
              <w:tc>
                <w:tcPr>
                  <w:tcW w:w="2204" w:type="dxa"/>
                  <w:tcBorders>
                    <w:tl2br w:val="nil"/>
                    <w:tr2bl w:val="nil"/>
                  </w:tcBorders>
                  <w:noWrap w:val="0"/>
                  <w:tcMar>
                    <w:top w:w="15" w:type="dxa"/>
                    <w:left w:w="15" w:type="dxa"/>
                    <w:right w:w="15" w:type="dxa"/>
                  </w:tcMar>
                  <w:vAlign w:val="center"/>
                </w:tcPr>
                <w:p w14:paraId="69D3B972">
                  <w:pPr>
                    <w:widowControl/>
                    <w:jc w:val="center"/>
                    <w:textAlignment w:val="center"/>
                    <w:rPr>
                      <w:color w:val="000000" w:themeColor="text1"/>
                      <w:szCs w:val="21"/>
                      <w:highlight w:val="none"/>
                      <w14:textFill>
                        <w14:solidFill>
                          <w14:schemeClr w14:val="tx1"/>
                        </w14:solidFill>
                      </w14:textFill>
                    </w:rPr>
                  </w:pPr>
                </w:p>
              </w:tc>
            </w:tr>
            <w:tr w14:paraId="748BE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52" w:type="dxa"/>
                  <w:tcBorders>
                    <w:tl2br w:val="nil"/>
                    <w:tr2bl w:val="nil"/>
                  </w:tcBorders>
                  <w:noWrap w:val="0"/>
                  <w:tcMar>
                    <w:top w:w="15" w:type="dxa"/>
                    <w:left w:w="15" w:type="dxa"/>
                    <w:right w:w="15" w:type="dxa"/>
                  </w:tcMar>
                  <w:vAlign w:val="center"/>
                </w:tcPr>
                <w:p w14:paraId="5F3ECE72">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w:t>
                  </w:r>
                </w:p>
              </w:tc>
              <w:tc>
                <w:tcPr>
                  <w:tcW w:w="2452" w:type="dxa"/>
                  <w:tcBorders>
                    <w:tl2br w:val="nil"/>
                    <w:tr2bl w:val="nil"/>
                  </w:tcBorders>
                  <w:noWrap w:val="0"/>
                  <w:tcMar>
                    <w:top w:w="15" w:type="dxa"/>
                    <w:left w:w="15" w:type="dxa"/>
                    <w:right w:w="15" w:type="dxa"/>
                  </w:tcMar>
                  <w:vAlign w:val="center"/>
                </w:tcPr>
                <w:p w14:paraId="3B295735">
                  <w:pPr>
                    <w:widowControl/>
                    <w:jc w:val="center"/>
                    <w:textAlignment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精雕机</w:t>
                  </w:r>
                </w:p>
              </w:tc>
              <w:tc>
                <w:tcPr>
                  <w:tcW w:w="2054" w:type="dxa"/>
                  <w:tcBorders>
                    <w:tl2br w:val="nil"/>
                    <w:tr2bl w:val="nil"/>
                  </w:tcBorders>
                  <w:noWrap w:val="0"/>
                  <w:tcMar>
                    <w:top w:w="15" w:type="dxa"/>
                    <w:left w:w="15" w:type="dxa"/>
                    <w:right w:w="15" w:type="dxa"/>
                  </w:tcMar>
                  <w:vAlign w:val="center"/>
                </w:tcPr>
                <w:p w14:paraId="15568AA1">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台</w:t>
                  </w:r>
                </w:p>
              </w:tc>
              <w:tc>
                <w:tcPr>
                  <w:tcW w:w="2204" w:type="dxa"/>
                  <w:tcBorders>
                    <w:tl2br w:val="nil"/>
                    <w:tr2bl w:val="nil"/>
                  </w:tcBorders>
                  <w:noWrap w:val="0"/>
                  <w:tcMar>
                    <w:top w:w="15" w:type="dxa"/>
                    <w:left w:w="15" w:type="dxa"/>
                    <w:right w:w="15" w:type="dxa"/>
                  </w:tcMar>
                  <w:vAlign w:val="center"/>
                </w:tcPr>
                <w:p w14:paraId="750CFE0A">
                  <w:pPr>
                    <w:widowControl/>
                    <w:jc w:val="center"/>
                    <w:textAlignment w:val="center"/>
                    <w:rPr>
                      <w:color w:val="000000" w:themeColor="text1"/>
                      <w:szCs w:val="21"/>
                      <w:highlight w:val="none"/>
                      <w14:textFill>
                        <w14:solidFill>
                          <w14:schemeClr w14:val="tx1"/>
                        </w14:solidFill>
                      </w14:textFill>
                    </w:rPr>
                  </w:pPr>
                </w:p>
              </w:tc>
            </w:tr>
            <w:tr w14:paraId="54390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52" w:type="dxa"/>
                  <w:tcBorders>
                    <w:tl2br w:val="nil"/>
                    <w:tr2bl w:val="nil"/>
                  </w:tcBorders>
                  <w:noWrap w:val="0"/>
                  <w:tcMar>
                    <w:top w:w="15" w:type="dxa"/>
                    <w:left w:w="15" w:type="dxa"/>
                    <w:right w:w="15" w:type="dxa"/>
                  </w:tcMar>
                  <w:vAlign w:val="center"/>
                </w:tcPr>
                <w:p w14:paraId="0E539EA5">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11</w:t>
                  </w:r>
                </w:p>
              </w:tc>
              <w:tc>
                <w:tcPr>
                  <w:tcW w:w="2452" w:type="dxa"/>
                  <w:tcBorders>
                    <w:tl2br w:val="nil"/>
                    <w:tr2bl w:val="nil"/>
                  </w:tcBorders>
                  <w:noWrap w:val="0"/>
                  <w:tcMar>
                    <w:top w:w="15" w:type="dxa"/>
                    <w:left w:w="15" w:type="dxa"/>
                    <w:right w:w="15" w:type="dxa"/>
                  </w:tcMar>
                  <w:vAlign w:val="center"/>
                </w:tcPr>
                <w:p w14:paraId="0627612D">
                  <w:pPr>
                    <w:widowControl/>
                    <w:jc w:val="center"/>
                    <w:textAlignment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精密双磨机</w:t>
                  </w:r>
                </w:p>
              </w:tc>
              <w:tc>
                <w:tcPr>
                  <w:tcW w:w="2054" w:type="dxa"/>
                  <w:tcBorders>
                    <w:tl2br w:val="nil"/>
                    <w:tr2bl w:val="nil"/>
                  </w:tcBorders>
                  <w:noWrap w:val="0"/>
                  <w:tcMar>
                    <w:top w:w="15" w:type="dxa"/>
                    <w:left w:w="15" w:type="dxa"/>
                    <w:right w:w="15" w:type="dxa"/>
                  </w:tcMar>
                  <w:vAlign w:val="center"/>
                </w:tcPr>
                <w:p w14:paraId="71DBFA98">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台</w:t>
                  </w:r>
                </w:p>
              </w:tc>
              <w:tc>
                <w:tcPr>
                  <w:tcW w:w="2204" w:type="dxa"/>
                  <w:tcBorders>
                    <w:tl2br w:val="nil"/>
                    <w:tr2bl w:val="nil"/>
                  </w:tcBorders>
                  <w:noWrap w:val="0"/>
                  <w:tcMar>
                    <w:top w:w="15" w:type="dxa"/>
                    <w:left w:w="15" w:type="dxa"/>
                    <w:right w:w="15" w:type="dxa"/>
                  </w:tcMar>
                  <w:vAlign w:val="center"/>
                </w:tcPr>
                <w:p w14:paraId="17530448">
                  <w:pPr>
                    <w:widowControl/>
                    <w:jc w:val="center"/>
                    <w:textAlignment w:val="center"/>
                    <w:rPr>
                      <w:color w:val="000000" w:themeColor="text1"/>
                      <w:szCs w:val="21"/>
                      <w:highlight w:val="none"/>
                      <w14:textFill>
                        <w14:solidFill>
                          <w14:schemeClr w14:val="tx1"/>
                        </w14:solidFill>
                      </w14:textFill>
                    </w:rPr>
                  </w:pPr>
                </w:p>
              </w:tc>
            </w:tr>
            <w:tr w14:paraId="03964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52" w:type="dxa"/>
                  <w:tcBorders>
                    <w:tl2br w:val="nil"/>
                    <w:tr2bl w:val="nil"/>
                  </w:tcBorders>
                  <w:noWrap w:val="0"/>
                  <w:tcMar>
                    <w:top w:w="15" w:type="dxa"/>
                    <w:left w:w="15" w:type="dxa"/>
                    <w:right w:w="15" w:type="dxa"/>
                  </w:tcMar>
                  <w:vAlign w:val="center"/>
                </w:tcPr>
                <w:p w14:paraId="5E78827B">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12</w:t>
                  </w:r>
                </w:p>
              </w:tc>
              <w:tc>
                <w:tcPr>
                  <w:tcW w:w="2452" w:type="dxa"/>
                  <w:tcBorders>
                    <w:tl2br w:val="nil"/>
                    <w:tr2bl w:val="nil"/>
                  </w:tcBorders>
                  <w:noWrap w:val="0"/>
                  <w:tcMar>
                    <w:top w:w="15" w:type="dxa"/>
                    <w:left w:w="15" w:type="dxa"/>
                    <w:right w:w="15" w:type="dxa"/>
                  </w:tcMar>
                  <w:vAlign w:val="center"/>
                </w:tcPr>
                <w:p w14:paraId="47DC5862">
                  <w:pPr>
                    <w:widowControl/>
                    <w:jc w:val="center"/>
                    <w:textAlignment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精密双抛机</w:t>
                  </w:r>
                </w:p>
              </w:tc>
              <w:tc>
                <w:tcPr>
                  <w:tcW w:w="2054" w:type="dxa"/>
                  <w:tcBorders>
                    <w:tl2br w:val="nil"/>
                    <w:tr2bl w:val="nil"/>
                  </w:tcBorders>
                  <w:noWrap w:val="0"/>
                  <w:tcMar>
                    <w:top w:w="15" w:type="dxa"/>
                    <w:left w:w="15" w:type="dxa"/>
                    <w:right w:w="15" w:type="dxa"/>
                  </w:tcMar>
                  <w:vAlign w:val="center"/>
                </w:tcPr>
                <w:p w14:paraId="69D9883A">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台</w:t>
                  </w:r>
                </w:p>
              </w:tc>
              <w:tc>
                <w:tcPr>
                  <w:tcW w:w="2204" w:type="dxa"/>
                  <w:tcBorders>
                    <w:tl2br w:val="nil"/>
                    <w:tr2bl w:val="nil"/>
                  </w:tcBorders>
                  <w:noWrap w:val="0"/>
                  <w:tcMar>
                    <w:top w:w="15" w:type="dxa"/>
                    <w:left w:w="15" w:type="dxa"/>
                    <w:right w:w="15" w:type="dxa"/>
                  </w:tcMar>
                  <w:vAlign w:val="center"/>
                </w:tcPr>
                <w:p w14:paraId="5CB89520">
                  <w:pPr>
                    <w:widowControl/>
                    <w:jc w:val="center"/>
                    <w:textAlignment w:val="center"/>
                    <w:rPr>
                      <w:color w:val="000000" w:themeColor="text1"/>
                      <w:szCs w:val="21"/>
                      <w:highlight w:val="none"/>
                      <w14:textFill>
                        <w14:solidFill>
                          <w14:schemeClr w14:val="tx1"/>
                        </w14:solidFill>
                      </w14:textFill>
                    </w:rPr>
                  </w:pPr>
                </w:p>
              </w:tc>
            </w:tr>
            <w:tr w14:paraId="609EE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52" w:type="dxa"/>
                  <w:tcBorders>
                    <w:tl2br w:val="nil"/>
                    <w:tr2bl w:val="nil"/>
                  </w:tcBorders>
                  <w:noWrap w:val="0"/>
                  <w:tcMar>
                    <w:top w:w="15" w:type="dxa"/>
                    <w:left w:w="15" w:type="dxa"/>
                    <w:right w:w="15" w:type="dxa"/>
                  </w:tcMar>
                  <w:vAlign w:val="center"/>
                </w:tcPr>
                <w:p w14:paraId="228B1DE0">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13</w:t>
                  </w:r>
                </w:p>
              </w:tc>
              <w:tc>
                <w:tcPr>
                  <w:tcW w:w="2452" w:type="dxa"/>
                  <w:tcBorders>
                    <w:tl2br w:val="nil"/>
                    <w:tr2bl w:val="nil"/>
                  </w:tcBorders>
                  <w:noWrap w:val="0"/>
                  <w:tcMar>
                    <w:top w:w="15" w:type="dxa"/>
                    <w:left w:w="15" w:type="dxa"/>
                    <w:right w:w="15" w:type="dxa"/>
                  </w:tcMar>
                  <w:vAlign w:val="center"/>
                </w:tcPr>
                <w:p w14:paraId="44494FE0">
                  <w:pPr>
                    <w:widowControl/>
                    <w:jc w:val="center"/>
                    <w:textAlignment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三坐标测量仪</w:t>
                  </w:r>
                </w:p>
              </w:tc>
              <w:tc>
                <w:tcPr>
                  <w:tcW w:w="2054" w:type="dxa"/>
                  <w:tcBorders>
                    <w:tl2br w:val="nil"/>
                    <w:tr2bl w:val="nil"/>
                  </w:tcBorders>
                  <w:noWrap w:val="0"/>
                  <w:tcMar>
                    <w:top w:w="15" w:type="dxa"/>
                    <w:left w:w="15" w:type="dxa"/>
                    <w:right w:w="15" w:type="dxa"/>
                  </w:tcMar>
                  <w:vAlign w:val="center"/>
                </w:tcPr>
                <w:p w14:paraId="432DF1BD">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台</w:t>
                  </w:r>
                </w:p>
              </w:tc>
              <w:tc>
                <w:tcPr>
                  <w:tcW w:w="2204" w:type="dxa"/>
                  <w:tcBorders>
                    <w:tl2br w:val="nil"/>
                    <w:tr2bl w:val="nil"/>
                  </w:tcBorders>
                  <w:noWrap w:val="0"/>
                  <w:tcMar>
                    <w:top w:w="15" w:type="dxa"/>
                    <w:left w:w="15" w:type="dxa"/>
                    <w:right w:w="15" w:type="dxa"/>
                  </w:tcMar>
                  <w:vAlign w:val="center"/>
                </w:tcPr>
                <w:p w14:paraId="54AE8EA8">
                  <w:pPr>
                    <w:widowControl/>
                    <w:jc w:val="center"/>
                    <w:textAlignment w:val="center"/>
                    <w:rPr>
                      <w:color w:val="000000" w:themeColor="text1"/>
                      <w:szCs w:val="21"/>
                      <w:highlight w:val="none"/>
                      <w14:textFill>
                        <w14:solidFill>
                          <w14:schemeClr w14:val="tx1"/>
                        </w14:solidFill>
                      </w14:textFill>
                    </w:rPr>
                  </w:pPr>
                </w:p>
              </w:tc>
            </w:tr>
            <w:tr w14:paraId="1708C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52" w:type="dxa"/>
                  <w:tcBorders>
                    <w:tl2br w:val="nil"/>
                    <w:tr2bl w:val="nil"/>
                  </w:tcBorders>
                  <w:noWrap w:val="0"/>
                  <w:tcMar>
                    <w:top w:w="15" w:type="dxa"/>
                    <w:left w:w="15" w:type="dxa"/>
                    <w:right w:w="15" w:type="dxa"/>
                  </w:tcMar>
                  <w:vAlign w:val="center"/>
                </w:tcPr>
                <w:p w14:paraId="43BAE417">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14</w:t>
                  </w:r>
                </w:p>
              </w:tc>
              <w:tc>
                <w:tcPr>
                  <w:tcW w:w="2452" w:type="dxa"/>
                  <w:tcBorders>
                    <w:tl2br w:val="nil"/>
                    <w:tr2bl w:val="nil"/>
                  </w:tcBorders>
                  <w:noWrap w:val="0"/>
                  <w:tcMar>
                    <w:top w:w="15" w:type="dxa"/>
                    <w:left w:w="15" w:type="dxa"/>
                    <w:right w:w="15" w:type="dxa"/>
                  </w:tcMar>
                  <w:vAlign w:val="center"/>
                </w:tcPr>
                <w:p w14:paraId="7B50E712">
                  <w:pPr>
                    <w:widowControl/>
                    <w:jc w:val="center"/>
                    <w:textAlignment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显微镜</w:t>
                  </w:r>
                </w:p>
              </w:tc>
              <w:tc>
                <w:tcPr>
                  <w:tcW w:w="2054" w:type="dxa"/>
                  <w:tcBorders>
                    <w:tl2br w:val="nil"/>
                    <w:tr2bl w:val="nil"/>
                  </w:tcBorders>
                  <w:noWrap w:val="0"/>
                  <w:tcMar>
                    <w:top w:w="15" w:type="dxa"/>
                    <w:left w:w="15" w:type="dxa"/>
                    <w:right w:w="15" w:type="dxa"/>
                  </w:tcMar>
                  <w:vAlign w:val="center"/>
                </w:tcPr>
                <w:p w14:paraId="319151F5">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台</w:t>
                  </w:r>
                </w:p>
              </w:tc>
              <w:tc>
                <w:tcPr>
                  <w:tcW w:w="2204" w:type="dxa"/>
                  <w:tcBorders>
                    <w:tl2br w:val="nil"/>
                    <w:tr2bl w:val="nil"/>
                  </w:tcBorders>
                  <w:noWrap w:val="0"/>
                  <w:tcMar>
                    <w:top w:w="15" w:type="dxa"/>
                    <w:left w:w="15" w:type="dxa"/>
                    <w:right w:w="15" w:type="dxa"/>
                  </w:tcMar>
                  <w:vAlign w:val="center"/>
                </w:tcPr>
                <w:p w14:paraId="685732CA">
                  <w:pPr>
                    <w:widowControl/>
                    <w:jc w:val="center"/>
                    <w:textAlignment w:val="center"/>
                    <w:rPr>
                      <w:color w:val="000000" w:themeColor="text1"/>
                      <w:szCs w:val="21"/>
                      <w:highlight w:val="none"/>
                      <w14:textFill>
                        <w14:solidFill>
                          <w14:schemeClr w14:val="tx1"/>
                        </w14:solidFill>
                      </w14:textFill>
                    </w:rPr>
                  </w:pPr>
                </w:p>
              </w:tc>
            </w:tr>
            <w:tr w14:paraId="67DC4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52" w:type="dxa"/>
                  <w:tcBorders>
                    <w:tl2br w:val="nil"/>
                    <w:tr2bl w:val="nil"/>
                  </w:tcBorders>
                  <w:noWrap w:val="0"/>
                  <w:tcMar>
                    <w:top w:w="15" w:type="dxa"/>
                    <w:left w:w="15" w:type="dxa"/>
                    <w:right w:w="15" w:type="dxa"/>
                  </w:tcMar>
                  <w:vAlign w:val="center"/>
                </w:tcPr>
                <w:p w14:paraId="5CDCBA22">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15</w:t>
                  </w:r>
                </w:p>
              </w:tc>
              <w:tc>
                <w:tcPr>
                  <w:tcW w:w="2452" w:type="dxa"/>
                  <w:tcBorders>
                    <w:tl2br w:val="nil"/>
                    <w:tr2bl w:val="nil"/>
                  </w:tcBorders>
                  <w:noWrap w:val="0"/>
                  <w:tcMar>
                    <w:top w:w="15" w:type="dxa"/>
                    <w:left w:w="15" w:type="dxa"/>
                    <w:right w:w="15" w:type="dxa"/>
                  </w:tcMar>
                  <w:vAlign w:val="center"/>
                </w:tcPr>
                <w:p w14:paraId="1720E465">
                  <w:pPr>
                    <w:widowControl/>
                    <w:jc w:val="center"/>
                    <w:textAlignment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镜面定位仪</w:t>
                  </w:r>
                </w:p>
              </w:tc>
              <w:tc>
                <w:tcPr>
                  <w:tcW w:w="2054" w:type="dxa"/>
                  <w:tcBorders>
                    <w:tl2br w:val="nil"/>
                    <w:tr2bl w:val="nil"/>
                  </w:tcBorders>
                  <w:noWrap w:val="0"/>
                  <w:tcMar>
                    <w:top w:w="15" w:type="dxa"/>
                    <w:left w:w="15" w:type="dxa"/>
                    <w:right w:w="15" w:type="dxa"/>
                  </w:tcMar>
                  <w:vAlign w:val="center"/>
                </w:tcPr>
                <w:p w14:paraId="6C94C3BC">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台</w:t>
                  </w:r>
                </w:p>
              </w:tc>
              <w:tc>
                <w:tcPr>
                  <w:tcW w:w="2204" w:type="dxa"/>
                  <w:tcBorders>
                    <w:tl2br w:val="nil"/>
                    <w:tr2bl w:val="nil"/>
                  </w:tcBorders>
                  <w:noWrap w:val="0"/>
                  <w:tcMar>
                    <w:top w:w="15" w:type="dxa"/>
                    <w:left w:w="15" w:type="dxa"/>
                    <w:right w:w="15" w:type="dxa"/>
                  </w:tcMar>
                  <w:vAlign w:val="center"/>
                </w:tcPr>
                <w:p w14:paraId="2DD1CEB2">
                  <w:pPr>
                    <w:widowControl/>
                    <w:jc w:val="center"/>
                    <w:textAlignment w:val="center"/>
                    <w:rPr>
                      <w:color w:val="000000" w:themeColor="text1"/>
                      <w:szCs w:val="21"/>
                      <w:highlight w:val="none"/>
                      <w14:textFill>
                        <w14:solidFill>
                          <w14:schemeClr w14:val="tx1"/>
                        </w14:solidFill>
                      </w14:textFill>
                    </w:rPr>
                  </w:pPr>
                </w:p>
              </w:tc>
            </w:tr>
            <w:tr w14:paraId="1B32E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52" w:type="dxa"/>
                  <w:tcBorders>
                    <w:tl2br w:val="nil"/>
                    <w:tr2bl w:val="nil"/>
                  </w:tcBorders>
                  <w:noWrap w:val="0"/>
                  <w:tcMar>
                    <w:top w:w="15" w:type="dxa"/>
                    <w:left w:w="15" w:type="dxa"/>
                    <w:right w:w="15" w:type="dxa"/>
                  </w:tcMar>
                  <w:vAlign w:val="center"/>
                </w:tcPr>
                <w:p w14:paraId="1D4B2768">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16</w:t>
                  </w:r>
                </w:p>
              </w:tc>
              <w:tc>
                <w:tcPr>
                  <w:tcW w:w="2452" w:type="dxa"/>
                  <w:tcBorders>
                    <w:tl2br w:val="nil"/>
                    <w:tr2bl w:val="nil"/>
                  </w:tcBorders>
                  <w:noWrap w:val="0"/>
                  <w:tcMar>
                    <w:top w:w="15" w:type="dxa"/>
                    <w:left w:w="15" w:type="dxa"/>
                    <w:right w:w="15" w:type="dxa"/>
                  </w:tcMar>
                  <w:vAlign w:val="center"/>
                </w:tcPr>
                <w:p w14:paraId="48468161">
                  <w:pPr>
                    <w:widowControl/>
                    <w:jc w:val="center"/>
                    <w:textAlignment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真空镀膜机</w:t>
                  </w:r>
                </w:p>
              </w:tc>
              <w:tc>
                <w:tcPr>
                  <w:tcW w:w="2054" w:type="dxa"/>
                  <w:tcBorders>
                    <w:tl2br w:val="nil"/>
                    <w:tr2bl w:val="nil"/>
                  </w:tcBorders>
                  <w:noWrap w:val="0"/>
                  <w:tcMar>
                    <w:top w:w="15" w:type="dxa"/>
                    <w:left w:w="15" w:type="dxa"/>
                    <w:right w:w="15" w:type="dxa"/>
                  </w:tcMar>
                  <w:vAlign w:val="center"/>
                </w:tcPr>
                <w:p w14:paraId="4CFE7BB7">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台</w:t>
                  </w:r>
                </w:p>
              </w:tc>
              <w:tc>
                <w:tcPr>
                  <w:tcW w:w="2204" w:type="dxa"/>
                  <w:tcBorders>
                    <w:tl2br w:val="nil"/>
                    <w:tr2bl w:val="nil"/>
                  </w:tcBorders>
                  <w:noWrap w:val="0"/>
                  <w:tcMar>
                    <w:top w:w="15" w:type="dxa"/>
                    <w:left w:w="15" w:type="dxa"/>
                    <w:right w:w="15" w:type="dxa"/>
                  </w:tcMar>
                  <w:vAlign w:val="center"/>
                </w:tcPr>
                <w:p w14:paraId="155F29DF">
                  <w:pPr>
                    <w:widowControl/>
                    <w:jc w:val="center"/>
                    <w:textAlignment w:val="center"/>
                    <w:rPr>
                      <w:color w:val="000000" w:themeColor="text1"/>
                      <w:szCs w:val="21"/>
                      <w:highlight w:val="none"/>
                      <w14:textFill>
                        <w14:solidFill>
                          <w14:schemeClr w14:val="tx1"/>
                        </w14:solidFill>
                      </w14:textFill>
                    </w:rPr>
                  </w:pPr>
                </w:p>
              </w:tc>
            </w:tr>
            <w:tr w14:paraId="4E594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52" w:type="dxa"/>
                  <w:tcBorders>
                    <w:tl2br w:val="nil"/>
                    <w:tr2bl w:val="nil"/>
                  </w:tcBorders>
                  <w:noWrap w:val="0"/>
                  <w:tcMar>
                    <w:top w:w="15" w:type="dxa"/>
                    <w:left w:w="15" w:type="dxa"/>
                    <w:right w:w="15" w:type="dxa"/>
                  </w:tcMar>
                  <w:vAlign w:val="center"/>
                </w:tcPr>
                <w:p w14:paraId="168195A9">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17</w:t>
                  </w:r>
                </w:p>
              </w:tc>
              <w:tc>
                <w:tcPr>
                  <w:tcW w:w="2452" w:type="dxa"/>
                  <w:tcBorders>
                    <w:tl2br w:val="nil"/>
                    <w:tr2bl w:val="nil"/>
                  </w:tcBorders>
                  <w:noWrap w:val="0"/>
                  <w:tcMar>
                    <w:top w:w="15" w:type="dxa"/>
                    <w:left w:w="15" w:type="dxa"/>
                    <w:right w:w="15" w:type="dxa"/>
                  </w:tcMar>
                  <w:vAlign w:val="center"/>
                </w:tcPr>
                <w:p w14:paraId="08D1A48A">
                  <w:pPr>
                    <w:widowControl/>
                    <w:jc w:val="center"/>
                    <w:textAlignment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键合机</w:t>
                  </w:r>
                </w:p>
              </w:tc>
              <w:tc>
                <w:tcPr>
                  <w:tcW w:w="2054" w:type="dxa"/>
                  <w:tcBorders>
                    <w:tl2br w:val="nil"/>
                    <w:tr2bl w:val="nil"/>
                  </w:tcBorders>
                  <w:noWrap w:val="0"/>
                  <w:tcMar>
                    <w:top w:w="15" w:type="dxa"/>
                    <w:left w:w="15" w:type="dxa"/>
                    <w:right w:w="15" w:type="dxa"/>
                  </w:tcMar>
                  <w:vAlign w:val="center"/>
                </w:tcPr>
                <w:p w14:paraId="3D60082C">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台</w:t>
                  </w:r>
                </w:p>
              </w:tc>
              <w:tc>
                <w:tcPr>
                  <w:tcW w:w="2204" w:type="dxa"/>
                  <w:tcBorders>
                    <w:tl2br w:val="nil"/>
                    <w:tr2bl w:val="nil"/>
                  </w:tcBorders>
                  <w:noWrap w:val="0"/>
                  <w:tcMar>
                    <w:top w:w="15" w:type="dxa"/>
                    <w:left w:w="15" w:type="dxa"/>
                    <w:right w:w="15" w:type="dxa"/>
                  </w:tcMar>
                  <w:vAlign w:val="center"/>
                </w:tcPr>
                <w:p w14:paraId="7FE59C8C">
                  <w:pPr>
                    <w:widowControl/>
                    <w:jc w:val="center"/>
                    <w:textAlignment w:val="center"/>
                    <w:rPr>
                      <w:color w:val="000000" w:themeColor="text1"/>
                      <w:szCs w:val="21"/>
                      <w:highlight w:val="none"/>
                      <w14:textFill>
                        <w14:solidFill>
                          <w14:schemeClr w14:val="tx1"/>
                        </w14:solidFill>
                      </w14:textFill>
                    </w:rPr>
                  </w:pPr>
                </w:p>
              </w:tc>
            </w:tr>
            <w:tr w14:paraId="76726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52" w:type="dxa"/>
                  <w:tcBorders>
                    <w:tl2br w:val="nil"/>
                    <w:tr2bl w:val="nil"/>
                  </w:tcBorders>
                  <w:noWrap w:val="0"/>
                  <w:tcMar>
                    <w:top w:w="15" w:type="dxa"/>
                    <w:left w:w="15" w:type="dxa"/>
                    <w:right w:w="15" w:type="dxa"/>
                  </w:tcMar>
                  <w:vAlign w:val="center"/>
                </w:tcPr>
                <w:p w14:paraId="5C99A26A">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18</w:t>
                  </w:r>
                </w:p>
              </w:tc>
              <w:tc>
                <w:tcPr>
                  <w:tcW w:w="2452" w:type="dxa"/>
                  <w:tcBorders>
                    <w:tl2br w:val="nil"/>
                    <w:tr2bl w:val="nil"/>
                  </w:tcBorders>
                  <w:noWrap w:val="0"/>
                  <w:tcMar>
                    <w:top w:w="15" w:type="dxa"/>
                    <w:left w:w="15" w:type="dxa"/>
                    <w:right w:w="15" w:type="dxa"/>
                  </w:tcMar>
                  <w:vAlign w:val="center"/>
                </w:tcPr>
                <w:p w14:paraId="64FE342E">
                  <w:pPr>
                    <w:widowControl/>
                    <w:jc w:val="center"/>
                    <w:textAlignment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离子束抛光</w:t>
                  </w:r>
                  <w:r>
                    <w:rPr>
                      <w:rFonts w:hint="eastAsia"/>
                      <w:color w:val="000000" w:themeColor="text1"/>
                      <w:szCs w:val="21"/>
                      <w:highlight w:val="none"/>
                      <w14:textFill>
                        <w14:solidFill>
                          <w14:schemeClr w14:val="tx1"/>
                        </w14:solidFill>
                      </w14:textFill>
                    </w:rPr>
                    <w:t>机</w:t>
                  </w:r>
                </w:p>
              </w:tc>
              <w:tc>
                <w:tcPr>
                  <w:tcW w:w="2054" w:type="dxa"/>
                  <w:tcBorders>
                    <w:tl2br w:val="nil"/>
                    <w:tr2bl w:val="nil"/>
                  </w:tcBorders>
                  <w:noWrap w:val="0"/>
                  <w:tcMar>
                    <w:top w:w="15" w:type="dxa"/>
                    <w:left w:w="15" w:type="dxa"/>
                    <w:right w:w="15" w:type="dxa"/>
                  </w:tcMar>
                  <w:vAlign w:val="center"/>
                </w:tcPr>
                <w:p w14:paraId="0CF225B9">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台</w:t>
                  </w:r>
                </w:p>
              </w:tc>
              <w:tc>
                <w:tcPr>
                  <w:tcW w:w="2204" w:type="dxa"/>
                  <w:tcBorders>
                    <w:tl2br w:val="nil"/>
                    <w:tr2bl w:val="nil"/>
                  </w:tcBorders>
                  <w:noWrap w:val="0"/>
                  <w:tcMar>
                    <w:top w:w="15" w:type="dxa"/>
                    <w:left w:w="15" w:type="dxa"/>
                    <w:right w:w="15" w:type="dxa"/>
                  </w:tcMar>
                  <w:vAlign w:val="center"/>
                </w:tcPr>
                <w:p w14:paraId="244F4A37">
                  <w:pPr>
                    <w:widowControl/>
                    <w:jc w:val="center"/>
                    <w:textAlignment w:val="center"/>
                    <w:rPr>
                      <w:color w:val="000000" w:themeColor="text1"/>
                      <w:szCs w:val="21"/>
                      <w:highlight w:val="none"/>
                      <w14:textFill>
                        <w14:solidFill>
                          <w14:schemeClr w14:val="tx1"/>
                        </w14:solidFill>
                      </w14:textFill>
                    </w:rPr>
                  </w:pPr>
                </w:p>
              </w:tc>
            </w:tr>
            <w:tr w14:paraId="03F36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52" w:type="dxa"/>
                  <w:tcBorders>
                    <w:tl2br w:val="nil"/>
                    <w:tr2bl w:val="nil"/>
                  </w:tcBorders>
                  <w:noWrap w:val="0"/>
                  <w:tcMar>
                    <w:top w:w="15" w:type="dxa"/>
                    <w:left w:w="15" w:type="dxa"/>
                    <w:right w:w="15" w:type="dxa"/>
                  </w:tcMar>
                  <w:vAlign w:val="center"/>
                </w:tcPr>
                <w:p w14:paraId="5BEC19C5">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19</w:t>
                  </w:r>
                </w:p>
              </w:tc>
              <w:tc>
                <w:tcPr>
                  <w:tcW w:w="2452" w:type="dxa"/>
                  <w:tcBorders>
                    <w:tl2br w:val="nil"/>
                    <w:tr2bl w:val="nil"/>
                  </w:tcBorders>
                  <w:noWrap w:val="0"/>
                  <w:tcMar>
                    <w:top w:w="15" w:type="dxa"/>
                    <w:left w:w="15" w:type="dxa"/>
                    <w:right w:w="15" w:type="dxa"/>
                  </w:tcMar>
                  <w:vAlign w:val="center"/>
                </w:tcPr>
                <w:p w14:paraId="01326CAA">
                  <w:pPr>
                    <w:widowControl/>
                    <w:jc w:val="center"/>
                    <w:textAlignment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喷</w:t>
                  </w:r>
                  <w:r>
                    <w:rPr>
                      <w:rFonts w:hint="eastAsia"/>
                      <w:color w:val="000000" w:themeColor="text1"/>
                      <w:szCs w:val="21"/>
                      <w:highlight w:val="none"/>
                      <w14:textFill>
                        <w14:solidFill>
                          <w14:schemeClr w14:val="tx1"/>
                        </w14:solidFill>
                      </w14:textFill>
                    </w:rPr>
                    <w:t>砂机</w:t>
                  </w:r>
                </w:p>
              </w:tc>
              <w:tc>
                <w:tcPr>
                  <w:tcW w:w="2054" w:type="dxa"/>
                  <w:tcBorders>
                    <w:tl2br w:val="nil"/>
                    <w:tr2bl w:val="nil"/>
                  </w:tcBorders>
                  <w:noWrap w:val="0"/>
                  <w:tcMar>
                    <w:top w:w="15" w:type="dxa"/>
                    <w:left w:w="15" w:type="dxa"/>
                    <w:right w:w="15" w:type="dxa"/>
                  </w:tcMar>
                  <w:vAlign w:val="center"/>
                </w:tcPr>
                <w:p w14:paraId="30EB1CBC">
                  <w:pPr>
                    <w:pStyle w:val="105"/>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台</w:t>
                  </w:r>
                </w:p>
              </w:tc>
              <w:tc>
                <w:tcPr>
                  <w:tcW w:w="2204" w:type="dxa"/>
                  <w:tcBorders>
                    <w:tl2br w:val="nil"/>
                    <w:tr2bl w:val="nil"/>
                  </w:tcBorders>
                  <w:noWrap w:val="0"/>
                  <w:tcMar>
                    <w:top w:w="15" w:type="dxa"/>
                    <w:left w:w="15" w:type="dxa"/>
                    <w:right w:w="15" w:type="dxa"/>
                  </w:tcMar>
                  <w:vAlign w:val="center"/>
                </w:tcPr>
                <w:p w14:paraId="3FE5AA7A">
                  <w:pPr>
                    <w:widowControl/>
                    <w:jc w:val="center"/>
                    <w:textAlignment w:val="center"/>
                    <w:rPr>
                      <w:color w:val="000000" w:themeColor="text1"/>
                      <w:szCs w:val="21"/>
                      <w:highlight w:val="none"/>
                      <w14:textFill>
                        <w14:solidFill>
                          <w14:schemeClr w14:val="tx1"/>
                        </w14:solidFill>
                      </w14:textFill>
                    </w:rPr>
                  </w:pPr>
                </w:p>
              </w:tc>
            </w:tr>
            <w:tr w14:paraId="1E2B6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52" w:type="dxa"/>
                  <w:tcBorders>
                    <w:tl2br w:val="nil"/>
                    <w:tr2bl w:val="nil"/>
                  </w:tcBorders>
                  <w:noWrap w:val="0"/>
                  <w:tcMar>
                    <w:top w:w="15" w:type="dxa"/>
                    <w:left w:w="15" w:type="dxa"/>
                    <w:right w:w="15" w:type="dxa"/>
                  </w:tcMar>
                  <w:vAlign w:val="center"/>
                </w:tcPr>
                <w:p w14:paraId="68B5CAB7">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20</w:t>
                  </w:r>
                </w:p>
              </w:tc>
              <w:tc>
                <w:tcPr>
                  <w:tcW w:w="2452" w:type="dxa"/>
                  <w:tcBorders>
                    <w:tl2br w:val="nil"/>
                    <w:tr2bl w:val="nil"/>
                  </w:tcBorders>
                  <w:noWrap w:val="0"/>
                  <w:tcMar>
                    <w:top w:w="15" w:type="dxa"/>
                    <w:left w:w="15" w:type="dxa"/>
                    <w:right w:w="15" w:type="dxa"/>
                  </w:tcMar>
                  <w:vAlign w:val="center"/>
                </w:tcPr>
                <w:p w14:paraId="74E64CAF">
                  <w:pPr>
                    <w:widowControl/>
                    <w:jc w:val="center"/>
                    <w:textAlignment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线切割机</w:t>
                  </w:r>
                </w:p>
              </w:tc>
              <w:tc>
                <w:tcPr>
                  <w:tcW w:w="2054" w:type="dxa"/>
                  <w:tcBorders>
                    <w:tl2br w:val="nil"/>
                    <w:tr2bl w:val="nil"/>
                  </w:tcBorders>
                  <w:noWrap w:val="0"/>
                  <w:tcMar>
                    <w:top w:w="15" w:type="dxa"/>
                    <w:left w:w="15" w:type="dxa"/>
                    <w:right w:w="15" w:type="dxa"/>
                  </w:tcMar>
                  <w:vAlign w:val="center"/>
                </w:tcPr>
                <w:p w14:paraId="51DE40DF">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台</w:t>
                  </w:r>
                </w:p>
              </w:tc>
              <w:tc>
                <w:tcPr>
                  <w:tcW w:w="2204" w:type="dxa"/>
                  <w:tcBorders>
                    <w:tl2br w:val="nil"/>
                    <w:tr2bl w:val="nil"/>
                  </w:tcBorders>
                  <w:noWrap w:val="0"/>
                  <w:tcMar>
                    <w:top w:w="15" w:type="dxa"/>
                    <w:left w:w="15" w:type="dxa"/>
                    <w:right w:w="15" w:type="dxa"/>
                  </w:tcMar>
                  <w:vAlign w:val="center"/>
                </w:tcPr>
                <w:p w14:paraId="472F4489">
                  <w:pPr>
                    <w:widowControl/>
                    <w:jc w:val="center"/>
                    <w:textAlignment w:val="center"/>
                    <w:rPr>
                      <w:color w:val="000000" w:themeColor="text1"/>
                      <w:szCs w:val="21"/>
                      <w:highlight w:val="none"/>
                      <w14:textFill>
                        <w14:solidFill>
                          <w14:schemeClr w14:val="tx1"/>
                        </w14:solidFill>
                      </w14:textFill>
                    </w:rPr>
                  </w:pPr>
                </w:p>
              </w:tc>
            </w:tr>
            <w:tr w14:paraId="49D65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52" w:type="dxa"/>
                  <w:tcBorders>
                    <w:tl2br w:val="nil"/>
                    <w:tr2bl w:val="nil"/>
                  </w:tcBorders>
                  <w:noWrap w:val="0"/>
                  <w:tcMar>
                    <w:top w:w="15" w:type="dxa"/>
                    <w:left w:w="15" w:type="dxa"/>
                    <w:right w:w="15" w:type="dxa"/>
                  </w:tcMar>
                  <w:vAlign w:val="center"/>
                </w:tcPr>
                <w:p w14:paraId="13F5C3FD">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21</w:t>
                  </w:r>
                </w:p>
              </w:tc>
              <w:tc>
                <w:tcPr>
                  <w:tcW w:w="2452" w:type="dxa"/>
                  <w:tcBorders>
                    <w:tl2br w:val="nil"/>
                    <w:tr2bl w:val="nil"/>
                  </w:tcBorders>
                  <w:noWrap w:val="0"/>
                  <w:tcMar>
                    <w:top w:w="15" w:type="dxa"/>
                    <w:left w:w="15" w:type="dxa"/>
                    <w:right w:w="15" w:type="dxa"/>
                  </w:tcMar>
                  <w:vAlign w:val="center"/>
                </w:tcPr>
                <w:p w14:paraId="02080CA4">
                  <w:pPr>
                    <w:widowControl/>
                    <w:jc w:val="center"/>
                    <w:textAlignment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全钢通风柜</w:t>
                  </w:r>
                </w:p>
              </w:tc>
              <w:tc>
                <w:tcPr>
                  <w:tcW w:w="2054" w:type="dxa"/>
                  <w:tcBorders>
                    <w:tl2br w:val="nil"/>
                    <w:tr2bl w:val="nil"/>
                  </w:tcBorders>
                  <w:noWrap w:val="0"/>
                  <w:tcMar>
                    <w:top w:w="15" w:type="dxa"/>
                    <w:left w:w="15" w:type="dxa"/>
                    <w:right w:w="15" w:type="dxa"/>
                  </w:tcMar>
                  <w:vAlign w:val="center"/>
                </w:tcPr>
                <w:p w14:paraId="283DBEA4">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台</w:t>
                  </w:r>
                </w:p>
              </w:tc>
              <w:tc>
                <w:tcPr>
                  <w:tcW w:w="2204" w:type="dxa"/>
                  <w:tcBorders>
                    <w:tl2br w:val="nil"/>
                    <w:tr2bl w:val="nil"/>
                  </w:tcBorders>
                  <w:noWrap w:val="0"/>
                  <w:tcMar>
                    <w:top w:w="15" w:type="dxa"/>
                    <w:left w:w="15" w:type="dxa"/>
                    <w:right w:w="15" w:type="dxa"/>
                  </w:tcMar>
                  <w:vAlign w:val="center"/>
                </w:tcPr>
                <w:p w14:paraId="6E76FA51">
                  <w:pPr>
                    <w:widowControl/>
                    <w:jc w:val="center"/>
                    <w:textAlignment w:val="center"/>
                    <w:rPr>
                      <w:color w:val="000000" w:themeColor="text1"/>
                      <w:szCs w:val="21"/>
                      <w:highlight w:val="none"/>
                      <w14:textFill>
                        <w14:solidFill>
                          <w14:schemeClr w14:val="tx1"/>
                        </w14:solidFill>
                      </w14:textFill>
                    </w:rPr>
                  </w:pPr>
                </w:p>
              </w:tc>
            </w:tr>
            <w:tr w14:paraId="15489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52" w:type="dxa"/>
                  <w:tcBorders>
                    <w:tl2br w:val="nil"/>
                    <w:tr2bl w:val="nil"/>
                  </w:tcBorders>
                  <w:noWrap w:val="0"/>
                  <w:tcMar>
                    <w:top w:w="15" w:type="dxa"/>
                    <w:left w:w="15" w:type="dxa"/>
                    <w:right w:w="15" w:type="dxa"/>
                  </w:tcMar>
                  <w:vAlign w:val="center"/>
                </w:tcPr>
                <w:p w14:paraId="236C95C6">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22</w:t>
                  </w:r>
                </w:p>
              </w:tc>
              <w:tc>
                <w:tcPr>
                  <w:tcW w:w="2452" w:type="dxa"/>
                  <w:tcBorders>
                    <w:tl2br w:val="nil"/>
                    <w:tr2bl w:val="nil"/>
                  </w:tcBorders>
                  <w:noWrap w:val="0"/>
                  <w:tcMar>
                    <w:top w:w="15" w:type="dxa"/>
                    <w:left w:w="15" w:type="dxa"/>
                    <w:right w:w="15" w:type="dxa"/>
                  </w:tcMar>
                  <w:vAlign w:val="center"/>
                </w:tcPr>
                <w:p w14:paraId="1125B5AC">
                  <w:pPr>
                    <w:widowControl/>
                    <w:jc w:val="center"/>
                    <w:textAlignment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净化台</w:t>
                  </w:r>
                </w:p>
              </w:tc>
              <w:tc>
                <w:tcPr>
                  <w:tcW w:w="2054" w:type="dxa"/>
                  <w:tcBorders>
                    <w:tl2br w:val="nil"/>
                    <w:tr2bl w:val="nil"/>
                  </w:tcBorders>
                  <w:noWrap w:val="0"/>
                  <w:tcMar>
                    <w:top w:w="15" w:type="dxa"/>
                    <w:left w:w="15" w:type="dxa"/>
                    <w:right w:w="15" w:type="dxa"/>
                  </w:tcMar>
                  <w:vAlign w:val="center"/>
                </w:tcPr>
                <w:p w14:paraId="16FA0B93">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台</w:t>
                  </w:r>
                </w:p>
              </w:tc>
              <w:tc>
                <w:tcPr>
                  <w:tcW w:w="2204" w:type="dxa"/>
                  <w:tcBorders>
                    <w:tl2br w:val="nil"/>
                    <w:tr2bl w:val="nil"/>
                  </w:tcBorders>
                  <w:noWrap w:val="0"/>
                  <w:tcMar>
                    <w:top w:w="15" w:type="dxa"/>
                    <w:left w:w="15" w:type="dxa"/>
                    <w:right w:w="15" w:type="dxa"/>
                  </w:tcMar>
                  <w:vAlign w:val="center"/>
                </w:tcPr>
                <w:p w14:paraId="4C4FF08F">
                  <w:pPr>
                    <w:widowControl/>
                    <w:jc w:val="center"/>
                    <w:textAlignment w:val="center"/>
                    <w:rPr>
                      <w:color w:val="000000" w:themeColor="text1"/>
                      <w:szCs w:val="21"/>
                      <w:highlight w:val="none"/>
                      <w14:textFill>
                        <w14:solidFill>
                          <w14:schemeClr w14:val="tx1"/>
                        </w14:solidFill>
                      </w14:textFill>
                    </w:rPr>
                  </w:pPr>
                </w:p>
              </w:tc>
            </w:tr>
            <w:tr w14:paraId="19433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52" w:type="dxa"/>
                  <w:tcBorders>
                    <w:tl2br w:val="nil"/>
                    <w:tr2bl w:val="nil"/>
                  </w:tcBorders>
                  <w:noWrap w:val="0"/>
                  <w:tcMar>
                    <w:top w:w="15" w:type="dxa"/>
                    <w:left w:w="15" w:type="dxa"/>
                    <w:right w:w="15" w:type="dxa"/>
                  </w:tcMar>
                  <w:vAlign w:val="center"/>
                </w:tcPr>
                <w:p w14:paraId="713FF3B6">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23</w:t>
                  </w:r>
                </w:p>
              </w:tc>
              <w:tc>
                <w:tcPr>
                  <w:tcW w:w="2452" w:type="dxa"/>
                  <w:tcBorders>
                    <w:tl2br w:val="nil"/>
                    <w:tr2bl w:val="nil"/>
                  </w:tcBorders>
                  <w:noWrap w:val="0"/>
                  <w:tcMar>
                    <w:top w:w="15" w:type="dxa"/>
                    <w:left w:w="15" w:type="dxa"/>
                    <w:right w:w="15" w:type="dxa"/>
                  </w:tcMar>
                  <w:vAlign w:val="center"/>
                </w:tcPr>
                <w:p w14:paraId="68A80421">
                  <w:pPr>
                    <w:widowControl/>
                    <w:jc w:val="center"/>
                    <w:textAlignment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等离子清洗机</w:t>
                  </w:r>
                </w:p>
              </w:tc>
              <w:tc>
                <w:tcPr>
                  <w:tcW w:w="2054" w:type="dxa"/>
                  <w:tcBorders>
                    <w:tl2br w:val="nil"/>
                    <w:tr2bl w:val="nil"/>
                  </w:tcBorders>
                  <w:noWrap w:val="0"/>
                  <w:tcMar>
                    <w:top w:w="15" w:type="dxa"/>
                    <w:left w:w="15" w:type="dxa"/>
                    <w:right w:w="15" w:type="dxa"/>
                  </w:tcMar>
                  <w:vAlign w:val="center"/>
                </w:tcPr>
                <w:p w14:paraId="0B87D9C6">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台</w:t>
                  </w:r>
                </w:p>
              </w:tc>
              <w:tc>
                <w:tcPr>
                  <w:tcW w:w="2204" w:type="dxa"/>
                  <w:tcBorders>
                    <w:tl2br w:val="nil"/>
                    <w:tr2bl w:val="nil"/>
                  </w:tcBorders>
                  <w:noWrap w:val="0"/>
                  <w:tcMar>
                    <w:top w:w="15" w:type="dxa"/>
                    <w:left w:w="15" w:type="dxa"/>
                    <w:right w:w="15" w:type="dxa"/>
                  </w:tcMar>
                  <w:vAlign w:val="center"/>
                </w:tcPr>
                <w:p w14:paraId="703A5796">
                  <w:pPr>
                    <w:widowControl/>
                    <w:jc w:val="center"/>
                    <w:textAlignment w:val="center"/>
                    <w:rPr>
                      <w:color w:val="000000" w:themeColor="text1"/>
                      <w:szCs w:val="21"/>
                      <w:highlight w:val="none"/>
                      <w14:textFill>
                        <w14:solidFill>
                          <w14:schemeClr w14:val="tx1"/>
                        </w14:solidFill>
                      </w14:textFill>
                    </w:rPr>
                  </w:pPr>
                </w:p>
              </w:tc>
            </w:tr>
            <w:tr w14:paraId="19DDE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52" w:type="dxa"/>
                  <w:tcBorders>
                    <w:tl2br w:val="nil"/>
                    <w:tr2bl w:val="nil"/>
                  </w:tcBorders>
                  <w:noWrap w:val="0"/>
                  <w:tcMar>
                    <w:top w:w="15" w:type="dxa"/>
                    <w:left w:w="15" w:type="dxa"/>
                    <w:right w:w="15" w:type="dxa"/>
                  </w:tcMar>
                  <w:vAlign w:val="center"/>
                </w:tcPr>
                <w:p w14:paraId="309255FD">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24</w:t>
                  </w:r>
                </w:p>
              </w:tc>
              <w:tc>
                <w:tcPr>
                  <w:tcW w:w="2452" w:type="dxa"/>
                  <w:tcBorders>
                    <w:tl2br w:val="nil"/>
                    <w:tr2bl w:val="nil"/>
                  </w:tcBorders>
                  <w:noWrap w:val="0"/>
                  <w:tcMar>
                    <w:top w:w="15" w:type="dxa"/>
                    <w:left w:w="15" w:type="dxa"/>
                    <w:right w:w="15" w:type="dxa"/>
                  </w:tcMar>
                  <w:vAlign w:val="center"/>
                </w:tcPr>
                <w:p w14:paraId="1137292D">
                  <w:pPr>
                    <w:widowControl/>
                    <w:jc w:val="center"/>
                    <w:textAlignment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喷胶机</w:t>
                  </w:r>
                </w:p>
              </w:tc>
              <w:tc>
                <w:tcPr>
                  <w:tcW w:w="2054" w:type="dxa"/>
                  <w:tcBorders>
                    <w:tl2br w:val="nil"/>
                    <w:tr2bl w:val="nil"/>
                  </w:tcBorders>
                  <w:noWrap w:val="0"/>
                  <w:tcMar>
                    <w:top w:w="15" w:type="dxa"/>
                    <w:left w:w="15" w:type="dxa"/>
                    <w:right w:w="15" w:type="dxa"/>
                  </w:tcMar>
                  <w:vAlign w:val="center"/>
                </w:tcPr>
                <w:p w14:paraId="28CF7FE7">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台</w:t>
                  </w:r>
                </w:p>
              </w:tc>
              <w:tc>
                <w:tcPr>
                  <w:tcW w:w="2204" w:type="dxa"/>
                  <w:tcBorders>
                    <w:tl2br w:val="nil"/>
                    <w:tr2bl w:val="nil"/>
                  </w:tcBorders>
                  <w:noWrap w:val="0"/>
                  <w:tcMar>
                    <w:top w:w="15" w:type="dxa"/>
                    <w:left w:w="15" w:type="dxa"/>
                    <w:right w:w="15" w:type="dxa"/>
                  </w:tcMar>
                  <w:vAlign w:val="center"/>
                </w:tcPr>
                <w:p w14:paraId="285671FD">
                  <w:pPr>
                    <w:widowControl/>
                    <w:jc w:val="center"/>
                    <w:textAlignment w:val="center"/>
                    <w:rPr>
                      <w:color w:val="000000" w:themeColor="text1"/>
                      <w:szCs w:val="21"/>
                      <w:highlight w:val="none"/>
                      <w14:textFill>
                        <w14:solidFill>
                          <w14:schemeClr w14:val="tx1"/>
                        </w14:solidFill>
                      </w14:textFill>
                    </w:rPr>
                  </w:pPr>
                </w:p>
              </w:tc>
            </w:tr>
            <w:tr w14:paraId="578AD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52" w:type="dxa"/>
                  <w:tcBorders>
                    <w:tl2br w:val="nil"/>
                    <w:tr2bl w:val="nil"/>
                  </w:tcBorders>
                  <w:noWrap w:val="0"/>
                  <w:tcMar>
                    <w:top w:w="15" w:type="dxa"/>
                    <w:left w:w="15" w:type="dxa"/>
                    <w:right w:w="15" w:type="dxa"/>
                  </w:tcMar>
                  <w:vAlign w:val="center"/>
                </w:tcPr>
                <w:p w14:paraId="446BB1B3">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25</w:t>
                  </w:r>
                </w:p>
              </w:tc>
              <w:tc>
                <w:tcPr>
                  <w:tcW w:w="2452" w:type="dxa"/>
                  <w:tcBorders>
                    <w:tl2br w:val="nil"/>
                    <w:tr2bl w:val="nil"/>
                  </w:tcBorders>
                  <w:noWrap w:val="0"/>
                  <w:tcMar>
                    <w:top w:w="15" w:type="dxa"/>
                    <w:left w:w="15" w:type="dxa"/>
                    <w:right w:w="15" w:type="dxa"/>
                  </w:tcMar>
                  <w:vAlign w:val="center"/>
                </w:tcPr>
                <w:p w14:paraId="23A7321A">
                  <w:pPr>
                    <w:widowControl/>
                    <w:jc w:val="center"/>
                    <w:textAlignment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涂胶机</w:t>
                  </w:r>
                </w:p>
              </w:tc>
              <w:tc>
                <w:tcPr>
                  <w:tcW w:w="2054" w:type="dxa"/>
                  <w:tcBorders>
                    <w:tl2br w:val="nil"/>
                    <w:tr2bl w:val="nil"/>
                  </w:tcBorders>
                  <w:noWrap w:val="0"/>
                  <w:tcMar>
                    <w:top w:w="15" w:type="dxa"/>
                    <w:left w:w="15" w:type="dxa"/>
                    <w:right w:w="15" w:type="dxa"/>
                  </w:tcMar>
                  <w:vAlign w:val="center"/>
                </w:tcPr>
                <w:p w14:paraId="3A6E0738">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台</w:t>
                  </w:r>
                </w:p>
              </w:tc>
              <w:tc>
                <w:tcPr>
                  <w:tcW w:w="2204" w:type="dxa"/>
                  <w:tcBorders>
                    <w:tl2br w:val="nil"/>
                    <w:tr2bl w:val="nil"/>
                  </w:tcBorders>
                  <w:noWrap w:val="0"/>
                  <w:tcMar>
                    <w:top w:w="15" w:type="dxa"/>
                    <w:left w:w="15" w:type="dxa"/>
                    <w:right w:w="15" w:type="dxa"/>
                  </w:tcMar>
                  <w:vAlign w:val="center"/>
                </w:tcPr>
                <w:p w14:paraId="7C199735">
                  <w:pPr>
                    <w:widowControl/>
                    <w:jc w:val="center"/>
                    <w:textAlignment w:val="center"/>
                    <w:rPr>
                      <w:color w:val="000000" w:themeColor="text1"/>
                      <w:szCs w:val="21"/>
                      <w:highlight w:val="none"/>
                      <w14:textFill>
                        <w14:solidFill>
                          <w14:schemeClr w14:val="tx1"/>
                        </w14:solidFill>
                      </w14:textFill>
                    </w:rPr>
                  </w:pPr>
                </w:p>
              </w:tc>
            </w:tr>
            <w:tr w14:paraId="67A903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52" w:type="dxa"/>
                  <w:tcBorders>
                    <w:tl2br w:val="nil"/>
                    <w:tr2bl w:val="nil"/>
                  </w:tcBorders>
                  <w:noWrap w:val="0"/>
                  <w:tcMar>
                    <w:top w:w="15" w:type="dxa"/>
                    <w:left w:w="15" w:type="dxa"/>
                    <w:right w:w="15" w:type="dxa"/>
                  </w:tcMar>
                  <w:vAlign w:val="center"/>
                </w:tcPr>
                <w:p w14:paraId="5129E20E">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26</w:t>
                  </w:r>
                </w:p>
              </w:tc>
              <w:tc>
                <w:tcPr>
                  <w:tcW w:w="2452" w:type="dxa"/>
                  <w:tcBorders>
                    <w:tl2br w:val="nil"/>
                    <w:tr2bl w:val="nil"/>
                  </w:tcBorders>
                  <w:noWrap w:val="0"/>
                  <w:tcMar>
                    <w:top w:w="15" w:type="dxa"/>
                    <w:left w:w="15" w:type="dxa"/>
                    <w:right w:w="15" w:type="dxa"/>
                  </w:tcMar>
                  <w:vAlign w:val="center"/>
                </w:tcPr>
                <w:p w14:paraId="73526E93">
                  <w:pPr>
                    <w:widowControl/>
                    <w:jc w:val="center"/>
                    <w:textAlignment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光刻机</w:t>
                  </w:r>
                </w:p>
              </w:tc>
              <w:tc>
                <w:tcPr>
                  <w:tcW w:w="2054" w:type="dxa"/>
                  <w:tcBorders>
                    <w:tl2br w:val="nil"/>
                    <w:tr2bl w:val="nil"/>
                  </w:tcBorders>
                  <w:noWrap w:val="0"/>
                  <w:tcMar>
                    <w:top w:w="15" w:type="dxa"/>
                    <w:left w:w="15" w:type="dxa"/>
                    <w:right w:w="15" w:type="dxa"/>
                  </w:tcMar>
                  <w:vAlign w:val="center"/>
                </w:tcPr>
                <w:p w14:paraId="683E8F0D">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台</w:t>
                  </w:r>
                </w:p>
              </w:tc>
              <w:tc>
                <w:tcPr>
                  <w:tcW w:w="2204" w:type="dxa"/>
                  <w:tcBorders>
                    <w:tl2br w:val="nil"/>
                    <w:tr2bl w:val="nil"/>
                  </w:tcBorders>
                  <w:noWrap w:val="0"/>
                  <w:tcMar>
                    <w:top w:w="15" w:type="dxa"/>
                    <w:left w:w="15" w:type="dxa"/>
                    <w:right w:w="15" w:type="dxa"/>
                  </w:tcMar>
                  <w:vAlign w:val="center"/>
                </w:tcPr>
                <w:p w14:paraId="31A67156">
                  <w:pPr>
                    <w:widowControl/>
                    <w:jc w:val="center"/>
                    <w:textAlignment w:val="center"/>
                    <w:rPr>
                      <w:color w:val="000000" w:themeColor="text1"/>
                      <w:szCs w:val="21"/>
                      <w:highlight w:val="none"/>
                      <w14:textFill>
                        <w14:solidFill>
                          <w14:schemeClr w14:val="tx1"/>
                        </w14:solidFill>
                      </w14:textFill>
                    </w:rPr>
                  </w:pPr>
                </w:p>
              </w:tc>
            </w:tr>
            <w:tr w14:paraId="3CC74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52" w:type="dxa"/>
                  <w:tcBorders>
                    <w:tl2br w:val="nil"/>
                    <w:tr2bl w:val="nil"/>
                  </w:tcBorders>
                  <w:noWrap w:val="0"/>
                  <w:tcMar>
                    <w:top w:w="15" w:type="dxa"/>
                    <w:left w:w="15" w:type="dxa"/>
                    <w:right w:w="15" w:type="dxa"/>
                  </w:tcMar>
                  <w:vAlign w:val="center"/>
                </w:tcPr>
                <w:p w14:paraId="7DB29907">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27</w:t>
                  </w:r>
                </w:p>
              </w:tc>
              <w:tc>
                <w:tcPr>
                  <w:tcW w:w="2452" w:type="dxa"/>
                  <w:tcBorders>
                    <w:tl2br w:val="nil"/>
                    <w:tr2bl w:val="nil"/>
                  </w:tcBorders>
                  <w:noWrap w:val="0"/>
                  <w:tcMar>
                    <w:top w:w="15" w:type="dxa"/>
                    <w:left w:w="15" w:type="dxa"/>
                    <w:right w:w="15" w:type="dxa"/>
                  </w:tcMar>
                  <w:vAlign w:val="center"/>
                </w:tcPr>
                <w:p w14:paraId="188293A4">
                  <w:pPr>
                    <w:widowControl/>
                    <w:jc w:val="center"/>
                    <w:textAlignment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显影机</w:t>
                  </w:r>
                </w:p>
              </w:tc>
              <w:tc>
                <w:tcPr>
                  <w:tcW w:w="2054" w:type="dxa"/>
                  <w:tcBorders>
                    <w:tl2br w:val="nil"/>
                    <w:tr2bl w:val="nil"/>
                  </w:tcBorders>
                  <w:noWrap w:val="0"/>
                  <w:tcMar>
                    <w:top w:w="15" w:type="dxa"/>
                    <w:left w:w="15" w:type="dxa"/>
                    <w:right w:w="15" w:type="dxa"/>
                  </w:tcMar>
                  <w:vAlign w:val="center"/>
                </w:tcPr>
                <w:p w14:paraId="0B7B679A">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台</w:t>
                  </w:r>
                </w:p>
              </w:tc>
              <w:tc>
                <w:tcPr>
                  <w:tcW w:w="2204" w:type="dxa"/>
                  <w:tcBorders>
                    <w:tl2br w:val="nil"/>
                    <w:tr2bl w:val="nil"/>
                  </w:tcBorders>
                  <w:noWrap w:val="0"/>
                  <w:tcMar>
                    <w:top w:w="15" w:type="dxa"/>
                    <w:left w:w="15" w:type="dxa"/>
                    <w:right w:w="15" w:type="dxa"/>
                  </w:tcMar>
                  <w:vAlign w:val="center"/>
                </w:tcPr>
                <w:p w14:paraId="7096161E">
                  <w:pPr>
                    <w:widowControl/>
                    <w:jc w:val="center"/>
                    <w:textAlignment w:val="center"/>
                    <w:rPr>
                      <w:color w:val="000000" w:themeColor="text1"/>
                      <w:szCs w:val="21"/>
                      <w:highlight w:val="none"/>
                      <w14:textFill>
                        <w14:solidFill>
                          <w14:schemeClr w14:val="tx1"/>
                        </w14:solidFill>
                      </w14:textFill>
                    </w:rPr>
                  </w:pPr>
                </w:p>
              </w:tc>
            </w:tr>
            <w:tr w14:paraId="6BA61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52" w:type="dxa"/>
                  <w:tcBorders>
                    <w:tl2br w:val="nil"/>
                    <w:tr2bl w:val="nil"/>
                  </w:tcBorders>
                  <w:noWrap w:val="0"/>
                  <w:tcMar>
                    <w:top w:w="15" w:type="dxa"/>
                    <w:left w:w="15" w:type="dxa"/>
                    <w:right w:w="15" w:type="dxa"/>
                  </w:tcMar>
                  <w:vAlign w:val="center"/>
                </w:tcPr>
                <w:p w14:paraId="644E37F2">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28</w:t>
                  </w:r>
                </w:p>
              </w:tc>
              <w:tc>
                <w:tcPr>
                  <w:tcW w:w="2452" w:type="dxa"/>
                  <w:tcBorders>
                    <w:tl2br w:val="nil"/>
                    <w:tr2bl w:val="nil"/>
                  </w:tcBorders>
                  <w:noWrap w:val="0"/>
                  <w:tcMar>
                    <w:top w:w="15" w:type="dxa"/>
                    <w:left w:w="15" w:type="dxa"/>
                    <w:right w:w="15" w:type="dxa"/>
                  </w:tcMar>
                  <w:vAlign w:val="center"/>
                </w:tcPr>
                <w:p w14:paraId="7DF79015">
                  <w:pPr>
                    <w:widowControl/>
                    <w:jc w:val="center"/>
                    <w:textAlignment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湿法腐蚀机</w:t>
                  </w:r>
                </w:p>
              </w:tc>
              <w:tc>
                <w:tcPr>
                  <w:tcW w:w="2054" w:type="dxa"/>
                  <w:tcBorders>
                    <w:tl2br w:val="nil"/>
                    <w:tr2bl w:val="nil"/>
                  </w:tcBorders>
                  <w:noWrap w:val="0"/>
                  <w:tcMar>
                    <w:top w:w="15" w:type="dxa"/>
                    <w:left w:w="15" w:type="dxa"/>
                    <w:right w:w="15" w:type="dxa"/>
                  </w:tcMar>
                  <w:vAlign w:val="center"/>
                </w:tcPr>
                <w:p w14:paraId="0CE78395">
                  <w:pPr>
                    <w:pStyle w:val="10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台</w:t>
                  </w:r>
                </w:p>
              </w:tc>
              <w:tc>
                <w:tcPr>
                  <w:tcW w:w="2204" w:type="dxa"/>
                  <w:tcBorders>
                    <w:tl2br w:val="nil"/>
                    <w:tr2bl w:val="nil"/>
                  </w:tcBorders>
                  <w:noWrap w:val="0"/>
                  <w:tcMar>
                    <w:top w:w="15" w:type="dxa"/>
                    <w:left w:w="15" w:type="dxa"/>
                    <w:right w:w="15" w:type="dxa"/>
                  </w:tcMar>
                  <w:vAlign w:val="center"/>
                </w:tcPr>
                <w:p w14:paraId="2E5835CB">
                  <w:pPr>
                    <w:widowControl/>
                    <w:jc w:val="center"/>
                    <w:textAlignment w:val="center"/>
                    <w:rPr>
                      <w:color w:val="000000" w:themeColor="text1"/>
                      <w:szCs w:val="21"/>
                      <w:highlight w:val="none"/>
                      <w14:textFill>
                        <w14:solidFill>
                          <w14:schemeClr w14:val="tx1"/>
                        </w14:solidFill>
                      </w14:textFill>
                    </w:rPr>
                  </w:pPr>
                </w:p>
              </w:tc>
            </w:tr>
          </w:tbl>
          <w:p w14:paraId="749AC887">
            <w:pPr>
              <w:spacing w:line="360" w:lineRule="auto"/>
              <w:ind w:firstLine="480" w:firstLineChars="200"/>
              <w:rPr>
                <w:rFonts w:hint="default"/>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本项目建成后全厂主要生产设备详见下表。</w:t>
            </w:r>
          </w:p>
          <w:p w14:paraId="7671468E">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eastAsia"/>
                <w:color w:val="000000" w:themeColor="text1"/>
                <w:sz w:val="24"/>
                <w:szCs w:val="32"/>
                <w:highlight w:val="none"/>
                <w:lang w:val="en-US" w:eastAsia="zh-CN"/>
                <w14:textFill>
                  <w14:solidFill>
                    <w14:schemeClr w14:val="tx1"/>
                  </w14:solidFill>
                </w14:textFill>
              </w:rPr>
            </w:pPr>
            <w:r>
              <w:rPr>
                <w:rFonts w:hint="eastAsia"/>
                <w:b/>
                <w:color w:val="000000" w:themeColor="text1"/>
                <w:sz w:val="24"/>
                <w:szCs w:val="24"/>
                <w:highlight w:val="none"/>
                <w14:textFill>
                  <w14:solidFill>
                    <w14:schemeClr w14:val="tx1"/>
                  </w14:solidFill>
                </w14:textFill>
              </w:rPr>
              <w:t>表</w:t>
            </w:r>
            <w:r>
              <w:rPr>
                <w:rFonts w:hint="eastAsia"/>
                <w:b/>
                <w:color w:val="000000" w:themeColor="text1"/>
                <w:sz w:val="24"/>
                <w:szCs w:val="24"/>
                <w:highlight w:val="none"/>
                <w:lang w:val="en-US" w:eastAsia="zh-CN"/>
                <w14:textFill>
                  <w14:solidFill>
                    <w14:schemeClr w14:val="tx1"/>
                  </w14:solidFill>
                </w14:textFill>
              </w:rPr>
              <w:t>2.5-2</w:t>
            </w:r>
            <w:r>
              <w:rPr>
                <w:b/>
                <w:color w:val="000000" w:themeColor="text1"/>
                <w:sz w:val="24"/>
                <w:szCs w:val="24"/>
                <w:highlight w:val="none"/>
                <w14:textFill>
                  <w14:solidFill>
                    <w14:schemeClr w14:val="tx1"/>
                  </w14:solidFill>
                </w14:textFill>
              </w:rPr>
              <w:t xml:space="preserve"> </w:t>
            </w:r>
            <w:r>
              <w:rPr>
                <w:rFonts w:hint="eastAsia"/>
                <w:b/>
                <w:color w:val="000000" w:themeColor="text1"/>
                <w:sz w:val="24"/>
                <w:szCs w:val="24"/>
                <w:highlight w:val="none"/>
                <w:lang w:val="en-US" w:eastAsia="zh-CN"/>
                <w14:textFill>
                  <w14:solidFill>
                    <w14:schemeClr w14:val="tx1"/>
                  </w14:solidFill>
                </w14:textFill>
              </w:rPr>
              <w:t>本</w:t>
            </w:r>
            <w:r>
              <w:rPr>
                <w:rFonts w:hint="eastAsia"/>
                <w:b/>
                <w:color w:val="000000" w:themeColor="text1"/>
                <w:sz w:val="24"/>
                <w:szCs w:val="24"/>
                <w:highlight w:val="none"/>
                <w14:textFill>
                  <w14:solidFill>
                    <w14:schemeClr w14:val="tx1"/>
                  </w14:solidFill>
                </w14:textFill>
              </w:rPr>
              <w:t>项目</w:t>
            </w:r>
            <w:r>
              <w:rPr>
                <w:rFonts w:hint="eastAsia"/>
                <w:b/>
                <w:color w:val="000000" w:themeColor="text1"/>
                <w:sz w:val="24"/>
                <w:szCs w:val="24"/>
                <w:highlight w:val="none"/>
                <w:lang w:val="en-US" w:eastAsia="zh-CN"/>
                <w14:textFill>
                  <w14:solidFill>
                    <w14:schemeClr w14:val="tx1"/>
                  </w14:solidFill>
                </w14:textFill>
              </w:rPr>
              <w:t>建成后全厂</w:t>
            </w:r>
            <w:r>
              <w:rPr>
                <w:rFonts w:hint="eastAsia"/>
                <w:b/>
                <w:color w:val="000000" w:themeColor="text1"/>
                <w:sz w:val="24"/>
                <w:szCs w:val="24"/>
                <w:highlight w:val="none"/>
                <w14:textFill>
                  <w14:solidFill>
                    <w14:schemeClr w14:val="tx1"/>
                  </w14:solidFill>
                </w14:textFill>
              </w:rPr>
              <w:t>主要</w:t>
            </w:r>
            <w:r>
              <w:rPr>
                <w:rFonts w:hint="eastAsia"/>
                <w:b/>
                <w:color w:val="000000" w:themeColor="text1"/>
                <w:sz w:val="24"/>
                <w:szCs w:val="24"/>
                <w:highlight w:val="none"/>
                <w:lang w:val="en-US" w:eastAsia="zh-CN"/>
                <w14:textFill>
                  <w14:solidFill>
                    <w14:schemeClr w14:val="tx1"/>
                  </w14:solidFill>
                </w14:textFill>
              </w:rPr>
              <w:t>生产设备</w:t>
            </w:r>
            <w:r>
              <w:rPr>
                <w:rFonts w:hint="eastAsia"/>
                <w:b/>
                <w:color w:val="000000" w:themeColor="text1"/>
                <w:sz w:val="24"/>
                <w:szCs w:val="24"/>
                <w:highlight w:val="none"/>
                <w14:textFill>
                  <w14:solidFill>
                    <w14:schemeClr w14:val="tx1"/>
                  </w14:solidFill>
                </w14:textFill>
              </w:rPr>
              <w:t>一览</w:t>
            </w:r>
            <w:r>
              <w:rPr>
                <w:rFonts w:hint="eastAsia"/>
                <w:b/>
                <w:color w:val="000000" w:themeColor="text1"/>
                <w:sz w:val="24"/>
                <w:szCs w:val="24"/>
                <w:highlight w:val="none"/>
                <w:lang w:val="en-US" w:eastAsia="zh-CN"/>
                <w14:textFill>
                  <w14:solidFill>
                    <w14:schemeClr w14:val="tx1"/>
                  </w14:solidFill>
                </w14:textFill>
              </w:rPr>
              <w:t>表</w:t>
            </w:r>
          </w:p>
          <w:tbl>
            <w:tblPr>
              <w:tblStyle w:val="30"/>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6"/>
              <w:gridCol w:w="1989"/>
              <w:gridCol w:w="824"/>
              <w:gridCol w:w="1179"/>
              <w:gridCol w:w="1037"/>
              <w:gridCol w:w="1283"/>
              <w:gridCol w:w="1076"/>
            </w:tblGrid>
            <w:tr w14:paraId="734CB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5FB461">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序号</w:t>
                  </w:r>
                </w:p>
              </w:tc>
              <w:tc>
                <w:tcPr>
                  <w:tcW w:w="19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B5A606">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设备名称</w:t>
                  </w:r>
                </w:p>
              </w:tc>
              <w:tc>
                <w:tcPr>
                  <w:tcW w:w="8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9DA042">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单位</w:t>
                  </w:r>
                </w:p>
              </w:tc>
              <w:tc>
                <w:tcPr>
                  <w:tcW w:w="3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0968B6">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数量</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5A2E07">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变化情况</w:t>
                  </w:r>
                </w:p>
              </w:tc>
            </w:tr>
            <w:tr w14:paraId="19C15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CDE7A">
                  <w:pPr>
                    <w:jc w:val="center"/>
                    <w:rPr>
                      <w:rFonts w:hint="eastAsia" w:ascii="宋体" w:hAnsi="宋体" w:eastAsia="宋体" w:cs="宋体"/>
                      <w:i w:val="0"/>
                      <w:iCs w:val="0"/>
                      <w:color w:val="000000" w:themeColor="text1"/>
                      <w:sz w:val="2"/>
                      <w:szCs w:val="2"/>
                      <w:highlight w:val="none"/>
                      <w:u w:val="none"/>
                      <w14:textFill>
                        <w14:solidFill>
                          <w14:schemeClr w14:val="tx1"/>
                        </w14:solidFill>
                      </w14:textFill>
                    </w:rPr>
                  </w:pPr>
                </w:p>
              </w:tc>
              <w:tc>
                <w:tcPr>
                  <w:tcW w:w="19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00929">
                  <w:pPr>
                    <w:jc w:val="center"/>
                    <w:rPr>
                      <w:rFonts w:hint="eastAsia" w:ascii="宋体" w:hAnsi="宋体" w:eastAsia="宋体" w:cs="宋体"/>
                      <w:i w:val="0"/>
                      <w:iCs w:val="0"/>
                      <w:color w:val="000000" w:themeColor="text1"/>
                      <w:sz w:val="2"/>
                      <w:szCs w:val="2"/>
                      <w:highlight w:val="none"/>
                      <w:u w:val="none"/>
                      <w14:textFill>
                        <w14:solidFill>
                          <w14:schemeClr w14:val="tx1"/>
                        </w14:solidFill>
                      </w14:textFill>
                    </w:rPr>
                  </w:pP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EDFE1">
                  <w:pPr>
                    <w:jc w:val="center"/>
                    <w:rPr>
                      <w:rFonts w:hint="eastAsia" w:ascii="宋体" w:hAnsi="宋体" w:eastAsia="宋体" w:cs="宋体"/>
                      <w:i w:val="0"/>
                      <w:iCs w:val="0"/>
                      <w:color w:val="000000" w:themeColor="text1"/>
                      <w:sz w:val="2"/>
                      <w:szCs w:val="2"/>
                      <w:highlight w:val="none"/>
                      <w:u w:val="none"/>
                      <w14:textFill>
                        <w14:solidFill>
                          <w14:schemeClr w14:val="tx1"/>
                        </w14:solidFill>
                      </w14:textFill>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0CF0D">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现有工程</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A51FE">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本项目</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733FB">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扩建后全厂</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A95D0">
                  <w:pPr>
                    <w:jc w:val="center"/>
                    <w:rPr>
                      <w:rFonts w:hint="eastAsia" w:ascii="宋体" w:hAnsi="宋体" w:eastAsia="宋体" w:cs="宋体"/>
                      <w:i w:val="0"/>
                      <w:iCs w:val="0"/>
                      <w:color w:val="000000" w:themeColor="text1"/>
                      <w:sz w:val="2"/>
                      <w:szCs w:val="2"/>
                      <w:highlight w:val="none"/>
                      <w:u w:val="none"/>
                      <w14:textFill>
                        <w14:solidFill>
                          <w14:schemeClr w14:val="tx1"/>
                        </w14:solidFill>
                      </w14:textFill>
                    </w:rPr>
                  </w:pPr>
                </w:p>
              </w:tc>
            </w:tr>
            <w:tr w14:paraId="06082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CC540">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23FC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轴</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CNC</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成形机</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C8568">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002BE">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06AC6">
                  <w:pPr>
                    <w:jc w:val="cente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3665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C6CDE">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69938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B31D4">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0AF93">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抛光机</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1AA0B">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C38F1">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8900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3A06A">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39A4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00938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21E98">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E7F08">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研磨机</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99F6C">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33E72">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5038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A384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93E9A">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28817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7C3F8">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6CA9B">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铣磨机</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F57EC">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FEBA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C00F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F8272">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E6212">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2EB0C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6EFE0">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D6B44">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超精密单点金刚石车床</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3A17D">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7D89C">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AA4B9">
                  <w:pPr>
                    <w:jc w:val="cente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D7763">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5758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5AEAF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4D6B4">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85162">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超声波清洗机</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76D67">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14CDA">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EB6D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B6C44">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AD75A">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2D15B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10D59">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7</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2D870">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无心磨床</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6B0B5">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B807C">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31EE4">
                  <w:pPr>
                    <w:jc w:val="cente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8F5E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2EFB3">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5A3A9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77F1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B00AD">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液相外延炉</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DD3BD">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816C2">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2439A">
                  <w:pPr>
                    <w:jc w:val="cente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C51E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C11D7">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38C29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A0AA2">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3F911">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激光平面干涉仪</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FD84F">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57385">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D653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A4154">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64215">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36FF5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97DF4">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10</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7F6FC">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椭偏仪</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DA301">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7EE55">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696F8">
                  <w:pPr>
                    <w:jc w:val="cente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0EA64">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7768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3CB5C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03008">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11</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5F06B">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精密测角仪</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0823E">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547EA">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120C4">
                  <w:pPr>
                    <w:jc w:val="cente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9906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AF2D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779B9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FE45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12</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5B268">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中心仪</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8E54D">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916E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5C09E">
                  <w:pPr>
                    <w:jc w:val="cente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CC0FE">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43EF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1AC04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C10F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13</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DBEF3">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影像测量仪</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73F20">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3DF6A">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1DC5A">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F6AB0">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B8DA1">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54C20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F3DE2">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14</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8EFAB">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高速混料机</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B456B">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FFC7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29012">
                  <w:pPr>
                    <w:jc w:val="cente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F8DDC">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BDB9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33DF1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58EF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21CF1">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划片机</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595C3">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14BB5">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34B07">
                  <w:pPr>
                    <w:jc w:val="cente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89071">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630D7">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1C4C9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4E1AE">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16</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123B8">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环磨机</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05852">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8F1D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E458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C9793">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AE354">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53606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7757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17</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E9E29">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环抛机</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E9B16">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67F2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67A2A">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35CE3">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EEFEA">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573A1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6B9F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18</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BDC58">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磨边机</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A746E">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FB0A2">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69E8A">
                  <w:pPr>
                    <w:jc w:val="cente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F5D0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8F23E">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66201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40093">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19</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A6C86">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精雕机</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FA7AC">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CBAD4">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8E35E">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7D7E1">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D9D08">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5D09C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0ADB3">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EE667">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精密双磨机</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EAE99">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30D72">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87F7E">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5DC24">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7F4F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648F3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C5B2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8235B">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精密双抛机</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D21CA">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B8A1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0C1A3">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E3D4E">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63B50">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14122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69F1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22</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DC4BB">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冷等静压机</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5C0F1">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1EABA">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F1AE9">
                  <w:pPr>
                    <w:jc w:val="cente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34261">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BD69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61AA8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5675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23</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21275">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立式超精密数控光学定心车床</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06F6B">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373A3">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F4153">
                  <w:pPr>
                    <w:jc w:val="cente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A91A2">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17830">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06BC2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E4362">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24</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331DA">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马弗炉</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9BE69">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8FF7C">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7AF8E">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44430">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14C4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69C85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D11FE">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25</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6995B">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焦距仪</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D5FDA">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38165">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B4AF2">
                  <w:pPr>
                    <w:jc w:val="cente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F9018">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C5289">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20235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F05B8">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26</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B3D57">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超级球径仪</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979BE">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F517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AD7DC">
                  <w:pPr>
                    <w:jc w:val="cente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5A81A">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50751">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6F0D1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D3155">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27</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F3DE9">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显微镜</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A4D36">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2B772">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AAA9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C464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B1F24">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2CC98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C3811">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28</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E370F">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镜面定位仪</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C01D4">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BFAF0">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9CE68">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2305A">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99454">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673AC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6DDF3">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29</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F53F6">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数控水切机</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55E91">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7DC73">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D9261">
                  <w:pPr>
                    <w:jc w:val="cente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5CC32">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4B2F9">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5F7BC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5EBDE">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30</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D6B8B">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切割机</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F9C88">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24EF2">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8B6E0">
                  <w:pPr>
                    <w:jc w:val="cente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7C9C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CD344">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2CD59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FF005">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31</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B5432">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全钢通风柜</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A1236">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311D9">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B6BF9">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06079">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06ED0">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69CB0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64F89">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32</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8A604">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生长炉</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1B0CD">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BDCA5">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64F92">
                  <w:pPr>
                    <w:jc w:val="cente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6E35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56A37">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49AA4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F4F74">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33</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35847">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净化台</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BDB57">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个</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2B11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B0CE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7EE68">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EE24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545C5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66E3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34</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C9228">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单轴机</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33C8F">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D1C27">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C7FBB">
                  <w:pPr>
                    <w:jc w:val="cente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49E33">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FE3C0">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0EA85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2993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35</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2AC19">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衍射仪</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84469">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5CC2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A364E">
                  <w:pPr>
                    <w:jc w:val="cente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65C43">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AB64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7A51F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CB500">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36</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D790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X</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射线衍射仪</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1C57C">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9EC1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6DF29">
                  <w:pPr>
                    <w:jc w:val="cente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7DD5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F16D7">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3F52A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D8EF2">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37</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1DC98">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X</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射线荧光光谱仪</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916C4">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F89A5">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68E31">
                  <w:pPr>
                    <w:jc w:val="cente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DD93A">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51DF4">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096E0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FDB43">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38</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197BE">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制水机</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8246C">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A2562">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D4A5F">
                  <w:pPr>
                    <w:jc w:val="cente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FEB59">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822E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15599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2883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39</w:t>
                  </w:r>
                </w:p>
              </w:tc>
              <w:tc>
                <w:tcPr>
                  <w:tcW w:w="1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5484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Style w:val="106"/>
                      <w:color w:val="000000" w:themeColor="text1"/>
                      <w:highlight w:val="none"/>
                      <w:lang w:val="en-US" w:eastAsia="zh-CN" w:bidi="ar"/>
                      <w14:textFill>
                        <w14:solidFill>
                          <w14:schemeClr w14:val="tx1"/>
                        </w14:solidFill>
                      </w14:textFill>
                    </w:rPr>
                    <w:t>三坐标测量仪</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247C7">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1D07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9D77E">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269C7">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BFEC7">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15432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2011A">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40</w:t>
                  </w:r>
                </w:p>
              </w:tc>
              <w:tc>
                <w:tcPr>
                  <w:tcW w:w="1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88FA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真空镀膜机</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80334">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38A9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0A22C">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76BB7">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91B37">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24A1E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CA43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41</w:t>
                  </w:r>
                </w:p>
              </w:tc>
              <w:tc>
                <w:tcPr>
                  <w:tcW w:w="1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AF3C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键合机</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B1DEC">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8262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49DE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88F4A">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BEEA2">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5C122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172BC">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42</w:t>
                  </w:r>
                </w:p>
              </w:tc>
              <w:tc>
                <w:tcPr>
                  <w:tcW w:w="1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7AD1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离子束抛光机</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9DF2E">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3A96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78CE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6459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2EE9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5B298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2F9B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43</w:t>
                  </w:r>
                </w:p>
              </w:tc>
              <w:tc>
                <w:tcPr>
                  <w:tcW w:w="1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241C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喷砂机</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53288">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41DA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4476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DCB4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4B73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151D3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D1F0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44</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008B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线切割机</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7E7B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15BC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FAA55">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AF5F9">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69A18">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5F9BD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E8FB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45</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A01A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等离子清洗机</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6901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BE67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5B74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06370">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5E48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20F2A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5B358">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46</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2A2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喷胶机</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C208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6EFD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8C17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8044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D2F52">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75CBD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64BD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47</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5F59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涂胶机</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474FA">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BA82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4EED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45A80">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E6A9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47127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A84C4">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48</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AF748">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光刻机</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C8484">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2212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58E51">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ABCB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BD160">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0B6A0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68EC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49</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7E46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显影机</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351D7">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6B30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8518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00FB8">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5F45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73F74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B1B34">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50</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884B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湿法腐蚀机</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AD7F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6E26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77AE7">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C0CA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43A0E">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bl>
          <w:p w14:paraId="2EBDC9CA">
            <w:pPr>
              <w:spacing w:line="360" w:lineRule="auto"/>
              <w:ind w:firstLine="420" w:firstLineChars="200"/>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注：根据《射线装置分类》，X射线衍射仪和X射线荧光光谱仪均属于Ⅲ类射线装置，已另行办理核与辐射项目环评登记手续。</w:t>
            </w:r>
          </w:p>
          <w:p w14:paraId="1AC793AE">
            <w:pPr>
              <w:spacing w:line="360" w:lineRule="auto"/>
              <w:ind w:firstLine="480" w:firstLineChars="200"/>
              <w:rPr>
                <w:rFonts w:hint="eastAsia"/>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（2）主要生产设备设计生产能力分析</w:t>
            </w:r>
          </w:p>
          <w:p w14:paraId="2CD44A93">
            <w:pPr>
              <w:spacing w:line="360" w:lineRule="auto"/>
              <w:ind w:firstLine="480" w:firstLineChars="200"/>
              <w:rPr>
                <w:rFonts w:hint="eastAsia"/>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本项目主要生产设备生产能力分析见下表。</w:t>
            </w:r>
          </w:p>
          <w:p w14:paraId="012019C1">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eastAsia"/>
                <w:color w:val="000000" w:themeColor="text1"/>
                <w:sz w:val="24"/>
                <w:szCs w:val="32"/>
                <w:highlight w:val="none"/>
                <w:lang w:val="en-US" w:eastAsia="zh-CN"/>
                <w14:textFill>
                  <w14:solidFill>
                    <w14:schemeClr w14:val="tx1"/>
                  </w14:solidFill>
                </w14:textFill>
              </w:rPr>
            </w:pPr>
            <w:r>
              <w:rPr>
                <w:rFonts w:hint="eastAsia"/>
                <w:b/>
                <w:color w:val="000000" w:themeColor="text1"/>
                <w:sz w:val="24"/>
                <w:szCs w:val="24"/>
                <w:highlight w:val="none"/>
                <w14:textFill>
                  <w14:solidFill>
                    <w14:schemeClr w14:val="tx1"/>
                  </w14:solidFill>
                </w14:textFill>
              </w:rPr>
              <w:t>表</w:t>
            </w:r>
            <w:r>
              <w:rPr>
                <w:rFonts w:hint="eastAsia"/>
                <w:b/>
                <w:color w:val="000000" w:themeColor="text1"/>
                <w:sz w:val="24"/>
                <w:szCs w:val="24"/>
                <w:highlight w:val="none"/>
                <w:lang w:val="en-US" w:eastAsia="zh-CN"/>
                <w14:textFill>
                  <w14:solidFill>
                    <w14:schemeClr w14:val="tx1"/>
                  </w14:solidFill>
                </w14:textFill>
              </w:rPr>
              <w:t>2.5-3</w:t>
            </w:r>
            <w:r>
              <w:rPr>
                <w:b/>
                <w:color w:val="000000" w:themeColor="text1"/>
                <w:sz w:val="24"/>
                <w:szCs w:val="24"/>
                <w:highlight w:val="none"/>
                <w14:textFill>
                  <w14:solidFill>
                    <w14:schemeClr w14:val="tx1"/>
                  </w14:solidFill>
                </w14:textFill>
              </w:rPr>
              <w:t xml:space="preserve"> </w:t>
            </w:r>
            <w:r>
              <w:rPr>
                <w:rFonts w:hint="eastAsia"/>
                <w:b/>
                <w:color w:val="000000" w:themeColor="text1"/>
                <w:sz w:val="24"/>
                <w:szCs w:val="24"/>
                <w:highlight w:val="none"/>
                <w:lang w:val="en-US" w:eastAsia="zh-CN"/>
                <w14:textFill>
                  <w14:solidFill>
                    <w14:schemeClr w14:val="tx1"/>
                  </w14:solidFill>
                </w14:textFill>
              </w:rPr>
              <w:t>本</w:t>
            </w:r>
            <w:r>
              <w:rPr>
                <w:rFonts w:hint="eastAsia"/>
                <w:b/>
                <w:color w:val="000000" w:themeColor="text1"/>
                <w:sz w:val="24"/>
                <w:szCs w:val="24"/>
                <w:highlight w:val="none"/>
                <w14:textFill>
                  <w14:solidFill>
                    <w14:schemeClr w14:val="tx1"/>
                  </w14:solidFill>
                </w14:textFill>
              </w:rPr>
              <w:t>项目主要生产设备设计生产能力与产能匹配分析表</w:t>
            </w:r>
          </w:p>
          <w:tbl>
            <w:tblPr>
              <w:tblStyle w:val="30"/>
              <w:tblW w:w="5000" w:type="pct"/>
              <w:jc w:val="center"/>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Layout w:type="fixed"/>
              <w:tblCellMar>
                <w:top w:w="0" w:type="dxa"/>
                <w:left w:w="57" w:type="dxa"/>
                <w:bottom w:w="0" w:type="dxa"/>
                <w:right w:w="57" w:type="dxa"/>
              </w:tblCellMar>
            </w:tblPr>
            <w:tblGrid>
              <w:gridCol w:w="1136"/>
              <w:gridCol w:w="968"/>
              <w:gridCol w:w="694"/>
              <w:gridCol w:w="1125"/>
              <w:gridCol w:w="1183"/>
              <w:gridCol w:w="1206"/>
              <w:gridCol w:w="863"/>
              <w:gridCol w:w="979"/>
            </w:tblGrid>
            <w:tr w14:paraId="2648782A">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PrEx>
              <w:trPr>
                <w:trHeight w:val="23" w:hRule="atLeast"/>
                <w:jc w:val="center"/>
              </w:trPr>
              <w:tc>
                <w:tcPr>
                  <w:tcW w:w="1107" w:type="dxa"/>
                  <w:tcBorders>
                    <w:tl2br w:val="nil"/>
                    <w:tr2bl w:val="nil"/>
                  </w:tcBorders>
                  <w:vAlign w:val="center"/>
                </w:tcPr>
                <w:p w14:paraId="167C342D">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eastAsia="宋体" w:cs="Times New Roman"/>
                      <w:color w:val="000000" w:themeColor="text1"/>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w w:val="100"/>
                      <w:sz w:val="21"/>
                      <w:szCs w:val="21"/>
                      <w:highlight w:val="none"/>
                      <w14:textFill>
                        <w14:solidFill>
                          <w14:schemeClr w14:val="tx1"/>
                        </w14:solidFill>
                      </w14:textFill>
                    </w:rPr>
                    <w:t>设备名称</w:t>
                  </w:r>
                </w:p>
              </w:tc>
              <w:tc>
                <w:tcPr>
                  <w:tcW w:w="943" w:type="dxa"/>
                  <w:tcBorders>
                    <w:tl2br w:val="nil"/>
                    <w:tr2bl w:val="nil"/>
                  </w:tcBorders>
                  <w:vAlign w:val="center"/>
                </w:tcPr>
                <w:p w14:paraId="1CE40B2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eastAsia="宋体" w:cs="Times New Roman"/>
                      <w:color w:val="000000" w:themeColor="text1"/>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w w:val="100"/>
                      <w:sz w:val="21"/>
                      <w:szCs w:val="21"/>
                      <w:highlight w:val="none"/>
                      <w14:textFill>
                        <w14:solidFill>
                          <w14:schemeClr w14:val="tx1"/>
                        </w14:solidFill>
                      </w14:textFill>
                    </w:rPr>
                    <w:t>单台能力（片/h）</w:t>
                  </w:r>
                </w:p>
              </w:tc>
              <w:tc>
                <w:tcPr>
                  <w:tcW w:w="675" w:type="dxa"/>
                  <w:tcBorders>
                    <w:tl2br w:val="nil"/>
                    <w:tr2bl w:val="nil"/>
                  </w:tcBorders>
                  <w:vAlign w:val="center"/>
                </w:tcPr>
                <w:p w14:paraId="39001F6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eastAsia="宋体" w:cs="Times New Roman"/>
                      <w:color w:val="000000" w:themeColor="text1"/>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w w:val="100"/>
                      <w:sz w:val="21"/>
                      <w:szCs w:val="21"/>
                      <w:highlight w:val="none"/>
                      <w14:textFill>
                        <w14:solidFill>
                          <w14:schemeClr w14:val="tx1"/>
                        </w14:solidFill>
                      </w14:textFill>
                    </w:rPr>
                    <w:t>数量/台</w:t>
                  </w:r>
                </w:p>
              </w:tc>
              <w:tc>
                <w:tcPr>
                  <w:tcW w:w="1095" w:type="dxa"/>
                  <w:tcBorders>
                    <w:tl2br w:val="nil"/>
                    <w:tr2bl w:val="nil"/>
                  </w:tcBorders>
                  <w:vAlign w:val="center"/>
                </w:tcPr>
                <w:p w14:paraId="50B07376">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eastAsia="宋体" w:cs="Times New Roman"/>
                      <w:color w:val="000000" w:themeColor="text1"/>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w w:val="100"/>
                      <w:sz w:val="21"/>
                      <w:szCs w:val="21"/>
                      <w:highlight w:val="none"/>
                      <w14:textFill>
                        <w14:solidFill>
                          <w14:schemeClr w14:val="tx1"/>
                        </w14:solidFill>
                      </w14:textFill>
                    </w:rPr>
                    <w:t>年工作时间（h）</w:t>
                  </w:r>
                </w:p>
              </w:tc>
              <w:tc>
                <w:tcPr>
                  <w:tcW w:w="1151" w:type="dxa"/>
                  <w:tcBorders>
                    <w:tl2br w:val="nil"/>
                    <w:tr2bl w:val="nil"/>
                  </w:tcBorders>
                  <w:vAlign w:val="center"/>
                </w:tcPr>
                <w:p w14:paraId="4EA363CB">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eastAsia="宋体" w:cs="Times New Roman"/>
                      <w:color w:val="000000" w:themeColor="text1"/>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w w:val="100"/>
                      <w:sz w:val="21"/>
                      <w:szCs w:val="21"/>
                      <w:highlight w:val="none"/>
                      <w14:textFill>
                        <w14:solidFill>
                          <w14:schemeClr w14:val="tx1"/>
                        </w14:solidFill>
                      </w14:textFill>
                    </w:rPr>
                    <w:t>额定生产能力（片/a）</w:t>
                  </w:r>
                </w:p>
              </w:tc>
              <w:tc>
                <w:tcPr>
                  <w:tcW w:w="1174" w:type="dxa"/>
                  <w:tcBorders>
                    <w:tl2br w:val="nil"/>
                    <w:tr2bl w:val="nil"/>
                  </w:tcBorders>
                  <w:vAlign w:val="center"/>
                </w:tcPr>
                <w:p w14:paraId="419CF62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eastAsia="宋体" w:cs="Times New Roman"/>
                      <w:color w:val="000000" w:themeColor="text1"/>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w w:val="100"/>
                      <w:sz w:val="21"/>
                      <w:szCs w:val="21"/>
                      <w:highlight w:val="none"/>
                      <w14:textFill>
                        <w14:solidFill>
                          <w14:schemeClr w14:val="tx1"/>
                        </w14:solidFill>
                      </w14:textFill>
                    </w:rPr>
                    <w:t>设计生产规模（片/a）</w:t>
                  </w:r>
                </w:p>
              </w:tc>
              <w:tc>
                <w:tcPr>
                  <w:tcW w:w="840" w:type="dxa"/>
                  <w:tcBorders>
                    <w:tl2br w:val="nil"/>
                    <w:tr2bl w:val="nil"/>
                  </w:tcBorders>
                  <w:vAlign w:val="center"/>
                </w:tcPr>
                <w:p w14:paraId="237C75A5">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eastAsia="宋体" w:cs="Times New Roman"/>
                      <w:color w:val="000000" w:themeColor="text1"/>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w w:val="100"/>
                      <w:sz w:val="21"/>
                      <w:szCs w:val="21"/>
                      <w:highlight w:val="none"/>
                      <w14:textFill>
                        <w14:solidFill>
                          <w14:schemeClr w14:val="tx1"/>
                        </w14:solidFill>
                      </w14:textFill>
                    </w:rPr>
                    <w:t>匹配性分析</w:t>
                  </w:r>
                </w:p>
              </w:tc>
              <w:tc>
                <w:tcPr>
                  <w:tcW w:w="953" w:type="dxa"/>
                  <w:tcBorders>
                    <w:tl2br w:val="nil"/>
                    <w:tr2bl w:val="nil"/>
                  </w:tcBorders>
                  <w:vAlign w:val="center"/>
                </w:tcPr>
                <w:p w14:paraId="2AB8B2B6">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eastAsia="宋体" w:cs="Times New Roman"/>
                      <w:color w:val="000000" w:themeColor="text1"/>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w w:val="100"/>
                      <w:sz w:val="21"/>
                      <w:szCs w:val="21"/>
                      <w:highlight w:val="none"/>
                      <w14:textFill>
                        <w14:solidFill>
                          <w14:schemeClr w14:val="tx1"/>
                        </w14:solidFill>
                      </w14:textFill>
                    </w:rPr>
                    <w:t>备注</w:t>
                  </w:r>
                </w:p>
              </w:tc>
            </w:tr>
            <w:tr w14:paraId="76FD475F">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57" w:type="dxa"/>
                  <w:bottom w:w="0" w:type="dxa"/>
                  <w:right w:w="57" w:type="dxa"/>
                </w:tblCellMar>
              </w:tblPrEx>
              <w:trPr>
                <w:trHeight w:val="23" w:hRule="atLeast"/>
                <w:jc w:val="center"/>
              </w:trPr>
              <w:tc>
                <w:tcPr>
                  <w:tcW w:w="1107" w:type="dxa"/>
                  <w:tcBorders>
                    <w:tl2br w:val="nil"/>
                    <w:tr2bl w:val="nil"/>
                  </w:tcBorders>
                  <w:vAlign w:val="center"/>
                </w:tcPr>
                <w:p w14:paraId="0F423B1E">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eastAsia" w:ascii="Times New Roman" w:hAnsi="Times New Roman" w:eastAsia="宋体" w:cs="Times New Roman"/>
                      <w:color w:val="000000" w:themeColor="text1"/>
                      <w:w w:val="100"/>
                      <w:sz w:val="21"/>
                      <w:szCs w:val="21"/>
                      <w:highlight w:val="none"/>
                      <w:lang w:eastAsia="zh-CN"/>
                      <w14:textFill>
                        <w14:solidFill>
                          <w14:schemeClr w14:val="tx1"/>
                        </w14:solidFill>
                      </w14:textFill>
                    </w:rPr>
                  </w:pPr>
                  <w:r>
                    <w:rPr>
                      <w:rFonts w:hint="eastAsia" w:ascii="Times New Roman" w:hAnsi="Times New Roman" w:cs="Times New Roman"/>
                      <w:color w:val="000000" w:themeColor="text1"/>
                      <w:w w:val="100"/>
                      <w:sz w:val="21"/>
                      <w:szCs w:val="21"/>
                      <w:highlight w:val="none"/>
                      <w:lang w:val="en-US" w:eastAsia="zh-CN"/>
                      <w14:textFill>
                        <w14:solidFill>
                          <w14:schemeClr w14:val="tx1"/>
                        </w14:solidFill>
                      </w14:textFill>
                    </w:rPr>
                    <w:t>镀膜机</w:t>
                  </w:r>
                </w:p>
              </w:tc>
              <w:tc>
                <w:tcPr>
                  <w:tcW w:w="943" w:type="dxa"/>
                  <w:tcBorders>
                    <w:tl2br w:val="nil"/>
                    <w:tr2bl w:val="nil"/>
                  </w:tcBorders>
                  <w:vAlign w:val="center"/>
                </w:tcPr>
                <w:p w14:paraId="7CD6ABF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eastAsia" w:ascii="Times New Roman" w:hAnsi="Times New Roman" w:eastAsia="宋体" w:cs="Times New Roman"/>
                      <w:color w:val="000000" w:themeColor="text1"/>
                      <w:w w:val="100"/>
                      <w:sz w:val="21"/>
                      <w:szCs w:val="21"/>
                      <w:highlight w:val="none"/>
                      <w:lang w:eastAsia="zh-CN"/>
                      <w14:textFill>
                        <w14:solidFill>
                          <w14:schemeClr w14:val="tx1"/>
                        </w14:solidFill>
                      </w14:textFill>
                    </w:rPr>
                  </w:pPr>
                </w:p>
              </w:tc>
              <w:tc>
                <w:tcPr>
                  <w:tcW w:w="675" w:type="dxa"/>
                  <w:tcBorders>
                    <w:tl2br w:val="nil"/>
                    <w:tr2bl w:val="nil"/>
                  </w:tcBorders>
                  <w:vAlign w:val="center"/>
                </w:tcPr>
                <w:p w14:paraId="14A34F3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eastAsia" w:ascii="Times New Roman" w:hAnsi="Times New Roman" w:eastAsia="宋体" w:cs="Times New Roman"/>
                      <w:color w:val="000000" w:themeColor="text1"/>
                      <w:w w:val="100"/>
                      <w:sz w:val="21"/>
                      <w:szCs w:val="21"/>
                      <w:highlight w:val="none"/>
                      <w:lang w:eastAsia="zh-CN"/>
                      <w14:textFill>
                        <w14:solidFill>
                          <w14:schemeClr w14:val="tx1"/>
                        </w14:solidFill>
                      </w14:textFill>
                    </w:rPr>
                  </w:pPr>
                </w:p>
              </w:tc>
              <w:tc>
                <w:tcPr>
                  <w:tcW w:w="1095" w:type="dxa"/>
                  <w:tcBorders>
                    <w:tl2br w:val="nil"/>
                    <w:tr2bl w:val="nil"/>
                  </w:tcBorders>
                  <w:vAlign w:val="center"/>
                </w:tcPr>
                <w:p w14:paraId="3418778C">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eastAsia="宋体" w:cs="Times New Roman"/>
                      <w:color w:val="000000" w:themeColor="text1"/>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w w:val="100"/>
                      <w:sz w:val="21"/>
                      <w:szCs w:val="21"/>
                      <w:highlight w:val="none"/>
                      <w14:textFill>
                        <w14:solidFill>
                          <w14:schemeClr w14:val="tx1"/>
                        </w14:solidFill>
                      </w14:textFill>
                    </w:rPr>
                    <w:t>2000</w:t>
                  </w:r>
                </w:p>
              </w:tc>
              <w:tc>
                <w:tcPr>
                  <w:tcW w:w="1151" w:type="dxa"/>
                  <w:tcBorders>
                    <w:tl2br w:val="nil"/>
                    <w:tr2bl w:val="nil"/>
                  </w:tcBorders>
                  <w:vAlign w:val="center"/>
                </w:tcPr>
                <w:p w14:paraId="258146C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eastAsia="宋体" w:cs="Times New Roman"/>
                      <w:color w:val="000000" w:themeColor="text1"/>
                      <w:w w:val="10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w w:val="100"/>
                      <w:sz w:val="21"/>
                      <w:szCs w:val="21"/>
                      <w:highlight w:val="none"/>
                      <w:lang w:val="en-US" w:eastAsia="zh-CN"/>
                      <w14:textFill>
                        <w14:solidFill>
                          <w14:schemeClr w14:val="tx1"/>
                        </w14:solidFill>
                      </w14:textFill>
                    </w:rPr>
                    <w:t>10000</w:t>
                  </w:r>
                </w:p>
              </w:tc>
              <w:tc>
                <w:tcPr>
                  <w:tcW w:w="1174" w:type="dxa"/>
                  <w:tcBorders>
                    <w:tl2br w:val="nil"/>
                    <w:tr2bl w:val="nil"/>
                  </w:tcBorders>
                  <w:vAlign w:val="center"/>
                </w:tcPr>
                <w:p w14:paraId="5E7FB45D">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eastAsia="宋体" w:cs="Times New Roman"/>
                      <w:color w:val="000000" w:themeColor="text1"/>
                      <w:w w:val="10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w w:val="100"/>
                      <w:sz w:val="21"/>
                      <w:szCs w:val="21"/>
                      <w:highlight w:val="none"/>
                      <w:lang w:val="en-US" w:eastAsia="zh-CN"/>
                      <w14:textFill>
                        <w14:solidFill>
                          <w14:schemeClr w14:val="tx1"/>
                        </w14:solidFill>
                      </w14:textFill>
                    </w:rPr>
                    <w:t>10000</w:t>
                  </w:r>
                </w:p>
              </w:tc>
              <w:tc>
                <w:tcPr>
                  <w:tcW w:w="840" w:type="dxa"/>
                  <w:tcBorders>
                    <w:tl2br w:val="nil"/>
                    <w:tr2bl w:val="nil"/>
                  </w:tcBorders>
                  <w:vAlign w:val="center"/>
                </w:tcPr>
                <w:p w14:paraId="394ECB5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eastAsia="宋体" w:cs="Times New Roman"/>
                      <w:color w:val="000000" w:themeColor="text1"/>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w w:val="100"/>
                      <w:sz w:val="21"/>
                      <w:szCs w:val="21"/>
                      <w:highlight w:val="none"/>
                      <w14:textFill>
                        <w14:solidFill>
                          <w14:schemeClr w14:val="tx1"/>
                        </w14:solidFill>
                      </w14:textFill>
                    </w:rPr>
                    <w:t>匹配</w:t>
                  </w:r>
                </w:p>
              </w:tc>
              <w:tc>
                <w:tcPr>
                  <w:tcW w:w="953" w:type="dxa"/>
                  <w:tcBorders>
                    <w:tl2br w:val="nil"/>
                    <w:tr2bl w:val="nil"/>
                  </w:tcBorders>
                  <w:vAlign w:val="center"/>
                </w:tcPr>
                <w:p w14:paraId="7701A224">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eastAsia="宋体" w:cs="Times New Roman"/>
                      <w:color w:val="000000" w:themeColor="text1"/>
                      <w:w w:val="10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w w:val="100"/>
                      <w:sz w:val="21"/>
                      <w:szCs w:val="21"/>
                      <w:highlight w:val="none"/>
                      <w:lang w:val="en-US" w:eastAsia="zh-CN"/>
                      <w14:textFill>
                        <w14:solidFill>
                          <w14:schemeClr w14:val="tx1"/>
                        </w14:solidFill>
                      </w14:textFill>
                    </w:rPr>
                    <w:t>产品1</w:t>
                  </w:r>
                </w:p>
              </w:tc>
            </w:tr>
            <w:tr w14:paraId="26D93880">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57" w:type="dxa"/>
                  <w:bottom w:w="0" w:type="dxa"/>
                  <w:right w:w="57" w:type="dxa"/>
                </w:tblCellMar>
              </w:tblPrEx>
              <w:trPr>
                <w:trHeight w:val="23" w:hRule="atLeast"/>
                <w:jc w:val="center"/>
              </w:trPr>
              <w:tc>
                <w:tcPr>
                  <w:tcW w:w="1107" w:type="dxa"/>
                  <w:tcBorders>
                    <w:tl2br w:val="nil"/>
                    <w:tr2bl w:val="nil"/>
                  </w:tcBorders>
                  <w:vAlign w:val="center"/>
                </w:tcPr>
                <w:p w14:paraId="1671ABFF">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cs="Times New Roman"/>
                      <w:color w:val="000000" w:themeColor="text1"/>
                      <w:w w:val="10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w w:val="100"/>
                      <w:sz w:val="21"/>
                      <w:szCs w:val="21"/>
                      <w:highlight w:val="none"/>
                      <w:lang w:val="en-US" w:eastAsia="zh-CN"/>
                      <w14:textFill>
                        <w14:solidFill>
                          <w14:schemeClr w14:val="tx1"/>
                        </w14:solidFill>
                      </w14:textFill>
                    </w:rPr>
                    <w:t>显影机</w:t>
                  </w:r>
                </w:p>
              </w:tc>
              <w:tc>
                <w:tcPr>
                  <w:tcW w:w="943" w:type="dxa"/>
                  <w:tcBorders>
                    <w:tl2br w:val="nil"/>
                    <w:tr2bl w:val="nil"/>
                  </w:tcBorders>
                  <w:vAlign w:val="center"/>
                </w:tcPr>
                <w:p w14:paraId="75F1B9C8">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cs="Times New Roman"/>
                      <w:color w:val="000000" w:themeColor="text1"/>
                      <w:w w:val="100"/>
                      <w:sz w:val="21"/>
                      <w:szCs w:val="21"/>
                      <w:highlight w:val="none"/>
                      <w:lang w:val="en-US" w:eastAsia="zh-CN"/>
                      <w14:textFill>
                        <w14:solidFill>
                          <w14:schemeClr w14:val="tx1"/>
                        </w14:solidFill>
                      </w14:textFill>
                    </w:rPr>
                  </w:pPr>
                </w:p>
              </w:tc>
              <w:tc>
                <w:tcPr>
                  <w:tcW w:w="675" w:type="dxa"/>
                  <w:tcBorders>
                    <w:tl2br w:val="nil"/>
                    <w:tr2bl w:val="nil"/>
                  </w:tcBorders>
                  <w:vAlign w:val="center"/>
                </w:tcPr>
                <w:p w14:paraId="1CAF40EA">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cs="Times New Roman"/>
                      <w:color w:val="000000" w:themeColor="text1"/>
                      <w:w w:val="100"/>
                      <w:sz w:val="21"/>
                      <w:szCs w:val="21"/>
                      <w:highlight w:val="none"/>
                      <w:lang w:val="en-US" w:eastAsia="zh-CN"/>
                      <w14:textFill>
                        <w14:solidFill>
                          <w14:schemeClr w14:val="tx1"/>
                        </w14:solidFill>
                      </w14:textFill>
                    </w:rPr>
                  </w:pPr>
                </w:p>
              </w:tc>
              <w:tc>
                <w:tcPr>
                  <w:tcW w:w="1095" w:type="dxa"/>
                  <w:tcBorders>
                    <w:tl2br w:val="nil"/>
                    <w:tr2bl w:val="nil"/>
                  </w:tcBorders>
                  <w:vAlign w:val="center"/>
                </w:tcPr>
                <w:p w14:paraId="7F487A82">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eastAsia="宋体" w:cs="Times New Roman"/>
                      <w:color w:val="000000" w:themeColor="text1"/>
                      <w:w w:val="10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w w:val="100"/>
                      <w:sz w:val="21"/>
                      <w:szCs w:val="21"/>
                      <w:highlight w:val="none"/>
                      <w:lang w:val="en-US" w:eastAsia="zh-CN"/>
                      <w14:textFill>
                        <w14:solidFill>
                          <w14:schemeClr w14:val="tx1"/>
                        </w14:solidFill>
                      </w14:textFill>
                    </w:rPr>
                    <w:t>2000</w:t>
                  </w:r>
                </w:p>
              </w:tc>
              <w:tc>
                <w:tcPr>
                  <w:tcW w:w="1151" w:type="dxa"/>
                  <w:tcBorders>
                    <w:tl2br w:val="nil"/>
                    <w:tr2bl w:val="nil"/>
                  </w:tcBorders>
                  <w:vAlign w:val="center"/>
                </w:tcPr>
                <w:p w14:paraId="74E18DE0">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cs="Times New Roman"/>
                      <w:color w:val="000000" w:themeColor="text1"/>
                      <w:w w:val="10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w w:val="100"/>
                      <w:sz w:val="21"/>
                      <w:szCs w:val="21"/>
                      <w:highlight w:val="none"/>
                      <w:lang w:val="en-US" w:eastAsia="zh-CN"/>
                      <w14:textFill>
                        <w14:solidFill>
                          <w14:schemeClr w14:val="tx1"/>
                        </w14:solidFill>
                      </w14:textFill>
                    </w:rPr>
                    <w:t>20000</w:t>
                  </w:r>
                </w:p>
              </w:tc>
              <w:tc>
                <w:tcPr>
                  <w:tcW w:w="1174" w:type="dxa"/>
                  <w:tcBorders>
                    <w:tl2br w:val="nil"/>
                    <w:tr2bl w:val="nil"/>
                  </w:tcBorders>
                  <w:vAlign w:val="center"/>
                </w:tcPr>
                <w:p w14:paraId="178EA3E9">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eastAsia" w:ascii="Times New Roman" w:hAnsi="Times New Roman" w:cs="Times New Roman"/>
                      <w:color w:val="000000" w:themeColor="text1"/>
                      <w:w w:val="100"/>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w w:val="100"/>
                      <w:sz w:val="21"/>
                      <w:szCs w:val="21"/>
                      <w:highlight w:val="none"/>
                      <w:lang w:val="en-US" w:eastAsia="zh-CN"/>
                      <w14:textFill>
                        <w14:solidFill>
                          <w14:schemeClr w14:val="tx1"/>
                        </w14:solidFill>
                      </w14:textFill>
                    </w:rPr>
                    <w:t>20000</w:t>
                  </w:r>
                </w:p>
              </w:tc>
              <w:tc>
                <w:tcPr>
                  <w:tcW w:w="840" w:type="dxa"/>
                  <w:tcBorders>
                    <w:tl2br w:val="nil"/>
                    <w:tr2bl w:val="nil"/>
                  </w:tcBorders>
                  <w:vAlign w:val="center"/>
                </w:tcPr>
                <w:p w14:paraId="51AC73FF">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eastAsia="宋体" w:cs="Times New Roman"/>
                      <w:color w:val="000000" w:themeColor="text1"/>
                      <w:w w:val="100"/>
                      <w:sz w:val="21"/>
                      <w:szCs w:val="21"/>
                      <w:highlight w:val="none"/>
                      <w14:textFill>
                        <w14:solidFill>
                          <w14:schemeClr w14:val="tx1"/>
                        </w14:solidFill>
                      </w14:textFill>
                    </w:rPr>
                  </w:pPr>
                  <w:r>
                    <w:rPr>
                      <w:rFonts w:hint="default" w:ascii="Times New Roman" w:hAnsi="Times New Roman" w:eastAsia="宋体" w:cs="Times New Roman"/>
                      <w:color w:val="000000" w:themeColor="text1"/>
                      <w:w w:val="100"/>
                      <w:sz w:val="21"/>
                      <w:szCs w:val="21"/>
                      <w:highlight w:val="none"/>
                      <w14:textFill>
                        <w14:solidFill>
                          <w14:schemeClr w14:val="tx1"/>
                        </w14:solidFill>
                      </w14:textFill>
                    </w:rPr>
                    <w:t>匹配</w:t>
                  </w:r>
                </w:p>
              </w:tc>
              <w:tc>
                <w:tcPr>
                  <w:tcW w:w="953" w:type="dxa"/>
                  <w:tcBorders>
                    <w:tl2br w:val="nil"/>
                    <w:tr2bl w:val="nil"/>
                  </w:tcBorders>
                  <w:vAlign w:val="center"/>
                </w:tcPr>
                <w:p w14:paraId="096671EC">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rPr>
                      <w:rFonts w:hint="default" w:ascii="Times New Roman" w:hAnsi="Times New Roman" w:eastAsia="宋体" w:cs="Times New Roman"/>
                      <w:color w:val="000000" w:themeColor="text1"/>
                      <w:w w:val="100"/>
                      <w:sz w:val="21"/>
                      <w:szCs w:val="21"/>
                      <w:highlight w:val="none"/>
                      <w:lang w:val="en-US"/>
                      <w14:textFill>
                        <w14:solidFill>
                          <w14:schemeClr w14:val="tx1"/>
                        </w14:solidFill>
                      </w14:textFill>
                    </w:rPr>
                  </w:pPr>
                  <w:r>
                    <w:rPr>
                      <w:rFonts w:hint="eastAsia" w:ascii="Times New Roman" w:hAnsi="Times New Roman" w:cs="Times New Roman"/>
                      <w:color w:val="000000" w:themeColor="text1"/>
                      <w:w w:val="100"/>
                      <w:sz w:val="21"/>
                      <w:szCs w:val="21"/>
                      <w:highlight w:val="none"/>
                      <w:lang w:val="en-US" w:eastAsia="zh-CN"/>
                      <w14:textFill>
                        <w14:solidFill>
                          <w14:schemeClr w14:val="tx1"/>
                        </w14:solidFill>
                      </w14:textFill>
                    </w:rPr>
                    <w:t>产品2</w:t>
                  </w:r>
                </w:p>
              </w:tc>
            </w:tr>
          </w:tbl>
          <w:p w14:paraId="6C913939">
            <w:pPr>
              <w:pStyle w:val="37"/>
              <w:rPr>
                <w:rFonts w:hint="default"/>
                <w:b w:val="0"/>
                <w:color w:val="000000" w:themeColor="text1"/>
                <w:sz w:val="24"/>
                <w:szCs w:val="21"/>
                <w:highlight w:val="none"/>
                <w:lang w:val="en-US" w:eastAsia="zh-CN"/>
                <w14:textFill>
                  <w14:solidFill>
                    <w14:schemeClr w14:val="tx1"/>
                  </w14:solidFill>
                </w14:textFill>
              </w:rPr>
            </w:pPr>
            <w:r>
              <w:rPr>
                <w:rFonts w:hint="eastAsia"/>
                <w:b w:val="0"/>
                <w:color w:val="000000" w:themeColor="text1"/>
                <w:sz w:val="24"/>
                <w:szCs w:val="21"/>
                <w:highlight w:val="none"/>
                <w:lang w:val="en-US" w:eastAsia="zh-CN"/>
                <w14:textFill>
                  <w14:solidFill>
                    <w14:schemeClr w14:val="tx1"/>
                  </w14:solidFill>
                </w14:textFill>
              </w:rPr>
              <w:t>2.6 物料平衡</w:t>
            </w:r>
          </w:p>
          <w:p w14:paraId="2272E39D">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根据建设单位提供资料，项目VOCs平衡统计详见下表。</w:t>
            </w:r>
          </w:p>
          <w:p w14:paraId="5EA76783">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eastAsia"/>
                <w:b/>
                <w:color w:val="000000" w:themeColor="text1"/>
                <w:sz w:val="24"/>
                <w:szCs w:val="24"/>
                <w:highlight w:val="none"/>
                <w:lang w:val="en-US" w:eastAsia="zh-CN"/>
                <w14:textFill>
                  <w14:solidFill>
                    <w14:schemeClr w14:val="tx1"/>
                  </w14:solidFill>
                </w14:textFill>
              </w:rPr>
            </w:pPr>
            <w:r>
              <w:rPr>
                <w:rFonts w:hint="eastAsia"/>
                <w:b/>
                <w:color w:val="000000" w:themeColor="text1"/>
                <w:sz w:val="24"/>
                <w:szCs w:val="24"/>
                <w:highlight w:val="none"/>
                <w14:textFill>
                  <w14:solidFill>
                    <w14:schemeClr w14:val="tx1"/>
                  </w14:solidFill>
                </w14:textFill>
              </w:rPr>
              <w:t>表</w:t>
            </w:r>
            <w:r>
              <w:rPr>
                <w:rFonts w:hint="eastAsia"/>
                <w:b/>
                <w:color w:val="000000" w:themeColor="text1"/>
                <w:sz w:val="24"/>
                <w:szCs w:val="24"/>
                <w:highlight w:val="none"/>
                <w:lang w:val="en-US" w:eastAsia="zh-CN"/>
                <w14:textFill>
                  <w14:solidFill>
                    <w14:schemeClr w14:val="tx1"/>
                  </w14:solidFill>
                </w14:textFill>
              </w:rPr>
              <w:t>2.6-1</w:t>
            </w:r>
            <w:r>
              <w:rPr>
                <w:b/>
                <w:color w:val="000000" w:themeColor="text1"/>
                <w:sz w:val="24"/>
                <w:szCs w:val="24"/>
                <w:highlight w:val="none"/>
                <w14:textFill>
                  <w14:solidFill>
                    <w14:schemeClr w14:val="tx1"/>
                  </w14:solidFill>
                </w14:textFill>
              </w:rPr>
              <w:t xml:space="preserve"> </w:t>
            </w:r>
            <w:r>
              <w:rPr>
                <w:rFonts w:hint="eastAsia"/>
                <w:b/>
                <w:color w:val="000000" w:themeColor="text1"/>
                <w:sz w:val="24"/>
                <w:szCs w:val="24"/>
                <w:highlight w:val="none"/>
                <w:lang w:val="en-US" w:eastAsia="zh-CN"/>
                <w14:textFill>
                  <w14:solidFill>
                    <w14:schemeClr w14:val="tx1"/>
                  </w14:solidFill>
                </w14:textFill>
              </w:rPr>
              <w:t>本</w:t>
            </w:r>
            <w:r>
              <w:rPr>
                <w:rFonts w:hint="eastAsia"/>
                <w:b/>
                <w:color w:val="000000" w:themeColor="text1"/>
                <w:sz w:val="24"/>
                <w:szCs w:val="24"/>
                <w:highlight w:val="none"/>
                <w14:textFill>
                  <w14:solidFill>
                    <w14:schemeClr w14:val="tx1"/>
                  </w14:solidFill>
                </w14:textFill>
              </w:rPr>
              <w:t>项目VOCs平衡表</w:t>
            </w:r>
          </w:p>
          <w:tbl>
            <w:tblPr>
              <w:tblStyle w:val="30"/>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040"/>
              <w:gridCol w:w="2040"/>
              <w:gridCol w:w="2042"/>
              <w:gridCol w:w="2042"/>
            </w:tblGrid>
            <w:tr w14:paraId="0D487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030" w:type="dxa"/>
                  <w:gridSpan w:val="2"/>
                  <w:tcBorders>
                    <w:top w:val="single" w:color="000000" w:sz="4" w:space="0"/>
                    <w:left w:val="single" w:color="auto" w:sz="0" w:space="0"/>
                    <w:bottom w:val="single" w:color="000000" w:sz="4" w:space="0"/>
                    <w:right w:val="single" w:color="000000" w:sz="4" w:space="0"/>
                  </w:tcBorders>
                  <w:shd w:val="clear" w:color="auto" w:fill="auto"/>
                  <w:vAlign w:val="center"/>
                </w:tcPr>
                <w:p w14:paraId="7D88D20E">
                  <w:pPr>
                    <w:keepNext w:val="0"/>
                    <w:keepLines w:val="0"/>
                    <w:widowControl/>
                    <w:suppressLineNumbers w:val="0"/>
                    <w:jc w:val="center"/>
                    <w:textAlignment w:val="top"/>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输入</w:t>
                  </w:r>
                </w:p>
              </w:tc>
              <w:tc>
                <w:tcPr>
                  <w:tcW w:w="4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64F4CB">
                  <w:pPr>
                    <w:keepNext w:val="0"/>
                    <w:keepLines w:val="0"/>
                    <w:widowControl/>
                    <w:suppressLineNumbers w:val="0"/>
                    <w:jc w:val="center"/>
                    <w:textAlignment w:val="top"/>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输出</w:t>
                  </w:r>
                </w:p>
              </w:tc>
            </w:tr>
            <w:tr w14:paraId="21BC7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E45E6">
                  <w:pPr>
                    <w:keepNext w:val="0"/>
                    <w:keepLines w:val="0"/>
                    <w:widowControl/>
                    <w:suppressLineNumbers w:val="0"/>
                    <w:jc w:val="center"/>
                    <w:textAlignment w:val="top"/>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名称</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81F52">
                  <w:pPr>
                    <w:keepNext w:val="0"/>
                    <w:keepLines w:val="0"/>
                    <w:widowControl/>
                    <w:suppressLineNumbers w:val="0"/>
                    <w:jc w:val="center"/>
                    <w:textAlignment w:val="top"/>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产品消耗量（t/a）</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6F936">
                  <w:pPr>
                    <w:keepNext w:val="0"/>
                    <w:keepLines w:val="0"/>
                    <w:widowControl/>
                    <w:suppressLineNumbers w:val="0"/>
                    <w:jc w:val="center"/>
                    <w:textAlignment w:val="top"/>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名称</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CEF42">
                  <w:pPr>
                    <w:keepNext w:val="0"/>
                    <w:keepLines w:val="0"/>
                    <w:widowControl/>
                    <w:suppressLineNumbers w:val="0"/>
                    <w:jc w:val="center"/>
                    <w:textAlignment w:val="top"/>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产品产生量（t/a）</w:t>
                  </w:r>
                </w:p>
              </w:tc>
            </w:tr>
            <w:tr w14:paraId="4018B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04248">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DSL-3.6清洗剂</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1A02E">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12</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6B169">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有机废气</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9D1B3">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1.6273</w:t>
                  </w:r>
                </w:p>
              </w:tc>
            </w:tr>
            <w:tr w14:paraId="2D4DC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1E49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无水乙醇</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31EC5">
                  <w:pPr>
                    <w:keepNext w:val="0"/>
                    <w:keepLines w:val="0"/>
                    <w:widowControl/>
                    <w:suppressLineNumbers w:val="0"/>
                    <w:jc w:val="center"/>
                    <w:textAlignment w:val="top"/>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2.3</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74BE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废活性炭吸附量</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BA350">
                  <w:pPr>
                    <w:keepNext w:val="0"/>
                    <w:keepLines w:val="0"/>
                    <w:widowControl/>
                    <w:suppressLineNumbers w:val="0"/>
                    <w:jc w:val="center"/>
                    <w:textAlignment w:val="top"/>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5.0421</w:t>
                  </w:r>
                </w:p>
              </w:tc>
            </w:tr>
            <w:tr w14:paraId="1CEA1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E902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无水乙醚</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01947">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0.6</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top"/>
                </w:tcPr>
                <w:p w14:paraId="5CC3A7F4">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清洗废液（废有机溶剂残量）</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top"/>
                </w:tcPr>
                <w:p w14:paraId="7DA0EFD5">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8.5545</w:t>
                  </w:r>
                </w:p>
              </w:tc>
            </w:tr>
            <w:tr w14:paraId="442DB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57B1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丙酮</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3FFB2">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1.2</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top"/>
                </w:tcPr>
                <w:p w14:paraId="1ADF8AE1">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过程损耗</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top"/>
                </w:tcPr>
                <w:p w14:paraId="4C233780">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0.9522 </w:t>
                  </w:r>
                </w:p>
              </w:tc>
            </w:tr>
            <w:tr w14:paraId="37626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2CFF8">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t>增粘剂六甲基二硅杂氮烷</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F7E3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0.005</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1126E">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7E4C9">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20BD4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C7145">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t>稀释剂1-2-丙二醇甲醚醋酸酯</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B8907">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0.02</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B70F6">
                  <w:pPr>
                    <w:jc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ABA0D">
                  <w:pPr>
                    <w:jc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p>
              </w:tc>
            </w:tr>
            <w:tr w14:paraId="55577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3A6E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NOA61胶水</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EA70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0.002835</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AA5F1">
                  <w:pPr>
                    <w:jc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D87E6">
                  <w:pPr>
                    <w:jc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p>
              </w:tc>
            </w:tr>
            <w:tr w14:paraId="361DA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BCFB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AZ光刻胶</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4B2F1">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0.0483</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55415">
                  <w:pPr>
                    <w:jc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57843">
                  <w:pPr>
                    <w:jc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p>
              </w:tc>
            </w:tr>
            <w:tr w14:paraId="274D3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015" w:type="dxa"/>
                  <w:tcBorders>
                    <w:top w:val="single" w:color="000000" w:sz="4" w:space="0"/>
                    <w:left w:val="single" w:color="000000" w:sz="4" w:space="0"/>
                    <w:bottom w:val="single" w:color="000000" w:sz="4" w:space="0"/>
                    <w:right w:val="single" w:color="000000" w:sz="4" w:space="0"/>
                  </w:tcBorders>
                  <w:shd w:val="clear" w:color="auto" w:fill="auto"/>
                  <w:vAlign w:val="top"/>
                </w:tcPr>
                <w:p w14:paraId="392FCC00">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合计</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top"/>
                </w:tcPr>
                <w:p w14:paraId="57B3130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16.1761 </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top"/>
                </w:tcPr>
                <w:p w14:paraId="57F84030">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合计</w:t>
                  </w:r>
                </w:p>
              </w:tc>
              <w:tc>
                <w:tcPr>
                  <w:tcW w:w="2016" w:type="dxa"/>
                  <w:tcBorders>
                    <w:top w:val="single" w:color="000000" w:sz="4" w:space="0"/>
                    <w:left w:val="single" w:color="000000" w:sz="4" w:space="0"/>
                    <w:bottom w:val="single" w:color="000000" w:sz="4" w:space="0"/>
                    <w:right w:val="single" w:color="000000" w:sz="4" w:space="0"/>
                  </w:tcBorders>
                  <w:shd w:val="clear" w:color="auto" w:fill="auto"/>
                  <w:vAlign w:val="top"/>
                </w:tcPr>
                <w:p w14:paraId="21068B9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16.1761 </w:t>
                  </w:r>
                </w:p>
              </w:tc>
            </w:tr>
          </w:tbl>
          <w:p w14:paraId="1288ACC7">
            <w:pPr>
              <w:pStyle w:val="37"/>
              <w:rPr>
                <w:rFonts w:hint="default"/>
                <w:b w:val="0"/>
                <w:color w:val="000000" w:themeColor="text1"/>
                <w:sz w:val="24"/>
                <w:szCs w:val="21"/>
                <w:highlight w:val="none"/>
                <w:lang w:val="en-US" w:eastAsia="zh-CN"/>
                <w14:textFill>
                  <w14:solidFill>
                    <w14:schemeClr w14:val="tx1"/>
                  </w14:solidFill>
                </w14:textFill>
              </w:rPr>
            </w:pPr>
            <w:r>
              <w:rPr>
                <w:rFonts w:hint="eastAsia"/>
                <w:b w:val="0"/>
                <w:color w:val="000000" w:themeColor="text1"/>
                <w:sz w:val="24"/>
                <w:szCs w:val="21"/>
                <w:highlight w:val="none"/>
                <w:lang w:val="en-US" w:eastAsia="zh-CN"/>
                <w14:textFill>
                  <w14:solidFill>
                    <w14:schemeClr w14:val="tx1"/>
                  </w14:solidFill>
                </w14:textFill>
              </w:rPr>
              <w:t>2.7 水平衡</w:t>
            </w:r>
          </w:p>
          <w:p w14:paraId="598DAF46">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本项目用水来源为园区供水管网，用水主要包括生活用水和生产用水，其中生产用水为纯化水制备用水和清洗用水等；生活用水为职工生活用水。</w:t>
            </w:r>
          </w:p>
          <w:p w14:paraId="6A7223CD">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1、生产用水</w:t>
            </w:r>
          </w:p>
          <w:p w14:paraId="3AB34434">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（1）纯化水制备用水</w:t>
            </w:r>
          </w:p>
          <w:p w14:paraId="099CD418">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根据建设单位提供资料，项目设置纯化水制备机，产生的纯化水用于生产过程产品的清洗检验、抛光、显影、刻蚀等环节，纯化水制备率约70%，纯化水制备机年工作250天，新鲜水用量为48t/d（12000t/a），则纯化水制备量为33.6t/d（8400t/a），纯化水制备浓水产生量为14.4t/d（3600t/a）。纯化水制备浓水仅是硬度、电导率略高于市政原水，可用于项目空调机房、水泵房补水，多余的排入市政污水管网。</w:t>
            </w:r>
          </w:p>
          <w:p w14:paraId="421E4A85">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其中玻璃刻蚀用水量约8t/d，废水排放系数按90%计算，则含氟废水排放量为7.2t/d（1800t/a）。</w:t>
            </w:r>
          </w:p>
          <w:p w14:paraId="78C1A9BD">
            <w:pPr>
              <w:spacing w:line="360" w:lineRule="auto"/>
              <w:ind w:firstLine="480" w:firstLineChars="200"/>
              <w:rPr>
                <w:rFonts w:hint="default"/>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金属刻蚀环节用水量约8t/d，废水排放系数按90%计算，则含硝酸铈铵废水排放量为7.2t/d（1800t/a）。因该股废水含铈，铈为稀土重金属，大学城污水处理厂不接纳涉重金属废水，因此该股废水作为废液，即危险废物处理。</w:t>
            </w:r>
          </w:p>
          <w:p w14:paraId="5D3C8C49">
            <w:pPr>
              <w:spacing w:line="360" w:lineRule="auto"/>
              <w:ind w:firstLine="480" w:firstLineChars="200"/>
              <w:rPr>
                <w:rFonts w:hint="default"/>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其他含酸碱清洗用水量17.6t/d，废水排放系数按90%计算，则酸碱清洗废水排放量为15.84t/d（3960t/a）</w:t>
            </w:r>
          </w:p>
          <w:p w14:paraId="14C245D4">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（2）一般清洗用水</w:t>
            </w:r>
          </w:p>
          <w:p w14:paraId="368DB263">
            <w:pPr>
              <w:spacing w:line="360" w:lineRule="auto"/>
              <w:ind w:firstLine="480" w:firstLineChars="200"/>
              <w:rPr>
                <w:rFonts w:hint="default"/>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成形后的玻璃表面清洗、细磨工序清洗等环节使用市政原水，用水量约8t/d。废水排放系数按90%计算，则废水排放量为7.2t/d（1800t/a）。</w:t>
            </w:r>
          </w:p>
          <w:p w14:paraId="4BA5665F">
            <w:pPr>
              <w:spacing w:line="360" w:lineRule="auto"/>
              <w:ind w:firstLine="480" w:firstLineChars="200"/>
              <w:rPr>
                <w:rFonts w:hint="default"/>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（3）酸性及碱性废气处理设施补水</w:t>
            </w:r>
          </w:p>
          <w:p w14:paraId="04075E5C">
            <w:pPr>
              <w:spacing w:line="360" w:lineRule="auto"/>
              <w:ind w:firstLine="480" w:firstLineChars="200"/>
              <w:rPr>
                <w:rFonts w:hint="default"/>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酸性废气处理设施喷淋塔补水量约为2t/d。废水排放系数按90%计算，则废水排放量为1.8t/d（450t/a）；碱性废气处理设施喷淋塔补水量约为2t/d。废水排放系数按90%计算，则废水排放量为1.8t/d（450t/a）。</w:t>
            </w:r>
          </w:p>
          <w:p w14:paraId="15B34DB8">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2、生活用水</w:t>
            </w:r>
          </w:p>
          <w:p w14:paraId="62A56F36">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本项目新增职工人数150人，均不住厂。不住厂人员用水定额按50L/（人·d），则生活用水量为7.5t/d（1875t/a），产污系数为90%，则项目生活污水产生量为6.75t/d（1687.5t/a）。</w:t>
            </w:r>
          </w:p>
          <w:p w14:paraId="6F22FFAC">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综上所述，项目总用水量为67.5t/d（16875t/a）。</w:t>
            </w:r>
          </w:p>
          <w:p w14:paraId="6C0B1EB1">
            <w:pPr>
              <w:pStyle w:val="37"/>
              <w:rPr>
                <w:rFonts w:hint="default"/>
                <w:b w:val="0"/>
                <w:color w:val="000000" w:themeColor="text1"/>
                <w:sz w:val="24"/>
                <w:szCs w:val="21"/>
                <w:highlight w:val="none"/>
                <w:lang w:val="en-US" w:eastAsia="zh-CN"/>
                <w14:textFill>
                  <w14:solidFill>
                    <w14:schemeClr w14:val="tx1"/>
                  </w14:solidFill>
                </w14:textFill>
              </w:rPr>
            </w:pPr>
            <w:r>
              <w:rPr>
                <w:rFonts w:hint="eastAsia"/>
                <w:b w:val="0"/>
                <w:color w:val="000000" w:themeColor="text1"/>
                <w:sz w:val="24"/>
                <w:szCs w:val="21"/>
                <w:highlight w:val="none"/>
                <w:lang w:val="en-US" w:eastAsia="zh-CN"/>
                <w14:textFill>
                  <w14:solidFill>
                    <w14:schemeClr w14:val="tx1"/>
                  </w14:solidFill>
                </w14:textFill>
              </w:rPr>
              <w:t>2.8 项目平面布置合理性分析</w:t>
            </w:r>
          </w:p>
          <w:p w14:paraId="77F9AFC5">
            <w:pPr>
              <w:spacing w:line="360" w:lineRule="auto"/>
              <w:ind w:firstLine="480" w:firstLineChars="200"/>
              <w:rPr>
                <w:rFonts w:hint="default"/>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（1）厂房布置情况</w:t>
            </w:r>
          </w:p>
          <w:p w14:paraId="39E37979">
            <w:pPr>
              <w:spacing w:line="360" w:lineRule="auto"/>
              <w:ind w:firstLine="480" w:firstLineChars="200"/>
              <w:rPr>
                <w:rFonts w:hint="default"/>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至期光子现有工程租赁</w:t>
            </w:r>
            <w:r>
              <w:rPr>
                <w:rFonts w:hint="eastAsia"/>
                <w:color w:val="000000" w:themeColor="text1"/>
                <w:sz w:val="24"/>
                <w:szCs w:val="32"/>
                <w:highlight w:val="none"/>
                <w:lang w:eastAsia="zh-CN"/>
                <w14:textFill>
                  <w14:solidFill>
                    <w14:schemeClr w14:val="tx1"/>
                  </w14:solidFill>
                </w14:textFill>
              </w:rPr>
              <w:t>福建省菲格园区开发管理有限公司2#厂房，</w:t>
            </w:r>
            <w:r>
              <w:rPr>
                <w:rFonts w:hint="eastAsia"/>
                <w:color w:val="000000" w:themeColor="text1"/>
                <w:sz w:val="24"/>
                <w:szCs w:val="32"/>
                <w:highlight w:val="none"/>
                <w:lang w:val="en-US" w:eastAsia="zh-CN"/>
                <w14:textFill>
                  <w14:solidFill>
                    <w14:schemeClr w14:val="tx1"/>
                  </w14:solidFill>
                </w14:textFill>
              </w:rPr>
              <w:t>2#厂房内仅有至期光子，无其他企业入驻。现有工程平面布置见附图6~8。</w:t>
            </w:r>
          </w:p>
          <w:p w14:paraId="1CF3440C">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本项目租赁福建省菲格园区开发管理有限公司1#厂房1层，1</w:t>
            </w:r>
            <w:r>
              <w:rPr>
                <w:rFonts w:hint="eastAsia"/>
                <w:color w:val="000000" w:themeColor="text1"/>
                <w:sz w:val="24"/>
                <w:szCs w:val="32"/>
                <w:highlight w:val="none"/>
                <w:lang w:eastAsia="zh-CN"/>
                <w14:textFill>
                  <w14:solidFill>
                    <w14:schemeClr w14:val="tx1"/>
                  </w14:solidFill>
                </w14:textFill>
              </w:rPr>
              <w:t>#厂房主体均已建成，</w:t>
            </w:r>
            <w:r>
              <w:rPr>
                <w:rFonts w:hint="eastAsia"/>
                <w:color w:val="000000" w:themeColor="text1"/>
                <w:sz w:val="24"/>
                <w:szCs w:val="32"/>
                <w:highlight w:val="none"/>
                <w:lang w:val="en-US" w:eastAsia="zh-CN"/>
                <w14:textFill>
                  <w14:solidFill>
                    <w14:schemeClr w14:val="tx1"/>
                  </w14:solidFill>
                </w14:textFill>
              </w:rPr>
              <w:t>整栋现状为空置状态，无企业入驻。1#厂房位于2#厂房北侧，本项目与现有工程的位置关系见附图4。</w:t>
            </w:r>
          </w:p>
          <w:p w14:paraId="4E9FFDB7">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（2）本项目平面布置情况</w:t>
            </w:r>
          </w:p>
          <w:p w14:paraId="065E9F05">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本项目平面布置图详见附图9。</w:t>
            </w:r>
          </w:p>
          <w:p w14:paraId="068F57A7">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厂房设置了洁净人员入口、非洁净入口、公共入口三类人员入口，严格区分洁净生产人员、普通办公/辅助人员与访客，避免不同洁净等级人流交叉污染。厂房西侧设原材料进货口，东侧设物流出口与二期物流出口，实现“原材料西进、成品/废弃物东出”的单向物流流向，避免物料往返交叉；包材库、物料库紧邻进货口，缩短入库搬运距离，提升物流效率。包材库、物料库集中于西侧进货口附近，实现“进货-仓储-生产”的短路径衔接，避免物料长距离搬运。</w:t>
            </w:r>
          </w:p>
          <w:p w14:paraId="19FBA8D6">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核心洁净生产区集中于中部，外围环绕非洁净辅助区（仓库、机房、门厅等），形成“核心洁净+外围辅助”的圈层布局，既减少洁净区面积以降低能耗，又能有效阻隔外界污染。打样区紧邻洁净区与物料库，方便样品试制与物料流转；洁净餐厅嵌入洁净区中部，避免洁净人员频繁更衣进出洁净区，降低污染风险。纯水机房、空压机房、空调机房均靠近洁净区布置，大幅缩短水、气、风管线长度，减少压力/能量损耗，降低运维成本。公用工程机房（空压、纯水）与生产区物理分隔，减少火灾/爆炸风险传导。</w:t>
            </w:r>
          </w:p>
          <w:p w14:paraId="1472AF7E">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项目噪声级较高的设备大部分安装在厂房内部位置。项目不在厂内设生活区。废气治理设施紧邻车间布置，减少了有机废气的输送距离；危废间独立布置于西南角，远离洁净区与人员密集区，危险废物暂存间布置远离敏感点，降低风险事故对人群的影响。</w:t>
            </w:r>
          </w:p>
          <w:p w14:paraId="75815571">
            <w:pPr>
              <w:spacing w:line="360" w:lineRule="auto"/>
              <w:ind w:firstLine="480" w:firstLineChars="200"/>
              <w:rPr>
                <w:rFonts w:hint="default"/>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（3）本项目平面布置合理性分析</w:t>
            </w:r>
          </w:p>
          <w:p w14:paraId="5FA69BAD">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项目各车间内整体布局紧凑，便于工艺流程的进行和成品的堆放，使物流通畅；功能分区明确；在厂房与周围建筑物间留出必要的间距和通道，符合防火、卫生、安全要求。厂房平面布局基本上做到按照生产工艺流程布置，功能区布局明确，物流顺畅。从环境影响的角度看，项目环保设施平面布置基本合理。</w:t>
            </w:r>
          </w:p>
          <w:p w14:paraId="2443CCD9">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本项目属于超精密光学元器件制造，为光电子精密加工行业，以物理加工、精密研磨、清洗、镀膜为主，污染物以少量工艺废气、清洗废水、设备噪声等为主。1#厂房目前整栋空置，无其他企业，不存在相互干扰冲突等问题，相容性较好；南侧2#厂房为本公司已建同类型光学项目，工艺相近，且为两栋相互独立的建筑，不会相互影响，相容性较好。</w:t>
            </w:r>
          </w:p>
          <w:p w14:paraId="7C702F59">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项目当地常年主导风向为东南风，说明其下风向（西北侧）受污染的概率最高，项目生产车间拟将有机废气处理设施及排气筒设置在西南侧，均不在年主导风向上风向，且下风向500m范围内无环保目标，侧风向有南湖公寓这一处环保目标，可降低废气对周边居住区的影响。</w:t>
            </w:r>
          </w:p>
          <w:p w14:paraId="11DF98B2">
            <w:pPr>
              <w:spacing w:line="360" w:lineRule="auto"/>
              <w:ind w:firstLine="480" w:firstLineChars="200"/>
              <w:rPr>
                <w:rFonts w:hint="eastAsia"/>
                <w:b/>
                <w:color w:val="000000" w:themeColor="text1"/>
                <w:sz w:val="24"/>
                <w:szCs w:val="24"/>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综上所述，本项目的总平布置基本合理。</w:t>
            </w:r>
          </w:p>
          <w:p w14:paraId="251697B2">
            <w:pPr>
              <w:pStyle w:val="37"/>
              <w:rPr>
                <w:rFonts w:hint="default" w:eastAsia="黑体"/>
                <w:color w:val="000000" w:themeColor="text1"/>
                <w:sz w:val="24"/>
                <w:szCs w:val="21"/>
                <w:highlight w:val="none"/>
                <w:lang w:val="en-US" w:eastAsia="zh-CN"/>
                <w14:textFill>
                  <w14:solidFill>
                    <w14:schemeClr w14:val="tx1"/>
                  </w14:solidFill>
                </w14:textFill>
              </w:rPr>
            </w:pPr>
            <w:r>
              <w:rPr>
                <w:color w:val="000000" w:themeColor="text1"/>
                <w:sz w:val="24"/>
                <w:szCs w:val="21"/>
                <w:highlight w:val="none"/>
                <w14:textFill>
                  <w14:solidFill>
                    <w14:schemeClr w14:val="tx1"/>
                  </w14:solidFill>
                </w14:textFill>
              </w:rPr>
              <w:t>2.</w:t>
            </w:r>
            <w:r>
              <w:rPr>
                <w:rFonts w:hint="eastAsia"/>
                <w:color w:val="000000" w:themeColor="text1"/>
                <w:sz w:val="24"/>
                <w:szCs w:val="21"/>
                <w:highlight w:val="none"/>
                <w:lang w:val="en-US" w:eastAsia="zh-CN"/>
                <w14:textFill>
                  <w14:solidFill>
                    <w14:schemeClr w14:val="tx1"/>
                  </w14:solidFill>
                </w14:textFill>
              </w:rPr>
              <w:t>9</w:t>
            </w:r>
            <w:r>
              <w:rPr>
                <w:color w:val="000000" w:themeColor="text1"/>
                <w:sz w:val="24"/>
                <w:szCs w:val="21"/>
                <w:highlight w:val="none"/>
                <w14:textFill>
                  <w14:solidFill>
                    <w14:schemeClr w14:val="tx1"/>
                  </w14:solidFill>
                </w14:textFill>
              </w:rPr>
              <w:t xml:space="preserve"> </w:t>
            </w:r>
            <w:r>
              <w:rPr>
                <w:rFonts w:hint="eastAsia"/>
                <w:color w:val="000000" w:themeColor="text1"/>
                <w:sz w:val="24"/>
                <w:szCs w:val="21"/>
                <w:highlight w:val="none"/>
                <w14:textFill>
                  <w14:solidFill>
                    <w14:schemeClr w14:val="tx1"/>
                  </w14:solidFill>
                </w14:textFill>
              </w:rPr>
              <w:t>工艺流程</w:t>
            </w:r>
            <w:r>
              <w:rPr>
                <w:rFonts w:hint="eastAsia"/>
                <w:color w:val="000000" w:themeColor="text1"/>
                <w:sz w:val="24"/>
                <w:szCs w:val="21"/>
                <w:highlight w:val="none"/>
                <w:lang w:val="en-US" w:eastAsia="zh-CN"/>
                <w14:textFill>
                  <w14:solidFill>
                    <w14:schemeClr w14:val="tx1"/>
                  </w14:solidFill>
                </w14:textFill>
              </w:rPr>
              <w:t>及产污环节</w:t>
            </w:r>
          </w:p>
          <w:p w14:paraId="75CD6BC8">
            <w:pPr>
              <w:spacing w:line="360" w:lineRule="auto"/>
              <w:ind w:firstLine="480" w:firstLineChars="200"/>
              <w:rPr>
                <w:rFonts w:hint="eastAsia"/>
                <w:bCs/>
                <w:color w:val="000000" w:themeColor="text1"/>
                <w:sz w:val="24"/>
                <w:szCs w:val="24"/>
                <w:highlight w:val="none"/>
                <w:lang w:val="en-US" w:eastAsia="zh-CN"/>
                <w14:textFill>
                  <w14:solidFill>
                    <w14:schemeClr w14:val="tx1"/>
                  </w14:solidFill>
                </w14:textFill>
              </w:rPr>
            </w:pPr>
            <w:bookmarkStart w:id="8" w:name="_Hlk150355235"/>
            <w:r>
              <w:rPr>
                <w:rFonts w:hint="eastAsia"/>
                <w:bCs/>
                <w:color w:val="000000" w:themeColor="text1"/>
                <w:sz w:val="24"/>
                <w:szCs w:val="24"/>
                <w:highlight w:val="none"/>
                <w:lang w:val="en-US" w:eastAsia="zh-CN"/>
                <w14:textFill>
                  <w14:solidFill>
                    <w14:schemeClr w14:val="tx1"/>
                  </w14:solidFill>
                </w14:textFill>
              </w:rPr>
              <w:t>（一）超精密光学元器件1（吸盘产品）</w:t>
            </w:r>
          </w:p>
          <w:p w14:paraId="3A21FDFC">
            <w:pPr>
              <w:spacing w:line="360" w:lineRule="auto"/>
              <w:ind w:firstLine="480" w:firstLineChars="200"/>
              <w:rPr>
                <w:rFonts w:hint="eastAsia"/>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超精密光学元器件1吸盘产品生产工艺流程及产污环节见下图。</w:t>
            </w:r>
          </w:p>
          <w:p w14:paraId="17672BA6">
            <w:pPr>
              <w:spacing w:line="360" w:lineRule="auto"/>
              <w:jc w:val="center"/>
              <w:rPr>
                <w:rFonts w:hint="default"/>
                <w:bCs/>
                <w:color w:val="000000" w:themeColor="text1"/>
                <w:sz w:val="24"/>
                <w:szCs w:val="24"/>
                <w:highlight w:val="none"/>
                <w:lang w:val="en-US" w:eastAsia="zh-CN"/>
                <w14:textFill>
                  <w14:solidFill>
                    <w14:schemeClr w14:val="tx1"/>
                  </w14:solidFill>
                </w14:textFill>
              </w:rPr>
            </w:pPr>
          </w:p>
          <w:p w14:paraId="66BD562C">
            <w:pPr>
              <w:spacing w:line="360" w:lineRule="auto"/>
              <w:jc w:val="center"/>
              <w:rPr>
                <w:rFonts w:hint="eastAsia"/>
                <w:bCs/>
                <w:color w:val="000000" w:themeColor="text1"/>
                <w:sz w:val="24"/>
                <w:szCs w:val="24"/>
                <w:highlight w:val="none"/>
                <w:lang w:val="en-US" w:eastAsia="zh-CN"/>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 xml:space="preserve">图 </w:t>
            </w:r>
            <w:r>
              <w:rPr>
                <w:b/>
                <w:bCs/>
                <w:color w:val="000000" w:themeColor="text1"/>
                <w:sz w:val="24"/>
                <w:szCs w:val="24"/>
                <w:highlight w:val="none"/>
                <w14:textFill>
                  <w14:solidFill>
                    <w14:schemeClr w14:val="tx1"/>
                  </w14:solidFill>
                </w14:textFill>
              </w:rPr>
              <w:t>2</w:t>
            </w:r>
            <w:r>
              <w:rPr>
                <w:rFonts w:hint="eastAsia"/>
                <w:b/>
                <w:bCs/>
                <w:color w:val="000000" w:themeColor="text1"/>
                <w:sz w:val="24"/>
                <w:szCs w:val="24"/>
                <w:highlight w:val="none"/>
                <w:lang w:val="en-US" w:eastAsia="zh-CN"/>
                <w14:textFill>
                  <w14:solidFill>
                    <w14:schemeClr w14:val="tx1"/>
                  </w14:solidFill>
                </w14:textFill>
              </w:rPr>
              <w:t>.9-1</w:t>
            </w:r>
            <w:r>
              <w:rPr>
                <w:b/>
                <w:bCs/>
                <w:color w:val="000000" w:themeColor="text1"/>
                <w:sz w:val="24"/>
                <w:szCs w:val="24"/>
                <w:highlight w:val="none"/>
                <w14:textFill>
                  <w14:solidFill>
                    <w14:schemeClr w14:val="tx1"/>
                  </w14:solidFill>
                </w14:textFill>
              </w:rPr>
              <w:t xml:space="preserve">  </w:t>
            </w:r>
            <w:r>
              <w:rPr>
                <w:rFonts w:hint="eastAsia"/>
                <w:b/>
                <w:bCs/>
                <w:color w:val="000000" w:themeColor="text1"/>
                <w:sz w:val="24"/>
                <w:szCs w:val="24"/>
                <w:highlight w:val="none"/>
                <w:lang w:val="en-US" w:eastAsia="zh-CN"/>
                <w14:textFill>
                  <w14:solidFill>
                    <w14:schemeClr w14:val="tx1"/>
                  </w14:solidFill>
                </w14:textFill>
              </w:rPr>
              <w:t>超精密光学元器件1生产</w:t>
            </w:r>
            <w:r>
              <w:rPr>
                <w:rFonts w:hint="eastAsia"/>
                <w:b/>
                <w:bCs/>
                <w:color w:val="000000" w:themeColor="text1"/>
                <w:sz w:val="24"/>
                <w:szCs w:val="24"/>
                <w:highlight w:val="none"/>
                <w14:textFill>
                  <w14:solidFill>
                    <w14:schemeClr w14:val="tx1"/>
                  </w14:solidFill>
                </w14:textFill>
              </w:rPr>
              <w:t>工艺流程</w:t>
            </w:r>
            <w:r>
              <w:rPr>
                <w:rFonts w:hint="eastAsia"/>
                <w:b/>
                <w:bCs/>
                <w:color w:val="000000" w:themeColor="text1"/>
                <w:sz w:val="24"/>
                <w:szCs w:val="24"/>
                <w:highlight w:val="none"/>
                <w:lang w:val="en-US" w:eastAsia="zh-CN"/>
                <w14:textFill>
                  <w14:solidFill>
                    <w14:schemeClr w14:val="tx1"/>
                  </w14:solidFill>
                </w14:textFill>
              </w:rPr>
              <w:t>及产污环节</w:t>
            </w:r>
          </w:p>
          <w:p w14:paraId="2F07D7BA">
            <w:pPr>
              <w:spacing w:line="360" w:lineRule="auto"/>
              <w:ind w:firstLine="480" w:firstLineChars="200"/>
              <w:rPr>
                <w:rFonts w:hint="eastAsia"/>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超精密光学元器件1生产工艺流程主要为：</w:t>
            </w:r>
          </w:p>
          <w:p w14:paraId="02CD6768">
            <w:pPr>
              <w:spacing w:line="360" w:lineRule="auto"/>
              <w:ind w:firstLine="480" w:firstLineChars="200"/>
              <w:rPr>
                <w:rFonts w:hint="eastAsia"/>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1）成形：利用切割机、铣磨机、研磨机对整块光学玻璃进行切割、整平、铣磨加工成需要的尺寸和形状。加工成形的光学玻璃先用抹布擦拭掉表面的油污后再利用清洗剂清洗表面，加工过程中产生玻璃边角料、含油抹布、清洗废液。</w:t>
            </w:r>
          </w:p>
          <w:p w14:paraId="2962B985">
            <w:pPr>
              <w:spacing w:line="360" w:lineRule="auto"/>
              <w:ind w:firstLine="480" w:firstLineChars="200"/>
              <w:rPr>
                <w:rFonts w:hint="eastAsia"/>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（2）清洗、型料检验：成形后的光学玻璃用水进行清洗，型料验收也需使用水进行清洗，清洗过程产生清洗废水。</w:t>
            </w:r>
          </w:p>
          <w:p w14:paraId="5322DFA2">
            <w:pPr>
              <w:spacing w:line="360" w:lineRule="auto"/>
              <w:ind w:firstLine="480" w:firstLineChars="200"/>
              <w:rPr>
                <w:rFonts w:hint="eastAsia"/>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（3）细磨：将玻璃型料毛坯用研磨机用砂水混合物加工成具有一定几何形状、尺寸精度和表面粗糙度等。加工过程中需用清水进行冲洗，形成废水，研磨过程中采用金刚砂，金刚砂沉淀，产生固废；</w:t>
            </w:r>
          </w:p>
          <w:p w14:paraId="1CB1B799">
            <w:pPr>
              <w:spacing w:line="360" w:lineRule="auto"/>
              <w:ind w:firstLine="480" w:firstLineChars="200"/>
              <w:rPr>
                <w:rFonts w:hint="eastAsia"/>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（4）抛光：利用抛光机将细磨好的产品在抛光模上用抛光粉加清水混合液进行抛光，加工达到产品的工艺要求。加工过程中需用清水进行冲洗，产生废水；</w:t>
            </w:r>
          </w:p>
          <w:p w14:paraId="21ECF94C">
            <w:pPr>
              <w:spacing w:line="360" w:lineRule="auto"/>
              <w:ind w:firstLine="480" w:firstLineChars="200"/>
              <w:rPr>
                <w:rFonts w:hint="eastAsia"/>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5）镀膜：采用镀膜机真空镀膜。真空镀膜是利用膜材加热装置的热能将膜材加热蒸发，并在真空条件下，使膜材原子靠热运动而逸出膜材表面，并沉积到产品表面上的一种技术。镀膜过程每种膜材使用1个坩埚，不混合使用，剩余的膜材待下次镀膜时继续使用，无丢弃膜材。镀膜机加工，镀膜机运行，形成噪声。</w:t>
            </w:r>
          </w:p>
          <w:p w14:paraId="184F1A14">
            <w:pPr>
              <w:spacing w:line="360" w:lineRule="auto"/>
              <w:ind w:firstLine="480" w:firstLineChars="200"/>
              <w:rPr>
                <w:rFonts w:hint="eastAsia"/>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6）清洗检验：将抛光后的产品利用超声波清洗采用有机溶剂清洗，再用硫酸浸泡。有机溶剂挥发产生废气；清洗剂加入清洗后，清洗槽内的所有的清洗剂和废水全部为危废，工件晾干后，才能进入下一道工序。</w:t>
            </w:r>
          </w:p>
          <w:p w14:paraId="276AFC0D">
            <w:pPr>
              <w:spacing w:line="360" w:lineRule="auto"/>
              <w:ind w:firstLine="480" w:firstLineChars="200"/>
              <w:rPr>
                <w:rFonts w:hint="eastAsia"/>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（7）装配：需要装配的产品将光学玻璃根据装配图要求装在机械件上，使用胶水将产生有机废气。</w:t>
            </w:r>
          </w:p>
          <w:p w14:paraId="260CA63E">
            <w:pPr>
              <w:spacing w:line="360" w:lineRule="auto"/>
              <w:ind w:firstLine="480" w:firstLineChars="200"/>
              <w:rPr>
                <w:rFonts w:hint="eastAsia"/>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（7）检测：各道工序结束后，需要采用无水乙醇、无水乙醚和丙酮进行检测，检测过程中会产生不合格品。</w:t>
            </w:r>
          </w:p>
          <w:p w14:paraId="2A7D946C">
            <w:pPr>
              <w:spacing w:line="360" w:lineRule="auto"/>
              <w:ind w:firstLine="480" w:firstLineChars="200"/>
              <w:rPr>
                <w:rFonts w:hint="eastAsia"/>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（8）包装：产品发货前用包装物包装处理。</w:t>
            </w:r>
          </w:p>
          <w:p w14:paraId="5A73A9B9">
            <w:pPr>
              <w:spacing w:line="360" w:lineRule="auto"/>
              <w:ind w:firstLine="480" w:firstLineChars="200"/>
              <w:rPr>
                <w:rFonts w:hint="eastAsia"/>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（二）超精密光学元器件2（微纳产品）</w:t>
            </w:r>
          </w:p>
          <w:p w14:paraId="1E3400B0">
            <w:pPr>
              <w:spacing w:line="360" w:lineRule="auto"/>
              <w:ind w:firstLine="480" w:firstLineChars="200"/>
              <w:rPr>
                <w:rFonts w:hint="eastAsia"/>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超精密光学元器件2微纳产品生产工艺流程及产污环节见下图。</w:t>
            </w:r>
          </w:p>
          <w:p w14:paraId="6E34F09B">
            <w:pPr>
              <w:spacing w:line="360" w:lineRule="auto"/>
              <w:jc w:val="center"/>
              <w:rPr>
                <w:rFonts w:hint="default"/>
                <w:bCs/>
                <w:color w:val="000000" w:themeColor="text1"/>
                <w:sz w:val="24"/>
                <w:szCs w:val="24"/>
                <w:highlight w:val="none"/>
                <w:lang w:val="en-US" w:eastAsia="zh-CN"/>
                <w14:textFill>
                  <w14:solidFill>
                    <w14:schemeClr w14:val="tx1"/>
                  </w14:solidFill>
                </w14:textFill>
              </w:rPr>
            </w:pPr>
          </w:p>
          <w:p w14:paraId="6D6794C2">
            <w:pPr>
              <w:spacing w:line="360" w:lineRule="auto"/>
              <w:jc w:val="center"/>
              <w:rPr>
                <w:rFonts w:hint="default" w:eastAsia="宋体"/>
                <w:bCs/>
                <w:color w:val="000000" w:themeColor="text1"/>
                <w:sz w:val="24"/>
                <w:szCs w:val="24"/>
                <w:highlight w:val="none"/>
                <w:lang w:val="en-US" w:eastAsia="zh-CN"/>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 xml:space="preserve">图 </w:t>
            </w:r>
            <w:r>
              <w:rPr>
                <w:b/>
                <w:bCs/>
                <w:color w:val="000000" w:themeColor="text1"/>
                <w:sz w:val="24"/>
                <w:szCs w:val="24"/>
                <w:highlight w:val="none"/>
                <w14:textFill>
                  <w14:solidFill>
                    <w14:schemeClr w14:val="tx1"/>
                  </w14:solidFill>
                </w14:textFill>
              </w:rPr>
              <w:t>2</w:t>
            </w:r>
            <w:r>
              <w:rPr>
                <w:rFonts w:hint="eastAsia"/>
                <w:b/>
                <w:bCs/>
                <w:color w:val="000000" w:themeColor="text1"/>
                <w:sz w:val="24"/>
                <w:szCs w:val="24"/>
                <w:highlight w:val="none"/>
                <w:lang w:val="en-US" w:eastAsia="zh-CN"/>
                <w14:textFill>
                  <w14:solidFill>
                    <w14:schemeClr w14:val="tx1"/>
                  </w14:solidFill>
                </w14:textFill>
              </w:rPr>
              <w:t>.9-2</w:t>
            </w:r>
            <w:r>
              <w:rPr>
                <w:b/>
                <w:bCs/>
                <w:color w:val="000000" w:themeColor="text1"/>
                <w:sz w:val="24"/>
                <w:szCs w:val="24"/>
                <w:highlight w:val="none"/>
                <w14:textFill>
                  <w14:solidFill>
                    <w14:schemeClr w14:val="tx1"/>
                  </w14:solidFill>
                </w14:textFill>
              </w:rPr>
              <w:t xml:space="preserve">  </w:t>
            </w:r>
            <w:r>
              <w:rPr>
                <w:rFonts w:hint="eastAsia"/>
                <w:b/>
                <w:bCs/>
                <w:color w:val="000000" w:themeColor="text1"/>
                <w:sz w:val="24"/>
                <w:szCs w:val="24"/>
                <w:highlight w:val="none"/>
                <w:lang w:val="en-US" w:eastAsia="zh-CN"/>
                <w14:textFill>
                  <w14:solidFill>
                    <w14:schemeClr w14:val="tx1"/>
                  </w14:solidFill>
                </w14:textFill>
              </w:rPr>
              <w:t>超精密光学元器件2生产</w:t>
            </w:r>
            <w:r>
              <w:rPr>
                <w:rFonts w:hint="eastAsia"/>
                <w:b/>
                <w:bCs/>
                <w:color w:val="000000" w:themeColor="text1"/>
                <w:sz w:val="24"/>
                <w:szCs w:val="24"/>
                <w:highlight w:val="none"/>
                <w14:textFill>
                  <w14:solidFill>
                    <w14:schemeClr w14:val="tx1"/>
                  </w14:solidFill>
                </w14:textFill>
              </w:rPr>
              <w:t>工艺流程</w:t>
            </w:r>
            <w:r>
              <w:rPr>
                <w:rFonts w:hint="eastAsia"/>
                <w:b/>
                <w:bCs/>
                <w:color w:val="000000" w:themeColor="text1"/>
                <w:sz w:val="24"/>
                <w:szCs w:val="24"/>
                <w:highlight w:val="none"/>
                <w:lang w:val="en-US" w:eastAsia="zh-CN"/>
                <w14:textFill>
                  <w14:solidFill>
                    <w14:schemeClr w14:val="tx1"/>
                  </w14:solidFill>
                </w14:textFill>
              </w:rPr>
              <w:t>及产污环节</w:t>
            </w:r>
          </w:p>
          <w:p w14:paraId="061DA7A7">
            <w:pPr>
              <w:spacing w:line="360" w:lineRule="auto"/>
              <w:ind w:firstLine="480" w:firstLineChars="200"/>
              <w:rPr>
                <w:rFonts w:hint="default"/>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超精密光学元器件2生产工艺流程主要有：基片擦拭/清洗→基片涂胶→烘烤→曝光显影→湿法刻蚀→去残胶→清洁→包装→仓库。具体如下：</w:t>
            </w:r>
          </w:p>
          <w:p w14:paraId="6F300D84">
            <w:pPr>
              <w:spacing w:line="360" w:lineRule="auto"/>
              <w:ind w:firstLine="480" w:firstLineChars="200"/>
              <w:rPr>
                <w:rFonts w:hint="eastAsia"/>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（1）基片擦拭/清洗环节：</w:t>
            </w:r>
            <w:bookmarkStart w:id="9" w:name="OLE_LINK1"/>
            <w:r>
              <w:rPr>
                <w:rFonts w:hint="eastAsia"/>
                <w:bCs/>
                <w:color w:val="000000" w:themeColor="text1"/>
                <w:sz w:val="24"/>
                <w:szCs w:val="24"/>
                <w:highlight w:val="none"/>
                <w:lang w:val="en-US" w:eastAsia="zh-CN"/>
                <w14:textFill>
                  <w14:solidFill>
                    <w14:schemeClr w14:val="tx1"/>
                  </w14:solidFill>
                </w14:textFill>
              </w:rPr>
              <w:t>使用擦拭纸沾擦拭液（乙醇、乙醚、丙酮）擦拭基片，产生沾有酒精、乙醚、丙酮的擦拭纸废弃物，但乙醇、乙醚、丙酮一般会挥发。</w:t>
            </w:r>
            <w:bookmarkEnd w:id="9"/>
          </w:p>
          <w:p w14:paraId="6A158E00">
            <w:pPr>
              <w:spacing w:line="360" w:lineRule="auto"/>
              <w:ind w:firstLine="480" w:firstLineChars="200"/>
              <w:rPr>
                <w:rFonts w:hint="eastAsia"/>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（2）涂胶环节：使用光刻胶，六甲基二硅杂氮烷、1,2-2-丙二醇甲醚醋酸酯混合液，涂覆到基片上，产生用剩的瓶子粘有的混合液。</w:t>
            </w:r>
          </w:p>
          <w:p w14:paraId="5484B055">
            <w:pPr>
              <w:spacing w:line="360" w:lineRule="auto"/>
              <w:ind w:firstLine="480" w:firstLineChars="200"/>
              <w:rPr>
                <w:rFonts w:hint="eastAsia"/>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（3）烘烤：使用烤盘或烘箱将上道涂覆有光刻胶等混合液的基片烘烤至干，形成光刻胶干膜。</w:t>
            </w:r>
          </w:p>
          <w:p w14:paraId="06BBBDD1">
            <w:pPr>
              <w:spacing w:line="360" w:lineRule="auto"/>
              <w:ind w:firstLine="480" w:firstLineChars="200"/>
              <w:rPr>
                <w:rFonts w:hint="eastAsia"/>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（4）曝光显影：使用光刻系统对涂有光刻胶干膜的基片进行光化学反应，使用2.38% 四甲基氢氧化铵溶解液对基片上已发生光化学反应的光刻胶进行溶解，产生2.38% 四甲基氢氧化铵溶解液废液和废水。</w:t>
            </w:r>
          </w:p>
          <w:p w14:paraId="2CB60D96">
            <w:pPr>
              <w:spacing w:line="360" w:lineRule="auto"/>
              <w:ind w:firstLine="480" w:firstLineChars="200"/>
              <w:rPr>
                <w:rFonts w:hint="default"/>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（5）金属刻蚀：使用磷酸、硝酸铈铵、硝酸、冰乙酸配置液刻蚀基片金属膜层，产生磷酸废液、硝酸铈铵废液、废水。该步出来的基片用纯水反复清洗，直到基片表面检测不出硝酸铈铵。</w:t>
            </w:r>
          </w:p>
          <w:p w14:paraId="61EF635E">
            <w:pPr>
              <w:spacing w:line="360" w:lineRule="auto"/>
              <w:ind w:firstLine="480" w:firstLineChars="200"/>
              <w:rPr>
                <w:rFonts w:hint="eastAsia"/>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（6）玻璃刻蚀：使用氢氟酸、盐酸、氟化铵配置液刻蚀基片玻璃，产生氢氟酸废液、废水。</w:t>
            </w:r>
          </w:p>
          <w:p w14:paraId="6C6BCDEA">
            <w:pPr>
              <w:spacing w:line="360" w:lineRule="auto"/>
              <w:ind w:firstLine="480" w:firstLineChars="200"/>
              <w:rPr>
                <w:rFonts w:hint="eastAsia"/>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（7）去残胶：通过酒精、乙醚、丙酮擦拭或者N-甲基吡咯烷酮浸泡等工艺，将腐蚀后的产品表面的光刻胶去除。</w:t>
            </w:r>
          </w:p>
          <w:p w14:paraId="23E0D9C0">
            <w:pPr>
              <w:spacing w:line="360" w:lineRule="auto"/>
              <w:ind w:firstLine="480" w:firstLineChars="200"/>
              <w:rPr>
                <w:rFonts w:hint="eastAsia"/>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（8）清洁检测：使用擦拭纸沾擦拭液（乙醇、乙醚、丙酮）擦拭基片，产生沾有酒精、乙醚、丙酮的擦拭纸废弃物，但乙醇、乙醚、丙酮一般会挥发。</w:t>
            </w:r>
          </w:p>
          <w:p w14:paraId="1062F77B">
            <w:pPr>
              <w:spacing w:line="360" w:lineRule="auto"/>
              <w:ind w:firstLine="480" w:firstLineChars="200"/>
              <w:rPr>
                <w:rFonts w:hint="eastAsia"/>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（9）包装：产品发货前用包装物包装处理。</w:t>
            </w:r>
          </w:p>
          <w:p w14:paraId="299C737B">
            <w:pPr>
              <w:spacing w:line="360" w:lineRule="auto"/>
              <w:ind w:firstLine="480" w:firstLineChars="200"/>
              <w:rPr>
                <w:rFonts w:hint="default"/>
                <w:bCs/>
                <w:color w:val="000000" w:themeColor="text1"/>
                <w:sz w:val="24"/>
                <w:szCs w:val="24"/>
                <w:highlight w:val="none"/>
                <w:lang w:val="en-US" w:eastAsia="zh-CN"/>
                <w14:textFill>
                  <w14:solidFill>
                    <w14:schemeClr w14:val="tx1"/>
                  </w14:solidFill>
                </w14:textFill>
              </w:rPr>
            </w:pPr>
            <w:r>
              <w:rPr>
                <w:rFonts w:hint="eastAsia"/>
                <w:bCs/>
                <w:color w:val="000000" w:themeColor="text1"/>
                <w:sz w:val="24"/>
                <w:szCs w:val="24"/>
                <w:highlight w:val="none"/>
                <w:lang w:val="en-US" w:eastAsia="zh-CN"/>
                <w14:textFill>
                  <w14:solidFill>
                    <w14:schemeClr w14:val="tx1"/>
                  </w14:solidFill>
                </w14:textFill>
              </w:rPr>
              <w:t>综上，本项目运营期产污环节见下表。</w:t>
            </w:r>
          </w:p>
          <w:p w14:paraId="560772E9">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default" w:eastAsia="宋体"/>
                <w:b/>
                <w:color w:val="000000" w:themeColor="text1"/>
                <w:sz w:val="24"/>
                <w:szCs w:val="24"/>
                <w:highlight w:val="none"/>
                <w:lang w:val="en-US" w:eastAsia="zh-CN"/>
                <w14:textFill>
                  <w14:solidFill>
                    <w14:schemeClr w14:val="tx1"/>
                  </w14:solidFill>
                </w14:textFill>
              </w:rPr>
            </w:pPr>
            <w:r>
              <w:rPr>
                <w:rFonts w:hint="eastAsia"/>
                <w:b/>
                <w:color w:val="000000" w:themeColor="text1"/>
                <w:sz w:val="24"/>
                <w:szCs w:val="24"/>
                <w:highlight w:val="none"/>
                <w14:textFill>
                  <w14:solidFill>
                    <w14:schemeClr w14:val="tx1"/>
                  </w14:solidFill>
                </w14:textFill>
              </w:rPr>
              <w:t>表</w:t>
            </w:r>
            <w:r>
              <w:rPr>
                <w:rFonts w:hint="eastAsia"/>
                <w:b/>
                <w:color w:val="000000" w:themeColor="text1"/>
                <w:sz w:val="24"/>
                <w:szCs w:val="24"/>
                <w:highlight w:val="none"/>
                <w:lang w:val="en-US" w:eastAsia="zh-CN"/>
                <w14:textFill>
                  <w14:solidFill>
                    <w14:schemeClr w14:val="tx1"/>
                  </w14:solidFill>
                </w14:textFill>
              </w:rPr>
              <w:t>2.9-1</w:t>
            </w:r>
            <w:r>
              <w:rPr>
                <w:b/>
                <w:color w:val="000000" w:themeColor="text1"/>
                <w:sz w:val="24"/>
                <w:szCs w:val="24"/>
                <w:highlight w:val="none"/>
                <w14:textFill>
                  <w14:solidFill>
                    <w14:schemeClr w14:val="tx1"/>
                  </w14:solidFill>
                </w14:textFill>
              </w:rPr>
              <w:t xml:space="preserve"> </w:t>
            </w:r>
            <w:r>
              <w:rPr>
                <w:rFonts w:hint="eastAsia"/>
                <w:b/>
                <w:color w:val="000000" w:themeColor="text1"/>
                <w:sz w:val="24"/>
                <w:szCs w:val="24"/>
                <w:highlight w:val="none"/>
                <w:lang w:val="en-US" w:eastAsia="zh-CN"/>
                <w14:textFill>
                  <w14:solidFill>
                    <w14:schemeClr w14:val="tx1"/>
                  </w14:solidFill>
                </w14:textFill>
              </w:rPr>
              <w:t>项目运营期产污环节</w:t>
            </w:r>
            <w:r>
              <w:rPr>
                <w:rFonts w:hint="eastAsia"/>
                <w:b/>
                <w:color w:val="000000" w:themeColor="text1"/>
                <w:sz w:val="24"/>
                <w:szCs w:val="24"/>
                <w:highlight w:val="none"/>
                <w14:textFill>
                  <w14:solidFill>
                    <w14:schemeClr w14:val="tx1"/>
                  </w14:solidFill>
                </w14:textFill>
              </w:rPr>
              <w:t>一览</w:t>
            </w:r>
            <w:r>
              <w:rPr>
                <w:rFonts w:hint="eastAsia"/>
                <w:b/>
                <w:color w:val="000000" w:themeColor="text1"/>
                <w:sz w:val="24"/>
                <w:szCs w:val="24"/>
                <w:highlight w:val="none"/>
                <w:lang w:val="en-US" w:eastAsia="zh-CN"/>
                <w14:textFill>
                  <w14:solidFill>
                    <w14:schemeClr w14:val="tx1"/>
                  </w14:solidFill>
                </w14:textFill>
              </w:rPr>
              <w:t>表</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613"/>
              <w:gridCol w:w="1215"/>
              <w:gridCol w:w="1005"/>
              <w:gridCol w:w="1485"/>
              <w:gridCol w:w="1380"/>
              <w:gridCol w:w="2456"/>
            </w:tblGrid>
            <w:tr w14:paraId="782B0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shd w:val="clear" w:color="auto" w:fill="auto"/>
                  <w:vAlign w:val="center"/>
                </w:tcPr>
                <w:p w14:paraId="72B13558">
                  <w:pPr>
                    <w:keepNext w:val="0"/>
                    <w:keepLines w:val="0"/>
                    <w:pageBreakBefore w:val="0"/>
                    <w:widowControl w:val="0"/>
                    <w:kinsoku/>
                    <w:wordWrap/>
                    <w:overflowPunct/>
                    <w:topLinePunct w:val="0"/>
                    <w:bidi w:val="0"/>
                    <w:adjustRightInd/>
                    <w:snapToGrid/>
                    <w:spacing w:line="240" w:lineRule="auto"/>
                    <w:jc w:val="center"/>
                    <w:textAlignment w:val="auto"/>
                    <w:rPr>
                      <w:rFonts w:hint="default" w:eastAsia="宋体"/>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污染类型</w:t>
                  </w:r>
                </w:p>
              </w:tc>
              <w:tc>
                <w:tcPr>
                  <w:tcW w:w="2220" w:type="dxa"/>
                  <w:gridSpan w:val="2"/>
                  <w:shd w:val="clear" w:color="auto" w:fill="auto"/>
                  <w:vAlign w:val="center"/>
                </w:tcPr>
                <w:p w14:paraId="7D74095C">
                  <w:pPr>
                    <w:keepNext w:val="0"/>
                    <w:keepLines w:val="0"/>
                    <w:pageBreakBefore w:val="0"/>
                    <w:widowControl w:val="0"/>
                    <w:kinsoku/>
                    <w:wordWrap/>
                    <w:overflowPunct/>
                    <w:topLinePunct w:val="0"/>
                    <w:bidi w:val="0"/>
                    <w:adjustRightInd/>
                    <w:snapToGrid/>
                    <w:spacing w:line="240" w:lineRule="auto"/>
                    <w:jc w:val="center"/>
                    <w:textAlignment w:val="auto"/>
                    <w:rPr>
                      <w:rFonts w:hint="default" w:eastAsia="宋体"/>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污染源名称</w:t>
                  </w:r>
                </w:p>
              </w:tc>
              <w:tc>
                <w:tcPr>
                  <w:tcW w:w="1485" w:type="dxa"/>
                  <w:shd w:val="clear" w:color="auto" w:fill="auto"/>
                  <w:vAlign w:val="center"/>
                </w:tcPr>
                <w:p w14:paraId="5215D9B9">
                  <w:pPr>
                    <w:keepNext w:val="0"/>
                    <w:keepLines w:val="0"/>
                    <w:pageBreakBefore w:val="0"/>
                    <w:widowControl w:val="0"/>
                    <w:kinsoku/>
                    <w:wordWrap/>
                    <w:overflowPunct/>
                    <w:topLinePunct w:val="0"/>
                    <w:bidi w:val="0"/>
                    <w:adjustRightInd/>
                    <w:snapToGrid/>
                    <w:spacing w:line="240" w:lineRule="auto"/>
                    <w:jc w:val="center"/>
                    <w:textAlignment w:val="auto"/>
                    <w:rPr>
                      <w:rFonts w:hint="default" w:eastAsia="宋体"/>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产污环节</w:t>
                  </w:r>
                </w:p>
              </w:tc>
              <w:tc>
                <w:tcPr>
                  <w:tcW w:w="1380" w:type="dxa"/>
                  <w:shd w:val="clear" w:color="auto" w:fill="auto"/>
                  <w:vAlign w:val="center"/>
                </w:tcPr>
                <w:p w14:paraId="331FE91E">
                  <w:pPr>
                    <w:keepNext w:val="0"/>
                    <w:keepLines w:val="0"/>
                    <w:pageBreakBefore w:val="0"/>
                    <w:widowControl w:val="0"/>
                    <w:kinsoku/>
                    <w:wordWrap/>
                    <w:overflowPunct/>
                    <w:topLinePunct w:val="0"/>
                    <w:bidi w:val="0"/>
                    <w:adjustRightInd/>
                    <w:snapToGrid/>
                    <w:spacing w:line="240" w:lineRule="auto"/>
                    <w:jc w:val="center"/>
                    <w:textAlignment w:val="auto"/>
                    <w:rPr>
                      <w:rFonts w:hint="default" w:eastAsia="宋体"/>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主要污染物</w:t>
                  </w:r>
                </w:p>
              </w:tc>
              <w:tc>
                <w:tcPr>
                  <w:tcW w:w="2456" w:type="dxa"/>
                  <w:shd w:val="clear" w:color="auto" w:fill="auto"/>
                  <w:vAlign w:val="center"/>
                </w:tcPr>
                <w:p w14:paraId="49E223F0">
                  <w:pPr>
                    <w:keepNext w:val="0"/>
                    <w:keepLines w:val="0"/>
                    <w:pageBreakBefore w:val="0"/>
                    <w:widowControl w:val="0"/>
                    <w:kinsoku/>
                    <w:wordWrap/>
                    <w:overflowPunct/>
                    <w:topLinePunct w:val="0"/>
                    <w:bidi w:val="0"/>
                    <w:adjustRightInd/>
                    <w:snapToGrid/>
                    <w:spacing w:line="240" w:lineRule="auto"/>
                    <w:jc w:val="center"/>
                    <w:textAlignment w:val="auto"/>
                    <w:rPr>
                      <w:rFonts w:hint="default" w:eastAsia="宋体"/>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环保措施</w:t>
                  </w:r>
                </w:p>
              </w:tc>
            </w:tr>
            <w:tr w14:paraId="50AF7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restart"/>
                  <w:shd w:val="clear" w:color="auto" w:fill="auto"/>
                  <w:vAlign w:val="center"/>
                </w:tcPr>
                <w:p w14:paraId="5660BC04">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废气</w:t>
                  </w:r>
                </w:p>
              </w:tc>
              <w:tc>
                <w:tcPr>
                  <w:tcW w:w="1215" w:type="dxa"/>
                  <w:vMerge w:val="restart"/>
                  <w:shd w:val="clear" w:color="auto" w:fill="auto"/>
                  <w:vAlign w:val="center"/>
                </w:tcPr>
                <w:p w14:paraId="0653673A">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粉尘废气</w:t>
                  </w:r>
                </w:p>
              </w:tc>
              <w:tc>
                <w:tcPr>
                  <w:tcW w:w="1005" w:type="dxa"/>
                  <w:shd w:val="clear" w:color="auto" w:fill="auto"/>
                  <w:vAlign w:val="center"/>
                </w:tcPr>
                <w:p w14:paraId="4DB127E4">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G2</w:t>
                  </w:r>
                </w:p>
              </w:tc>
              <w:tc>
                <w:tcPr>
                  <w:tcW w:w="1485" w:type="dxa"/>
                  <w:shd w:val="clear" w:color="auto" w:fill="auto"/>
                  <w:vAlign w:val="center"/>
                </w:tcPr>
                <w:p w14:paraId="783B44F4">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细磨</w:t>
                  </w:r>
                </w:p>
              </w:tc>
              <w:tc>
                <w:tcPr>
                  <w:tcW w:w="1380" w:type="dxa"/>
                  <w:vMerge w:val="restart"/>
                  <w:shd w:val="clear" w:color="auto" w:fill="auto"/>
                  <w:vAlign w:val="center"/>
                </w:tcPr>
                <w:p w14:paraId="70B308B3">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颗粒物</w:t>
                  </w:r>
                </w:p>
              </w:tc>
              <w:tc>
                <w:tcPr>
                  <w:tcW w:w="2456" w:type="dxa"/>
                  <w:vMerge w:val="restart"/>
                  <w:shd w:val="clear" w:color="auto" w:fill="auto"/>
                  <w:vAlign w:val="center"/>
                </w:tcPr>
                <w:p w14:paraId="3ABF4CEC">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集气罩+布袋除尘器+30m高排气筒排放</w:t>
                  </w:r>
                </w:p>
              </w:tc>
            </w:tr>
            <w:tr w14:paraId="088C4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42E7B32F">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215" w:type="dxa"/>
                  <w:vMerge w:val="continue"/>
                  <w:shd w:val="clear" w:color="auto" w:fill="auto"/>
                  <w:vAlign w:val="center"/>
                </w:tcPr>
                <w:p w14:paraId="7B0A1A59">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005" w:type="dxa"/>
                  <w:shd w:val="clear" w:color="auto" w:fill="auto"/>
                  <w:vAlign w:val="center"/>
                </w:tcPr>
                <w:p w14:paraId="7C4498E3">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G3</w:t>
                  </w:r>
                </w:p>
              </w:tc>
              <w:tc>
                <w:tcPr>
                  <w:tcW w:w="1485" w:type="dxa"/>
                  <w:shd w:val="clear" w:color="auto" w:fill="auto"/>
                  <w:vAlign w:val="center"/>
                </w:tcPr>
                <w:p w14:paraId="37455A00">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抛光</w:t>
                  </w:r>
                </w:p>
              </w:tc>
              <w:tc>
                <w:tcPr>
                  <w:tcW w:w="1380" w:type="dxa"/>
                  <w:vMerge w:val="continue"/>
                  <w:shd w:val="clear" w:color="auto" w:fill="auto"/>
                  <w:vAlign w:val="center"/>
                </w:tcPr>
                <w:p w14:paraId="077A4E8D">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2456" w:type="dxa"/>
                  <w:vMerge w:val="continue"/>
                  <w:shd w:val="clear" w:color="auto" w:fill="auto"/>
                  <w:vAlign w:val="center"/>
                </w:tcPr>
                <w:p w14:paraId="569664A9">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r>
            <w:tr w14:paraId="486CA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6A7831DE">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215" w:type="dxa"/>
                  <w:vMerge w:val="continue"/>
                  <w:shd w:val="clear" w:color="auto" w:fill="auto"/>
                  <w:vAlign w:val="center"/>
                </w:tcPr>
                <w:p w14:paraId="0B2343CC">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005" w:type="dxa"/>
                  <w:shd w:val="clear" w:color="auto" w:fill="auto"/>
                  <w:vAlign w:val="center"/>
                </w:tcPr>
                <w:p w14:paraId="7F15088D">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G5</w:t>
                  </w:r>
                </w:p>
              </w:tc>
              <w:tc>
                <w:tcPr>
                  <w:tcW w:w="1485" w:type="dxa"/>
                  <w:shd w:val="clear" w:color="auto" w:fill="auto"/>
                  <w:vAlign w:val="center"/>
                </w:tcPr>
                <w:p w14:paraId="064E5204">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切割</w:t>
                  </w:r>
                </w:p>
              </w:tc>
              <w:tc>
                <w:tcPr>
                  <w:tcW w:w="1380" w:type="dxa"/>
                  <w:vMerge w:val="continue"/>
                  <w:shd w:val="clear" w:color="auto" w:fill="auto"/>
                  <w:vAlign w:val="center"/>
                </w:tcPr>
                <w:p w14:paraId="10E9FA54">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2456" w:type="dxa"/>
                  <w:vMerge w:val="continue"/>
                  <w:shd w:val="clear" w:color="auto" w:fill="auto"/>
                  <w:vAlign w:val="center"/>
                </w:tcPr>
                <w:p w14:paraId="60E434F0">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r>
            <w:tr w14:paraId="37550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250DEDC1">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215" w:type="dxa"/>
                  <w:vMerge w:val="restart"/>
                  <w:shd w:val="clear" w:color="auto" w:fill="auto"/>
                  <w:vAlign w:val="center"/>
                </w:tcPr>
                <w:p w14:paraId="392B7DF6">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有机废气</w:t>
                  </w:r>
                </w:p>
              </w:tc>
              <w:tc>
                <w:tcPr>
                  <w:tcW w:w="1005" w:type="dxa"/>
                  <w:shd w:val="clear" w:color="auto" w:fill="auto"/>
                  <w:vAlign w:val="center"/>
                </w:tcPr>
                <w:p w14:paraId="542337DE">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G1</w:t>
                  </w:r>
                </w:p>
              </w:tc>
              <w:tc>
                <w:tcPr>
                  <w:tcW w:w="1485" w:type="dxa"/>
                  <w:shd w:val="clear" w:color="auto" w:fill="auto"/>
                  <w:vAlign w:val="center"/>
                </w:tcPr>
                <w:p w14:paraId="4CB32180">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成形</w:t>
                  </w:r>
                </w:p>
              </w:tc>
              <w:tc>
                <w:tcPr>
                  <w:tcW w:w="1380" w:type="dxa"/>
                  <w:vMerge w:val="restart"/>
                  <w:shd w:val="clear" w:color="auto" w:fill="auto"/>
                  <w:vAlign w:val="center"/>
                </w:tcPr>
                <w:p w14:paraId="40E17CDF">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非甲烷总烃</w:t>
                  </w:r>
                </w:p>
              </w:tc>
              <w:tc>
                <w:tcPr>
                  <w:tcW w:w="2456" w:type="dxa"/>
                  <w:vMerge w:val="restart"/>
                  <w:shd w:val="clear" w:color="auto" w:fill="auto"/>
                  <w:vAlign w:val="center"/>
                </w:tcPr>
                <w:p w14:paraId="0FB4362C">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集气罩+2级活性炭吸附装置+30m高排气筒排放</w:t>
                  </w:r>
                </w:p>
              </w:tc>
            </w:tr>
            <w:tr w14:paraId="29CC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5E64C6BB">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215" w:type="dxa"/>
                  <w:vMerge w:val="continue"/>
                  <w:shd w:val="clear" w:color="auto" w:fill="auto"/>
                  <w:vAlign w:val="center"/>
                </w:tcPr>
                <w:p w14:paraId="5D782ADE">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005" w:type="dxa"/>
                  <w:shd w:val="clear" w:color="auto" w:fill="auto"/>
                  <w:vAlign w:val="center"/>
                </w:tcPr>
                <w:p w14:paraId="6052E5BF">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G4</w:t>
                  </w:r>
                </w:p>
              </w:tc>
              <w:tc>
                <w:tcPr>
                  <w:tcW w:w="1485" w:type="dxa"/>
                  <w:shd w:val="clear" w:color="auto" w:fill="auto"/>
                  <w:vAlign w:val="center"/>
                </w:tcPr>
                <w:p w14:paraId="7EC6205C">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清洗检验</w:t>
                  </w:r>
                </w:p>
              </w:tc>
              <w:tc>
                <w:tcPr>
                  <w:tcW w:w="1380" w:type="dxa"/>
                  <w:vMerge w:val="continue"/>
                  <w:shd w:val="clear" w:color="auto" w:fill="auto"/>
                  <w:vAlign w:val="center"/>
                </w:tcPr>
                <w:p w14:paraId="0A480E8E">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2456" w:type="dxa"/>
                  <w:vMerge w:val="continue"/>
                  <w:shd w:val="clear" w:color="auto" w:fill="auto"/>
                  <w:vAlign w:val="center"/>
                </w:tcPr>
                <w:p w14:paraId="1B44FC03">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r>
            <w:tr w14:paraId="135D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3E8F2114">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215" w:type="dxa"/>
                  <w:vMerge w:val="continue"/>
                  <w:shd w:val="clear" w:color="auto" w:fill="auto"/>
                  <w:vAlign w:val="center"/>
                </w:tcPr>
                <w:p w14:paraId="4DEB81B9">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005" w:type="dxa"/>
                  <w:shd w:val="clear" w:color="auto" w:fill="auto"/>
                  <w:vAlign w:val="center"/>
                </w:tcPr>
                <w:p w14:paraId="10A511F2">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G7</w:t>
                  </w:r>
                </w:p>
              </w:tc>
              <w:tc>
                <w:tcPr>
                  <w:tcW w:w="1485" w:type="dxa"/>
                  <w:shd w:val="clear" w:color="auto" w:fill="auto"/>
                  <w:vAlign w:val="center"/>
                </w:tcPr>
                <w:p w14:paraId="5EB414CD">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装配</w:t>
                  </w:r>
                </w:p>
              </w:tc>
              <w:tc>
                <w:tcPr>
                  <w:tcW w:w="1380" w:type="dxa"/>
                  <w:vMerge w:val="continue"/>
                  <w:shd w:val="clear" w:color="auto" w:fill="auto"/>
                  <w:vAlign w:val="center"/>
                </w:tcPr>
                <w:p w14:paraId="30086EE6">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2456" w:type="dxa"/>
                  <w:vMerge w:val="continue"/>
                  <w:shd w:val="clear" w:color="auto" w:fill="auto"/>
                  <w:vAlign w:val="center"/>
                </w:tcPr>
                <w:p w14:paraId="60A83E45">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r>
            <w:tr w14:paraId="4D401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3F75E891">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215" w:type="dxa"/>
                  <w:vMerge w:val="continue"/>
                  <w:shd w:val="clear" w:color="auto" w:fill="auto"/>
                  <w:vAlign w:val="center"/>
                </w:tcPr>
                <w:p w14:paraId="35BD2751">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005" w:type="dxa"/>
                  <w:shd w:val="clear" w:color="auto" w:fill="auto"/>
                  <w:vAlign w:val="center"/>
                </w:tcPr>
                <w:p w14:paraId="79A80E31">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G8</w:t>
                  </w:r>
                </w:p>
              </w:tc>
              <w:tc>
                <w:tcPr>
                  <w:tcW w:w="1485" w:type="dxa"/>
                  <w:shd w:val="clear" w:color="auto" w:fill="auto"/>
                  <w:vAlign w:val="center"/>
                </w:tcPr>
                <w:p w14:paraId="17E169ED">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最终检测</w:t>
                  </w:r>
                </w:p>
              </w:tc>
              <w:tc>
                <w:tcPr>
                  <w:tcW w:w="1380" w:type="dxa"/>
                  <w:vMerge w:val="continue"/>
                  <w:shd w:val="clear" w:color="auto" w:fill="auto"/>
                  <w:vAlign w:val="center"/>
                </w:tcPr>
                <w:p w14:paraId="6DB683BE">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2456" w:type="dxa"/>
                  <w:vMerge w:val="continue"/>
                  <w:shd w:val="clear" w:color="auto" w:fill="auto"/>
                  <w:vAlign w:val="center"/>
                </w:tcPr>
                <w:p w14:paraId="7BA419E4">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r>
            <w:tr w14:paraId="76829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4F3013B9">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215" w:type="dxa"/>
                  <w:vMerge w:val="continue"/>
                  <w:shd w:val="clear" w:color="auto" w:fill="auto"/>
                  <w:vAlign w:val="center"/>
                </w:tcPr>
                <w:p w14:paraId="28CBF836">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005" w:type="dxa"/>
                  <w:shd w:val="clear" w:color="auto" w:fill="auto"/>
                  <w:vAlign w:val="center"/>
                </w:tcPr>
                <w:p w14:paraId="0998E890">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G9</w:t>
                  </w:r>
                </w:p>
              </w:tc>
              <w:tc>
                <w:tcPr>
                  <w:tcW w:w="1485" w:type="dxa"/>
                  <w:shd w:val="clear" w:color="auto" w:fill="auto"/>
                  <w:vAlign w:val="center"/>
                </w:tcPr>
                <w:p w14:paraId="5A00CFD5">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基片擦拭/清洗</w:t>
                  </w:r>
                </w:p>
              </w:tc>
              <w:tc>
                <w:tcPr>
                  <w:tcW w:w="1380" w:type="dxa"/>
                  <w:vMerge w:val="continue"/>
                  <w:shd w:val="clear" w:color="auto" w:fill="auto"/>
                  <w:vAlign w:val="center"/>
                </w:tcPr>
                <w:p w14:paraId="7E65E113">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2456" w:type="dxa"/>
                  <w:vMerge w:val="continue"/>
                  <w:shd w:val="clear" w:color="auto" w:fill="auto"/>
                  <w:vAlign w:val="center"/>
                </w:tcPr>
                <w:p w14:paraId="677253DA">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r>
            <w:tr w14:paraId="47AAA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2514AE3A">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215" w:type="dxa"/>
                  <w:vMerge w:val="continue"/>
                  <w:shd w:val="clear" w:color="auto" w:fill="auto"/>
                  <w:vAlign w:val="center"/>
                </w:tcPr>
                <w:p w14:paraId="27E04C64">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005" w:type="dxa"/>
                  <w:shd w:val="clear" w:color="auto" w:fill="auto"/>
                  <w:vAlign w:val="center"/>
                </w:tcPr>
                <w:p w14:paraId="669B4BCC">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G10</w:t>
                  </w:r>
                </w:p>
              </w:tc>
              <w:tc>
                <w:tcPr>
                  <w:tcW w:w="1485" w:type="dxa"/>
                  <w:shd w:val="clear" w:color="auto" w:fill="auto"/>
                  <w:vAlign w:val="center"/>
                </w:tcPr>
                <w:p w14:paraId="213A0240">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涂胶</w:t>
                  </w:r>
                </w:p>
              </w:tc>
              <w:tc>
                <w:tcPr>
                  <w:tcW w:w="1380" w:type="dxa"/>
                  <w:vMerge w:val="continue"/>
                  <w:shd w:val="clear" w:color="auto" w:fill="auto"/>
                  <w:vAlign w:val="center"/>
                </w:tcPr>
                <w:p w14:paraId="5AC03EBD">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2456" w:type="dxa"/>
                  <w:vMerge w:val="continue"/>
                  <w:shd w:val="clear" w:color="auto" w:fill="auto"/>
                  <w:vAlign w:val="center"/>
                </w:tcPr>
                <w:p w14:paraId="47F1DA0C">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r>
            <w:tr w14:paraId="1F7D1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1FF58BA0">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215" w:type="dxa"/>
                  <w:vMerge w:val="continue"/>
                  <w:shd w:val="clear" w:color="auto" w:fill="auto"/>
                  <w:vAlign w:val="center"/>
                </w:tcPr>
                <w:p w14:paraId="7C45AB7A">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005" w:type="dxa"/>
                  <w:shd w:val="clear" w:color="auto" w:fill="auto"/>
                  <w:vAlign w:val="center"/>
                </w:tcPr>
                <w:p w14:paraId="1ED220C0">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G11</w:t>
                  </w:r>
                </w:p>
              </w:tc>
              <w:tc>
                <w:tcPr>
                  <w:tcW w:w="1485" w:type="dxa"/>
                  <w:shd w:val="clear" w:color="auto" w:fill="auto"/>
                  <w:vAlign w:val="center"/>
                </w:tcPr>
                <w:p w14:paraId="52A73D79">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烘烤</w:t>
                  </w:r>
                </w:p>
              </w:tc>
              <w:tc>
                <w:tcPr>
                  <w:tcW w:w="1380" w:type="dxa"/>
                  <w:vMerge w:val="continue"/>
                  <w:shd w:val="clear" w:color="auto" w:fill="auto"/>
                  <w:vAlign w:val="center"/>
                </w:tcPr>
                <w:p w14:paraId="4A4E70FC">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2456" w:type="dxa"/>
                  <w:vMerge w:val="continue"/>
                  <w:shd w:val="clear" w:color="auto" w:fill="auto"/>
                  <w:vAlign w:val="center"/>
                </w:tcPr>
                <w:p w14:paraId="7E84B14C">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r>
            <w:tr w14:paraId="6AABD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1EDD4E8C">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215" w:type="dxa"/>
                  <w:vMerge w:val="continue"/>
                  <w:shd w:val="clear" w:color="auto" w:fill="auto"/>
                  <w:vAlign w:val="center"/>
                </w:tcPr>
                <w:p w14:paraId="61D356F6">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005" w:type="dxa"/>
                  <w:shd w:val="clear" w:color="auto" w:fill="auto"/>
                  <w:vAlign w:val="center"/>
                </w:tcPr>
                <w:p w14:paraId="30FF0909">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G15</w:t>
                  </w:r>
                </w:p>
              </w:tc>
              <w:tc>
                <w:tcPr>
                  <w:tcW w:w="1485" w:type="dxa"/>
                  <w:shd w:val="clear" w:color="auto" w:fill="auto"/>
                  <w:vAlign w:val="center"/>
                </w:tcPr>
                <w:p w14:paraId="701C767A">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去残胶</w:t>
                  </w:r>
                </w:p>
              </w:tc>
              <w:tc>
                <w:tcPr>
                  <w:tcW w:w="1380" w:type="dxa"/>
                  <w:vMerge w:val="continue"/>
                  <w:shd w:val="clear" w:color="auto" w:fill="auto"/>
                  <w:vAlign w:val="center"/>
                </w:tcPr>
                <w:p w14:paraId="0ACEE1E0">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2456" w:type="dxa"/>
                  <w:vMerge w:val="continue"/>
                  <w:shd w:val="clear" w:color="auto" w:fill="auto"/>
                  <w:vAlign w:val="center"/>
                </w:tcPr>
                <w:p w14:paraId="57E31884">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r>
            <w:tr w14:paraId="517E7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4D67A5E8">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215" w:type="dxa"/>
                  <w:vMerge w:val="continue"/>
                  <w:shd w:val="clear" w:color="auto" w:fill="auto"/>
                  <w:vAlign w:val="center"/>
                </w:tcPr>
                <w:p w14:paraId="66DAC868">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005" w:type="dxa"/>
                  <w:shd w:val="clear" w:color="auto" w:fill="auto"/>
                  <w:vAlign w:val="center"/>
                </w:tcPr>
                <w:p w14:paraId="1D369BC8">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G16</w:t>
                  </w:r>
                </w:p>
              </w:tc>
              <w:tc>
                <w:tcPr>
                  <w:tcW w:w="1485" w:type="dxa"/>
                  <w:shd w:val="clear" w:color="auto" w:fill="auto"/>
                  <w:vAlign w:val="center"/>
                </w:tcPr>
                <w:p w14:paraId="33BD1DFD">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清洁检测</w:t>
                  </w:r>
                </w:p>
              </w:tc>
              <w:tc>
                <w:tcPr>
                  <w:tcW w:w="1380" w:type="dxa"/>
                  <w:vMerge w:val="continue"/>
                  <w:shd w:val="clear" w:color="auto" w:fill="auto"/>
                  <w:vAlign w:val="center"/>
                </w:tcPr>
                <w:p w14:paraId="42A147E5">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2456" w:type="dxa"/>
                  <w:vMerge w:val="continue"/>
                  <w:shd w:val="clear" w:color="auto" w:fill="auto"/>
                  <w:vAlign w:val="center"/>
                </w:tcPr>
                <w:p w14:paraId="0719A74D">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r>
            <w:tr w14:paraId="4F503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760A23AB">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215" w:type="dxa"/>
                  <w:vMerge w:val="restart"/>
                  <w:shd w:val="clear" w:color="auto" w:fill="auto"/>
                  <w:vAlign w:val="center"/>
                </w:tcPr>
                <w:p w14:paraId="4A4F1CFF">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酸性废气</w:t>
                  </w:r>
                </w:p>
              </w:tc>
              <w:tc>
                <w:tcPr>
                  <w:tcW w:w="1005" w:type="dxa"/>
                  <w:shd w:val="clear" w:color="auto" w:fill="auto"/>
                  <w:vAlign w:val="center"/>
                </w:tcPr>
                <w:p w14:paraId="6E4FA57F">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G6</w:t>
                  </w:r>
                </w:p>
              </w:tc>
              <w:tc>
                <w:tcPr>
                  <w:tcW w:w="1485" w:type="dxa"/>
                  <w:shd w:val="clear" w:color="auto" w:fill="auto"/>
                  <w:vAlign w:val="center"/>
                </w:tcPr>
                <w:p w14:paraId="0765B917">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清洗检验</w:t>
                  </w:r>
                </w:p>
              </w:tc>
              <w:tc>
                <w:tcPr>
                  <w:tcW w:w="1380" w:type="dxa"/>
                  <w:shd w:val="clear" w:color="auto" w:fill="auto"/>
                  <w:vAlign w:val="center"/>
                </w:tcPr>
                <w:p w14:paraId="19F31C4C">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硫酸雾</w:t>
                  </w:r>
                </w:p>
              </w:tc>
              <w:tc>
                <w:tcPr>
                  <w:tcW w:w="2456" w:type="dxa"/>
                  <w:vMerge w:val="restart"/>
                  <w:shd w:val="clear" w:color="auto" w:fill="auto"/>
                  <w:vAlign w:val="center"/>
                </w:tcPr>
                <w:p w14:paraId="6E6DCAD9">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集气罩+碱液喷淋塔+30m高排气筒排放</w:t>
                  </w:r>
                </w:p>
              </w:tc>
            </w:tr>
            <w:tr w14:paraId="79E1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48BF31CA">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215" w:type="dxa"/>
                  <w:vMerge w:val="continue"/>
                  <w:shd w:val="clear" w:color="auto" w:fill="auto"/>
                  <w:vAlign w:val="center"/>
                </w:tcPr>
                <w:p w14:paraId="5FCAE716">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005" w:type="dxa"/>
                  <w:shd w:val="clear" w:color="auto" w:fill="auto"/>
                  <w:vAlign w:val="center"/>
                </w:tcPr>
                <w:p w14:paraId="37AA4473">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G13</w:t>
                  </w:r>
                </w:p>
              </w:tc>
              <w:tc>
                <w:tcPr>
                  <w:tcW w:w="1485" w:type="dxa"/>
                  <w:shd w:val="clear" w:color="auto" w:fill="auto"/>
                  <w:vAlign w:val="center"/>
                </w:tcPr>
                <w:p w14:paraId="57320E3F">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金属刻蚀</w:t>
                  </w:r>
                </w:p>
              </w:tc>
              <w:tc>
                <w:tcPr>
                  <w:tcW w:w="1380" w:type="dxa"/>
                  <w:shd w:val="clear" w:color="auto" w:fill="auto"/>
                  <w:vAlign w:val="center"/>
                </w:tcPr>
                <w:p w14:paraId="7CCF8D8D">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硝酸雾（以NOx计）</w:t>
                  </w:r>
                </w:p>
              </w:tc>
              <w:tc>
                <w:tcPr>
                  <w:tcW w:w="2456" w:type="dxa"/>
                  <w:vMerge w:val="continue"/>
                  <w:shd w:val="clear" w:color="auto" w:fill="auto"/>
                  <w:vAlign w:val="center"/>
                </w:tcPr>
                <w:p w14:paraId="3773E791">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r>
            <w:tr w14:paraId="2E3AE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400CD55F">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215" w:type="dxa"/>
                  <w:vMerge w:val="continue"/>
                  <w:shd w:val="clear" w:color="auto" w:fill="auto"/>
                  <w:vAlign w:val="center"/>
                </w:tcPr>
                <w:p w14:paraId="2091B663">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005" w:type="dxa"/>
                  <w:shd w:val="clear" w:color="auto" w:fill="auto"/>
                  <w:vAlign w:val="center"/>
                </w:tcPr>
                <w:p w14:paraId="0B5A78EC">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G14</w:t>
                  </w:r>
                </w:p>
              </w:tc>
              <w:tc>
                <w:tcPr>
                  <w:tcW w:w="1485" w:type="dxa"/>
                  <w:shd w:val="clear" w:color="auto" w:fill="auto"/>
                  <w:vAlign w:val="center"/>
                </w:tcPr>
                <w:p w14:paraId="302D13E9">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玻璃刻蚀</w:t>
                  </w:r>
                </w:p>
              </w:tc>
              <w:tc>
                <w:tcPr>
                  <w:tcW w:w="1380" w:type="dxa"/>
                  <w:shd w:val="clear" w:color="auto" w:fill="auto"/>
                  <w:vAlign w:val="center"/>
                </w:tcPr>
                <w:p w14:paraId="1D54562B">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HF、HCl、</w:t>
                  </w:r>
                </w:p>
              </w:tc>
              <w:tc>
                <w:tcPr>
                  <w:tcW w:w="2456" w:type="dxa"/>
                  <w:vMerge w:val="continue"/>
                  <w:shd w:val="clear" w:color="auto" w:fill="auto"/>
                  <w:vAlign w:val="center"/>
                </w:tcPr>
                <w:p w14:paraId="09C863EB">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r>
            <w:tr w14:paraId="5FC01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60308604">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215" w:type="dxa"/>
                  <w:shd w:val="clear" w:color="auto" w:fill="auto"/>
                  <w:vAlign w:val="center"/>
                </w:tcPr>
                <w:p w14:paraId="22B79FAF">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碱性废气</w:t>
                  </w:r>
                </w:p>
              </w:tc>
              <w:tc>
                <w:tcPr>
                  <w:tcW w:w="1005" w:type="dxa"/>
                  <w:shd w:val="clear" w:color="auto" w:fill="auto"/>
                  <w:vAlign w:val="center"/>
                </w:tcPr>
                <w:p w14:paraId="50F3ECE4">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G12</w:t>
                  </w:r>
                </w:p>
              </w:tc>
              <w:tc>
                <w:tcPr>
                  <w:tcW w:w="1485" w:type="dxa"/>
                  <w:shd w:val="clear" w:color="auto" w:fill="auto"/>
                  <w:vAlign w:val="center"/>
                </w:tcPr>
                <w:p w14:paraId="5DE3542F">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显影</w:t>
                  </w:r>
                </w:p>
              </w:tc>
              <w:tc>
                <w:tcPr>
                  <w:tcW w:w="1380" w:type="dxa"/>
                  <w:shd w:val="clear" w:color="auto" w:fill="auto"/>
                  <w:vAlign w:val="center"/>
                </w:tcPr>
                <w:p w14:paraId="5B0ADB5E">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TMAH</w:t>
                  </w:r>
                </w:p>
              </w:tc>
              <w:tc>
                <w:tcPr>
                  <w:tcW w:w="2456" w:type="dxa"/>
                  <w:shd w:val="clear" w:color="auto" w:fill="auto"/>
                  <w:vAlign w:val="center"/>
                </w:tcPr>
                <w:p w14:paraId="3F405267">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集气罩+</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稀硫酸喷淋塔</w:t>
                  </w:r>
                  <w:r>
                    <w:rPr>
                      <w:rFonts w:hint="eastAsia"/>
                      <w:color w:val="000000" w:themeColor="text1"/>
                      <w:sz w:val="21"/>
                      <w:szCs w:val="18"/>
                      <w:highlight w:val="none"/>
                      <w:lang w:val="en-US" w:eastAsia="zh-CN"/>
                      <w14:textFill>
                        <w14:solidFill>
                          <w14:schemeClr w14:val="tx1"/>
                        </w14:solidFill>
                      </w14:textFill>
                    </w:rPr>
                    <w:t>+30m高排气筒排放</w:t>
                  </w:r>
                </w:p>
              </w:tc>
            </w:tr>
            <w:tr w14:paraId="556C3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452CCB86">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2220" w:type="dxa"/>
                  <w:gridSpan w:val="2"/>
                  <w:shd w:val="clear" w:color="auto" w:fill="auto"/>
                  <w:vAlign w:val="center"/>
                </w:tcPr>
                <w:p w14:paraId="3E4FC7FB">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污水站恶臭</w:t>
                  </w:r>
                </w:p>
              </w:tc>
              <w:tc>
                <w:tcPr>
                  <w:tcW w:w="1485" w:type="dxa"/>
                  <w:shd w:val="clear" w:color="auto" w:fill="auto"/>
                  <w:vAlign w:val="center"/>
                </w:tcPr>
                <w:p w14:paraId="6BAE0963">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污水处理站</w:t>
                  </w:r>
                </w:p>
              </w:tc>
              <w:tc>
                <w:tcPr>
                  <w:tcW w:w="1380" w:type="dxa"/>
                  <w:shd w:val="clear" w:color="auto" w:fill="auto"/>
                  <w:vAlign w:val="center"/>
                </w:tcPr>
                <w:p w14:paraId="4055489A">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氨、硫化氢、臭气浓度</w:t>
                  </w:r>
                </w:p>
              </w:tc>
              <w:tc>
                <w:tcPr>
                  <w:tcW w:w="2456" w:type="dxa"/>
                  <w:shd w:val="clear" w:color="auto" w:fill="auto"/>
                  <w:vAlign w:val="center"/>
                </w:tcPr>
                <w:p w14:paraId="102A038B">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对恶臭产生的主要构筑物进行加盖</w:t>
                  </w:r>
                </w:p>
              </w:tc>
            </w:tr>
            <w:tr w14:paraId="2D893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restart"/>
                  <w:shd w:val="clear" w:color="auto" w:fill="auto"/>
                  <w:vAlign w:val="center"/>
                </w:tcPr>
                <w:p w14:paraId="318804F9">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废水</w:t>
                  </w:r>
                </w:p>
              </w:tc>
              <w:tc>
                <w:tcPr>
                  <w:tcW w:w="2220" w:type="dxa"/>
                  <w:gridSpan w:val="2"/>
                  <w:shd w:val="clear" w:color="auto" w:fill="auto"/>
                  <w:vAlign w:val="center"/>
                </w:tcPr>
                <w:p w14:paraId="2982854B">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生活污水</w:t>
                  </w:r>
                </w:p>
              </w:tc>
              <w:tc>
                <w:tcPr>
                  <w:tcW w:w="1485" w:type="dxa"/>
                  <w:shd w:val="clear" w:color="auto" w:fill="auto"/>
                  <w:vAlign w:val="center"/>
                </w:tcPr>
                <w:p w14:paraId="6C285722">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日常生活</w:t>
                  </w:r>
                </w:p>
              </w:tc>
              <w:tc>
                <w:tcPr>
                  <w:tcW w:w="1380" w:type="dxa"/>
                  <w:shd w:val="clear" w:color="auto" w:fill="auto"/>
                  <w:vAlign w:val="center"/>
                </w:tcPr>
                <w:p w14:paraId="7DBB1BDB">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pH、COD、BOD</w:t>
                  </w:r>
                  <w:r>
                    <w:rPr>
                      <w:rFonts w:hint="eastAsia"/>
                      <w:color w:val="000000" w:themeColor="text1"/>
                      <w:sz w:val="21"/>
                      <w:szCs w:val="18"/>
                      <w:highlight w:val="none"/>
                      <w:vertAlign w:val="subscript"/>
                      <w:lang w:val="en-US" w:eastAsia="zh-CN"/>
                      <w14:textFill>
                        <w14:solidFill>
                          <w14:schemeClr w14:val="tx1"/>
                        </w14:solidFill>
                      </w14:textFill>
                    </w:rPr>
                    <w:t>5</w:t>
                  </w:r>
                  <w:r>
                    <w:rPr>
                      <w:rFonts w:hint="eastAsia"/>
                      <w:color w:val="000000" w:themeColor="text1"/>
                      <w:sz w:val="21"/>
                      <w:szCs w:val="18"/>
                      <w:highlight w:val="none"/>
                      <w:lang w:val="en-US" w:eastAsia="zh-CN"/>
                      <w14:textFill>
                        <w14:solidFill>
                          <w14:schemeClr w14:val="tx1"/>
                        </w14:solidFill>
                      </w14:textFill>
                    </w:rPr>
                    <w:t>、SS、氨氮</w:t>
                  </w:r>
                </w:p>
              </w:tc>
              <w:tc>
                <w:tcPr>
                  <w:tcW w:w="2456" w:type="dxa"/>
                  <w:shd w:val="clear" w:color="auto" w:fill="auto"/>
                  <w:vAlign w:val="center"/>
                </w:tcPr>
                <w:p w14:paraId="29F078B1">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经隔油+化粪池处理后排入市政污水管网，纳入福州大学城污水处理厂处理</w:t>
                  </w:r>
                </w:p>
              </w:tc>
            </w:tr>
            <w:tr w14:paraId="53B5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70DA203F">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2220" w:type="dxa"/>
                  <w:gridSpan w:val="2"/>
                  <w:shd w:val="clear" w:color="auto" w:fill="auto"/>
                  <w:vAlign w:val="center"/>
                </w:tcPr>
                <w:p w14:paraId="1E1FB1BC">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生产废水</w:t>
                  </w:r>
                </w:p>
              </w:tc>
              <w:tc>
                <w:tcPr>
                  <w:tcW w:w="1485" w:type="dxa"/>
                  <w:shd w:val="clear" w:color="auto" w:fill="auto"/>
                  <w:vAlign w:val="center"/>
                </w:tcPr>
                <w:p w14:paraId="6A25695A">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成形、清洗、细磨、抛光等</w:t>
                  </w:r>
                </w:p>
              </w:tc>
              <w:tc>
                <w:tcPr>
                  <w:tcW w:w="1380" w:type="dxa"/>
                  <w:shd w:val="clear" w:color="auto" w:fill="auto"/>
                  <w:vAlign w:val="center"/>
                </w:tcPr>
                <w:p w14:paraId="0F372445">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pH、COD、BOD</w:t>
                  </w:r>
                  <w:r>
                    <w:rPr>
                      <w:rFonts w:hint="eastAsia"/>
                      <w:color w:val="000000" w:themeColor="text1"/>
                      <w:sz w:val="21"/>
                      <w:szCs w:val="18"/>
                      <w:highlight w:val="none"/>
                      <w:vertAlign w:val="subscript"/>
                      <w:lang w:val="en-US" w:eastAsia="zh-CN"/>
                      <w14:textFill>
                        <w14:solidFill>
                          <w14:schemeClr w14:val="tx1"/>
                        </w14:solidFill>
                      </w14:textFill>
                    </w:rPr>
                    <w:t>5</w:t>
                  </w:r>
                  <w:r>
                    <w:rPr>
                      <w:rFonts w:hint="eastAsia"/>
                      <w:color w:val="000000" w:themeColor="text1"/>
                      <w:sz w:val="21"/>
                      <w:szCs w:val="18"/>
                      <w:highlight w:val="none"/>
                      <w:lang w:val="en-US" w:eastAsia="zh-CN"/>
                      <w14:textFill>
                        <w14:solidFill>
                          <w14:schemeClr w14:val="tx1"/>
                        </w14:solidFill>
                      </w14:textFill>
                    </w:rPr>
                    <w:t>、SS、氨氮、石油类</w:t>
                  </w:r>
                </w:p>
              </w:tc>
              <w:tc>
                <w:tcPr>
                  <w:tcW w:w="2456" w:type="dxa"/>
                  <w:shd w:val="clear" w:color="auto" w:fill="auto"/>
                  <w:vAlign w:val="center"/>
                </w:tcPr>
                <w:p w14:paraId="75A3D601">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经本次新建的污水站处理后纳入福州大学城污水处理厂统一处理</w:t>
                  </w:r>
                </w:p>
              </w:tc>
            </w:tr>
            <w:tr w14:paraId="17BDB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shd w:val="clear" w:color="auto" w:fill="auto"/>
                  <w:vAlign w:val="center"/>
                </w:tcPr>
                <w:p w14:paraId="2925616D">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噪声</w:t>
                  </w:r>
                </w:p>
              </w:tc>
              <w:tc>
                <w:tcPr>
                  <w:tcW w:w="2220" w:type="dxa"/>
                  <w:gridSpan w:val="2"/>
                  <w:shd w:val="clear" w:color="auto" w:fill="auto"/>
                  <w:vAlign w:val="center"/>
                </w:tcPr>
                <w:p w14:paraId="539891FD">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设备噪声</w:t>
                  </w:r>
                </w:p>
              </w:tc>
              <w:tc>
                <w:tcPr>
                  <w:tcW w:w="1485" w:type="dxa"/>
                  <w:shd w:val="clear" w:color="auto" w:fill="auto"/>
                  <w:vAlign w:val="center"/>
                </w:tcPr>
                <w:p w14:paraId="7D244798">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设备运转</w:t>
                  </w:r>
                </w:p>
              </w:tc>
              <w:tc>
                <w:tcPr>
                  <w:tcW w:w="1380" w:type="dxa"/>
                  <w:shd w:val="clear" w:color="auto" w:fill="auto"/>
                  <w:vAlign w:val="center"/>
                </w:tcPr>
                <w:p w14:paraId="6EE1CCFA">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LAeq</w:t>
                  </w:r>
                </w:p>
              </w:tc>
              <w:tc>
                <w:tcPr>
                  <w:tcW w:w="2456" w:type="dxa"/>
                  <w:shd w:val="clear" w:color="auto" w:fill="auto"/>
                  <w:vAlign w:val="center"/>
                </w:tcPr>
                <w:p w14:paraId="4CC4F480">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采用隔声、减震、消声等降噪措施</w:t>
                  </w:r>
                </w:p>
              </w:tc>
            </w:tr>
            <w:tr w14:paraId="53EF2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restart"/>
                  <w:shd w:val="clear" w:color="auto" w:fill="auto"/>
                  <w:vAlign w:val="center"/>
                </w:tcPr>
                <w:p w14:paraId="1A4CA325">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固废</w:t>
                  </w:r>
                </w:p>
              </w:tc>
              <w:tc>
                <w:tcPr>
                  <w:tcW w:w="1215" w:type="dxa"/>
                  <w:shd w:val="clear" w:color="auto" w:fill="auto"/>
                  <w:vAlign w:val="center"/>
                </w:tcPr>
                <w:p w14:paraId="3383C77F">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不合格品</w:t>
                  </w:r>
                </w:p>
              </w:tc>
              <w:tc>
                <w:tcPr>
                  <w:tcW w:w="1005" w:type="dxa"/>
                  <w:shd w:val="clear" w:color="auto" w:fill="auto"/>
                  <w:vAlign w:val="center"/>
                </w:tcPr>
                <w:p w14:paraId="28AC5615">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S7、S8、S9、S10</w:t>
                  </w:r>
                </w:p>
              </w:tc>
              <w:tc>
                <w:tcPr>
                  <w:tcW w:w="1485" w:type="dxa"/>
                  <w:shd w:val="clear" w:color="auto" w:fill="auto"/>
                  <w:vAlign w:val="center"/>
                </w:tcPr>
                <w:p w14:paraId="1BB94FD7">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检验、检测</w:t>
                  </w:r>
                </w:p>
              </w:tc>
              <w:tc>
                <w:tcPr>
                  <w:tcW w:w="1380" w:type="dxa"/>
                  <w:shd w:val="clear" w:color="auto" w:fill="auto"/>
                  <w:vAlign w:val="center"/>
                </w:tcPr>
                <w:p w14:paraId="5221DA76">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不合格品</w:t>
                  </w:r>
                </w:p>
              </w:tc>
              <w:tc>
                <w:tcPr>
                  <w:tcW w:w="2456" w:type="dxa"/>
                  <w:vMerge w:val="restart"/>
                  <w:shd w:val="clear" w:color="auto" w:fill="auto"/>
                  <w:vAlign w:val="center"/>
                </w:tcPr>
                <w:p w14:paraId="54542278">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一般工业固体废物，收集后由物资回收单位回收利用</w:t>
                  </w:r>
                </w:p>
              </w:tc>
            </w:tr>
            <w:tr w14:paraId="0647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2D6218A3">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215" w:type="dxa"/>
                  <w:shd w:val="clear" w:color="auto" w:fill="auto"/>
                  <w:vAlign w:val="center"/>
                </w:tcPr>
                <w:p w14:paraId="3FA40C1E">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沉淀废渣</w:t>
                  </w:r>
                </w:p>
              </w:tc>
              <w:tc>
                <w:tcPr>
                  <w:tcW w:w="1005" w:type="dxa"/>
                  <w:shd w:val="clear" w:color="auto" w:fill="auto"/>
                  <w:vAlign w:val="center"/>
                </w:tcPr>
                <w:p w14:paraId="64466EE6">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S2、S3</w:t>
                  </w:r>
                </w:p>
              </w:tc>
              <w:tc>
                <w:tcPr>
                  <w:tcW w:w="1485" w:type="dxa"/>
                  <w:shd w:val="clear" w:color="auto" w:fill="auto"/>
                  <w:vAlign w:val="center"/>
                </w:tcPr>
                <w:p w14:paraId="214D437B">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细磨抛光</w:t>
                  </w:r>
                </w:p>
              </w:tc>
              <w:tc>
                <w:tcPr>
                  <w:tcW w:w="1380" w:type="dxa"/>
                  <w:shd w:val="clear" w:color="auto" w:fill="auto"/>
                  <w:vAlign w:val="center"/>
                </w:tcPr>
                <w:p w14:paraId="5604C52F">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沉淀废渣</w:t>
                  </w:r>
                </w:p>
              </w:tc>
              <w:tc>
                <w:tcPr>
                  <w:tcW w:w="2456" w:type="dxa"/>
                  <w:vMerge w:val="continue"/>
                  <w:shd w:val="clear" w:color="auto" w:fill="auto"/>
                  <w:vAlign w:val="center"/>
                </w:tcPr>
                <w:p w14:paraId="661356C7">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r>
            <w:tr w14:paraId="4E030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4A6B454D">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215" w:type="dxa"/>
                  <w:shd w:val="clear" w:color="auto" w:fill="auto"/>
                  <w:vAlign w:val="center"/>
                </w:tcPr>
                <w:p w14:paraId="60E23E6D">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废包装材料</w:t>
                  </w:r>
                </w:p>
              </w:tc>
              <w:tc>
                <w:tcPr>
                  <w:tcW w:w="1005" w:type="dxa"/>
                  <w:shd w:val="clear" w:color="auto" w:fill="auto"/>
                  <w:vAlign w:val="center"/>
                </w:tcPr>
                <w:p w14:paraId="3A9811A6">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S11、S12</w:t>
                  </w:r>
                </w:p>
              </w:tc>
              <w:tc>
                <w:tcPr>
                  <w:tcW w:w="1485" w:type="dxa"/>
                  <w:shd w:val="clear" w:color="auto" w:fill="auto"/>
                  <w:vAlign w:val="center"/>
                </w:tcPr>
                <w:p w14:paraId="3E3E7ABE">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原料拆包</w:t>
                  </w:r>
                </w:p>
              </w:tc>
              <w:tc>
                <w:tcPr>
                  <w:tcW w:w="1380" w:type="dxa"/>
                  <w:shd w:val="clear" w:color="auto" w:fill="auto"/>
                  <w:vAlign w:val="center"/>
                </w:tcPr>
                <w:p w14:paraId="062ECF96">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废包装材料</w:t>
                  </w:r>
                </w:p>
              </w:tc>
              <w:tc>
                <w:tcPr>
                  <w:tcW w:w="2456" w:type="dxa"/>
                  <w:vMerge w:val="continue"/>
                  <w:shd w:val="clear" w:color="auto" w:fill="auto"/>
                  <w:vAlign w:val="center"/>
                </w:tcPr>
                <w:p w14:paraId="26ACC145">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r>
            <w:tr w14:paraId="4EAA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60CC83DA">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215" w:type="dxa"/>
                  <w:shd w:val="clear" w:color="auto" w:fill="auto"/>
                  <w:vAlign w:val="center"/>
                </w:tcPr>
                <w:p w14:paraId="330C1C76">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废金刚砂</w:t>
                  </w:r>
                </w:p>
              </w:tc>
              <w:tc>
                <w:tcPr>
                  <w:tcW w:w="1005" w:type="dxa"/>
                  <w:shd w:val="clear" w:color="auto" w:fill="auto"/>
                  <w:vAlign w:val="center"/>
                </w:tcPr>
                <w:p w14:paraId="4ED45F18">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S2</w:t>
                  </w:r>
                </w:p>
              </w:tc>
              <w:tc>
                <w:tcPr>
                  <w:tcW w:w="1485" w:type="dxa"/>
                  <w:shd w:val="clear" w:color="auto" w:fill="auto"/>
                  <w:vAlign w:val="center"/>
                </w:tcPr>
                <w:p w14:paraId="670A7C71">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细磨</w:t>
                  </w:r>
                </w:p>
              </w:tc>
              <w:tc>
                <w:tcPr>
                  <w:tcW w:w="1380" w:type="dxa"/>
                  <w:shd w:val="clear" w:color="auto" w:fill="auto"/>
                  <w:vAlign w:val="center"/>
                </w:tcPr>
                <w:p w14:paraId="2F65DDB5">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废金刚砂</w:t>
                  </w:r>
                </w:p>
              </w:tc>
              <w:tc>
                <w:tcPr>
                  <w:tcW w:w="2456" w:type="dxa"/>
                  <w:shd w:val="clear" w:color="auto" w:fill="auto"/>
                  <w:vAlign w:val="center"/>
                </w:tcPr>
                <w:p w14:paraId="39B81935">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一般工业固体废物，收集后由厂家收利用</w:t>
                  </w:r>
                </w:p>
              </w:tc>
            </w:tr>
            <w:tr w14:paraId="2B87E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1F97BDDA">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215" w:type="dxa"/>
                  <w:shd w:val="clear" w:color="auto" w:fill="auto"/>
                  <w:vAlign w:val="center"/>
                </w:tcPr>
                <w:p w14:paraId="0BBC1103">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废光学玻璃边角料</w:t>
                  </w:r>
                </w:p>
              </w:tc>
              <w:tc>
                <w:tcPr>
                  <w:tcW w:w="1005" w:type="dxa"/>
                  <w:shd w:val="clear" w:color="auto" w:fill="auto"/>
                  <w:vAlign w:val="center"/>
                </w:tcPr>
                <w:p w14:paraId="49DC90B6">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S5</w:t>
                  </w:r>
                </w:p>
              </w:tc>
              <w:tc>
                <w:tcPr>
                  <w:tcW w:w="1485" w:type="dxa"/>
                  <w:shd w:val="clear" w:color="auto" w:fill="auto"/>
                  <w:vAlign w:val="center"/>
                </w:tcPr>
                <w:p w14:paraId="7D0CB71A">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切割</w:t>
                  </w:r>
                </w:p>
              </w:tc>
              <w:tc>
                <w:tcPr>
                  <w:tcW w:w="1380" w:type="dxa"/>
                  <w:shd w:val="clear" w:color="auto" w:fill="auto"/>
                  <w:vAlign w:val="center"/>
                </w:tcPr>
                <w:p w14:paraId="42D35ED1">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废光学玻璃边角料</w:t>
                  </w:r>
                </w:p>
              </w:tc>
              <w:tc>
                <w:tcPr>
                  <w:tcW w:w="2456" w:type="dxa"/>
                  <w:vMerge w:val="restart"/>
                  <w:shd w:val="clear" w:color="auto" w:fill="auto"/>
                  <w:vAlign w:val="center"/>
                </w:tcPr>
                <w:p w14:paraId="33EABBC5">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一般工业固体废物，收集后由物资回收单位回收利用</w:t>
                  </w:r>
                </w:p>
              </w:tc>
            </w:tr>
            <w:tr w14:paraId="16E5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0CA85FB5">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2220" w:type="dxa"/>
                  <w:gridSpan w:val="2"/>
                  <w:shd w:val="clear" w:color="auto" w:fill="auto"/>
                  <w:vAlign w:val="center"/>
                </w:tcPr>
                <w:p w14:paraId="566F123A">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废树脂</w:t>
                  </w:r>
                </w:p>
              </w:tc>
              <w:tc>
                <w:tcPr>
                  <w:tcW w:w="1485" w:type="dxa"/>
                  <w:shd w:val="clear" w:color="auto" w:fill="auto"/>
                  <w:vAlign w:val="center"/>
                </w:tcPr>
                <w:p w14:paraId="70FCFA45">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制备纯水</w:t>
                  </w:r>
                </w:p>
              </w:tc>
              <w:tc>
                <w:tcPr>
                  <w:tcW w:w="1380" w:type="dxa"/>
                  <w:shd w:val="clear" w:color="auto" w:fill="auto"/>
                  <w:vAlign w:val="center"/>
                </w:tcPr>
                <w:p w14:paraId="68162BB2">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废树脂</w:t>
                  </w:r>
                </w:p>
              </w:tc>
              <w:tc>
                <w:tcPr>
                  <w:tcW w:w="2456" w:type="dxa"/>
                  <w:vMerge w:val="continue"/>
                  <w:shd w:val="clear" w:color="auto" w:fill="auto"/>
                  <w:vAlign w:val="center"/>
                </w:tcPr>
                <w:p w14:paraId="421BEC65">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r>
            <w:tr w14:paraId="5EFB5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11DD36A3">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215" w:type="dxa"/>
                  <w:shd w:val="clear" w:color="auto" w:fill="auto"/>
                  <w:vAlign w:val="center"/>
                </w:tcPr>
                <w:p w14:paraId="3F7A766F">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废切削液、磨削液、冷却液</w:t>
                  </w:r>
                </w:p>
              </w:tc>
              <w:tc>
                <w:tcPr>
                  <w:tcW w:w="1005" w:type="dxa"/>
                  <w:shd w:val="clear" w:color="auto" w:fill="auto"/>
                  <w:vAlign w:val="center"/>
                </w:tcPr>
                <w:p w14:paraId="74C2E3EB">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S1</w:t>
                  </w:r>
                </w:p>
              </w:tc>
              <w:tc>
                <w:tcPr>
                  <w:tcW w:w="1485" w:type="dxa"/>
                  <w:shd w:val="clear" w:color="auto" w:fill="auto"/>
                  <w:vAlign w:val="center"/>
                </w:tcPr>
                <w:p w14:paraId="32BE0BB5">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抛光</w:t>
                  </w:r>
                </w:p>
              </w:tc>
              <w:tc>
                <w:tcPr>
                  <w:tcW w:w="1380" w:type="dxa"/>
                  <w:shd w:val="clear" w:color="auto" w:fill="auto"/>
                  <w:vAlign w:val="center"/>
                </w:tcPr>
                <w:p w14:paraId="665E0E9F">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废切削液、磨削液、冷却液</w:t>
                  </w:r>
                </w:p>
              </w:tc>
              <w:tc>
                <w:tcPr>
                  <w:tcW w:w="2456" w:type="dxa"/>
                  <w:vMerge w:val="restart"/>
                  <w:shd w:val="clear" w:color="auto" w:fill="auto"/>
                  <w:vAlign w:val="center"/>
                </w:tcPr>
                <w:p w14:paraId="2424CFE9">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危险废物，暂存在危废间，定期委托有资质单位处置</w:t>
                  </w:r>
                </w:p>
              </w:tc>
            </w:tr>
            <w:tr w14:paraId="47F6C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06A9DB46">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215" w:type="dxa"/>
                  <w:shd w:val="clear" w:color="auto" w:fill="auto"/>
                  <w:vAlign w:val="center"/>
                </w:tcPr>
                <w:p w14:paraId="1797087D">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刻蚀废液</w:t>
                  </w:r>
                </w:p>
              </w:tc>
              <w:tc>
                <w:tcPr>
                  <w:tcW w:w="1005" w:type="dxa"/>
                  <w:shd w:val="clear" w:color="auto" w:fill="auto"/>
                  <w:vAlign w:val="center"/>
                </w:tcPr>
                <w:p w14:paraId="77749898">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S16、S17</w:t>
                  </w:r>
                </w:p>
              </w:tc>
              <w:tc>
                <w:tcPr>
                  <w:tcW w:w="1485" w:type="dxa"/>
                  <w:shd w:val="clear" w:color="auto" w:fill="auto"/>
                  <w:vAlign w:val="center"/>
                </w:tcPr>
                <w:p w14:paraId="5D172A5F">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金属刻蚀</w:t>
                  </w:r>
                </w:p>
              </w:tc>
              <w:tc>
                <w:tcPr>
                  <w:tcW w:w="1380" w:type="dxa"/>
                  <w:shd w:val="clear" w:color="auto" w:fill="auto"/>
                  <w:vAlign w:val="center"/>
                </w:tcPr>
                <w:p w14:paraId="1EFA10AE">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刻蚀废液</w:t>
                  </w:r>
                </w:p>
              </w:tc>
              <w:tc>
                <w:tcPr>
                  <w:tcW w:w="2456" w:type="dxa"/>
                  <w:vMerge w:val="continue"/>
                  <w:shd w:val="clear" w:color="auto" w:fill="auto"/>
                  <w:vAlign w:val="center"/>
                </w:tcPr>
                <w:p w14:paraId="7DC337A6">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r>
            <w:tr w14:paraId="3C4E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14B86F49">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2220" w:type="dxa"/>
                  <w:gridSpan w:val="2"/>
                  <w:shd w:val="clear" w:color="auto" w:fill="auto"/>
                  <w:vAlign w:val="center"/>
                </w:tcPr>
                <w:p w14:paraId="3FB18A0C">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废胶桶</w:t>
                  </w:r>
                </w:p>
              </w:tc>
              <w:tc>
                <w:tcPr>
                  <w:tcW w:w="1485" w:type="dxa"/>
                  <w:shd w:val="clear" w:color="auto" w:fill="auto"/>
                  <w:vAlign w:val="center"/>
                </w:tcPr>
                <w:p w14:paraId="39EBD7EA">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原料拆包</w:t>
                  </w:r>
                </w:p>
              </w:tc>
              <w:tc>
                <w:tcPr>
                  <w:tcW w:w="1380" w:type="dxa"/>
                  <w:shd w:val="clear" w:color="auto" w:fill="auto"/>
                  <w:vAlign w:val="center"/>
                </w:tcPr>
                <w:p w14:paraId="4333A3BE">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废胶桶</w:t>
                  </w:r>
                </w:p>
              </w:tc>
              <w:tc>
                <w:tcPr>
                  <w:tcW w:w="2456" w:type="dxa"/>
                  <w:vMerge w:val="continue"/>
                  <w:shd w:val="clear" w:color="auto" w:fill="auto"/>
                  <w:vAlign w:val="center"/>
                </w:tcPr>
                <w:p w14:paraId="18CF1B27">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r>
            <w:tr w14:paraId="075CC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010BCBB2">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215" w:type="dxa"/>
                  <w:shd w:val="clear" w:color="auto" w:fill="auto"/>
                  <w:vAlign w:val="center"/>
                </w:tcPr>
                <w:p w14:paraId="2AFBBEB7">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废有机溶剂及空瓶</w:t>
                  </w:r>
                </w:p>
              </w:tc>
              <w:tc>
                <w:tcPr>
                  <w:tcW w:w="1005" w:type="dxa"/>
                  <w:shd w:val="clear" w:color="auto" w:fill="auto"/>
                  <w:vAlign w:val="center"/>
                </w:tcPr>
                <w:p w14:paraId="43C1EA1C">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S13、S14、S18、S19</w:t>
                  </w:r>
                </w:p>
              </w:tc>
              <w:tc>
                <w:tcPr>
                  <w:tcW w:w="1485" w:type="dxa"/>
                  <w:shd w:val="clear" w:color="auto" w:fill="auto"/>
                  <w:vAlign w:val="center"/>
                </w:tcPr>
                <w:p w14:paraId="6AC67081">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清洗</w:t>
                  </w:r>
                </w:p>
              </w:tc>
              <w:tc>
                <w:tcPr>
                  <w:tcW w:w="1380" w:type="dxa"/>
                  <w:shd w:val="clear" w:color="auto" w:fill="auto"/>
                  <w:vAlign w:val="center"/>
                </w:tcPr>
                <w:p w14:paraId="080DF588">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废有机溶剂及空瓶</w:t>
                  </w:r>
                </w:p>
              </w:tc>
              <w:tc>
                <w:tcPr>
                  <w:tcW w:w="2456" w:type="dxa"/>
                  <w:vMerge w:val="continue"/>
                  <w:shd w:val="clear" w:color="auto" w:fill="auto"/>
                  <w:vAlign w:val="center"/>
                </w:tcPr>
                <w:p w14:paraId="218DCEAA">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r>
            <w:tr w14:paraId="2A857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096FEC05">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215" w:type="dxa"/>
                  <w:shd w:val="clear" w:color="auto" w:fill="auto"/>
                  <w:vAlign w:val="center"/>
                </w:tcPr>
                <w:p w14:paraId="1268B977">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清洗废液</w:t>
                  </w:r>
                </w:p>
              </w:tc>
              <w:tc>
                <w:tcPr>
                  <w:tcW w:w="1005" w:type="dxa"/>
                  <w:shd w:val="clear" w:color="auto" w:fill="auto"/>
                  <w:vAlign w:val="center"/>
                </w:tcPr>
                <w:p w14:paraId="09DDDACD">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S4、S6、S15、S16、S19</w:t>
                  </w:r>
                </w:p>
              </w:tc>
              <w:tc>
                <w:tcPr>
                  <w:tcW w:w="1485" w:type="dxa"/>
                  <w:shd w:val="clear" w:color="auto" w:fill="auto"/>
                  <w:vAlign w:val="center"/>
                </w:tcPr>
                <w:p w14:paraId="6F379035">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清洗</w:t>
                  </w:r>
                </w:p>
              </w:tc>
              <w:tc>
                <w:tcPr>
                  <w:tcW w:w="1380" w:type="dxa"/>
                  <w:shd w:val="clear" w:color="auto" w:fill="auto"/>
                  <w:vAlign w:val="center"/>
                </w:tcPr>
                <w:p w14:paraId="7FB0CE36">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清洗废液</w:t>
                  </w:r>
                </w:p>
              </w:tc>
              <w:tc>
                <w:tcPr>
                  <w:tcW w:w="2456" w:type="dxa"/>
                  <w:vMerge w:val="continue"/>
                  <w:shd w:val="clear" w:color="auto" w:fill="auto"/>
                  <w:vAlign w:val="center"/>
                </w:tcPr>
                <w:p w14:paraId="161D52C6">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r>
            <w:tr w14:paraId="6FE45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5CBE7748">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1215" w:type="dxa"/>
                  <w:shd w:val="clear" w:color="auto" w:fill="auto"/>
                  <w:vAlign w:val="center"/>
                </w:tcPr>
                <w:p w14:paraId="7F49FE57">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含油抹布</w:t>
                  </w:r>
                </w:p>
              </w:tc>
              <w:tc>
                <w:tcPr>
                  <w:tcW w:w="1005" w:type="dxa"/>
                  <w:shd w:val="clear" w:color="auto" w:fill="auto"/>
                  <w:vAlign w:val="center"/>
                </w:tcPr>
                <w:p w14:paraId="2DFFB720">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S1</w:t>
                  </w:r>
                </w:p>
              </w:tc>
              <w:tc>
                <w:tcPr>
                  <w:tcW w:w="1485" w:type="dxa"/>
                  <w:shd w:val="clear" w:color="auto" w:fill="auto"/>
                  <w:vAlign w:val="center"/>
                </w:tcPr>
                <w:p w14:paraId="10EE7D1A">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擦拭</w:t>
                  </w:r>
                </w:p>
              </w:tc>
              <w:tc>
                <w:tcPr>
                  <w:tcW w:w="1380" w:type="dxa"/>
                  <w:shd w:val="clear" w:color="auto" w:fill="auto"/>
                  <w:vAlign w:val="center"/>
                </w:tcPr>
                <w:p w14:paraId="04586B24">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含油抹布</w:t>
                  </w:r>
                </w:p>
              </w:tc>
              <w:tc>
                <w:tcPr>
                  <w:tcW w:w="2456" w:type="dxa"/>
                  <w:vMerge w:val="continue"/>
                  <w:shd w:val="clear" w:color="auto" w:fill="auto"/>
                  <w:vAlign w:val="center"/>
                </w:tcPr>
                <w:p w14:paraId="13D5CA20">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r>
            <w:tr w14:paraId="3C42C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28039038">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2220" w:type="dxa"/>
                  <w:gridSpan w:val="2"/>
                  <w:shd w:val="clear" w:color="auto" w:fill="auto"/>
                  <w:vAlign w:val="center"/>
                </w:tcPr>
                <w:p w14:paraId="44039800">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废活性炭</w:t>
                  </w:r>
                </w:p>
              </w:tc>
              <w:tc>
                <w:tcPr>
                  <w:tcW w:w="1485" w:type="dxa"/>
                  <w:shd w:val="clear" w:color="auto" w:fill="auto"/>
                  <w:vAlign w:val="center"/>
                </w:tcPr>
                <w:p w14:paraId="01D8B8B3">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废气治理</w:t>
                  </w:r>
                </w:p>
              </w:tc>
              <w:tc>
                <w:tcPr>
                  <w:tcW w:w="1380" w:type="dxa"/>
                  <w:shd w:val="clear" w:color="auto" w:fill="auto"/>
                  <w:vAlign w:val="center"/>
                </w:tcPr>
                <w:p w14:paraId="7DDE5460">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废活性炭</w:t>
                  </w:r>
                </w:p>
              </w:tc>
              <w:tc>
                <w:tcPr>
                  <w:tcW w:w="2456" w:type="dxa"/>
                  <w:vMerge w:val="continue"/>
                  <w:shd w:val="clear" w:color="auto" w:fill="auto"/>
                  <w:vAlign w:val="center"/>
                </w:tcPr>
                <w:p w14:paraId="116B34FF">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r>
            <w:tr w14:paraId="27FE7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408F8921">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2220" w:type="dxa"/>
                  <w:gridSpan w:val="2"/>
                  <w:shd w:val="clear" w:color="auto" w:fill="auto"/>
                  <w:vAlign w:val="center"/>
                </w:tcPr>
                <w:p w14:paraId="0719607C">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污水处理站污泥</w:t>
                  </w:r>
                </w:p>
              </w:tc>
              <w:tc>
                <w:tcPr>
                  <w:tcW w:w="1485" w:type="dxa"/>
                  <w:shd w:val="clear" w:color="auto" w:fill="auto"/>
                  <w:vAlign w:val="center"/>
                </w:tcPr>
                <w:p w14:paraId="7423772E">
                  <w:pPr>
                    <w:keepNext w:val="0"/>
                    <w:keepLines w:val="0"/>
                    <w:pageBreakBefore w:val="0"/>
                    <w:widowControl w:val="0"/>
                    <w:kinsoku/>
                    <w:wordWrap/>
                    <w:overflowPunct/>
                    <w:topLinePunct w:val="0"/>
                    <w:bidi w:val="0"/>
                    <w:adjustRightInd/>
                    <w:snapToGrid/>
                    <w:spacing w:line="240" w:lineRule="auto"/>
                    <w:jc w:val="center"/>
                    <w:textAlignment w:val="auto"/>
                    <w:rPr>
                      <w:rFonts w:hint="default"/>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废水处理</w:t>
                  </w:r>
                </w:p>
              </w:tc>
              <w:tc>
                <w:tcPr>
                  <w:tcW w:w="1380" w:type="dxa"/>
                  <w:shd w:val="clear" w:color="auto" w:fill="auto"/>
                  <w:vAlign w:val="center"/>
                </w:tcPr>
                <w:p w14:paraId="3ACB067D">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污水处理站污泥</w:t>
                  </w:r>
                </w:p>
              </w:tc>
              <w:tc>
                <w:tcPr>
                  <w:tcW w:w="2456" w:type="dxa"/>
                  <w:vMerge w:val="continue"/>
                  <w:shd w:val="clear" w:color="auto" w:fill="auto"/>
                  <w:vAlign w:val="center"/>
                </w:tcPr>
                <w:p w14:paraId="24920F44">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r>
            <w:tr w14:paraId="1AC9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613" w:type="dxa"/>
                  <w:vMerge w:val="continue"/>
                  <w:shd w:val="clear" w:color="auto" w:fill="auto"/>
                  <w:vAlign w:val="center"/>
                </w:tcPr>
                <w:p w14:paraId="4F99DE84">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p>
              </w:tc>
              <w:tc>
                <w:tcPr>
                  <w:tcW w:w="2220" w:type="dxa"/>
                  <w:gridSpan w:val="2"/>
                  <w:shd w:val="clear" w:color="auto" w:fill="auto"/>
                  <w:vAlign w:val="center"/>
                </w:tcPr>
                <w:p w14:paraId="7E84C24D">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生活垃圾</w:t>
                  </w:r>
                </w:p>
              </w:tc>
              <w:tc>
                <w:tcPr>
                  <w:tcW w:w="1485" w:type="dxa"/>
                  <w:shd w:val="clear" w:color="auto" w:fill="auto"/>
                  <w:vAlign w:val="center"/>
                </w:tcPr>
                <w:p w14:paraId="38FBD5AA">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员工日常生活</w:t>
                  </w:r>
                </w:p>
              </w:tc>
              <w:tc>
                <w:tcPr>
                  <w:tcW w:w="1380" w:type="dxa"/>
                  <w:shd w:val="clear" w:color="auto" w:fill="auto"/>
                  <w:vAlign w:val="center"/>
                </w:tcPr>
                <w:p w14:paraId="42640160">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纸屑、塑料袋等</w:t>
                  </w:r>
                </w:p>
              </w:tc>
              <w:tc>
                <w:tcPr>
                  <w:tcW w:w="2456" w:type="dxa"/>
                  <w:shd w:val="clear" w:color="auto" w:fill="auto"/>
                  <w:vAlign w:val="center"/>
                </w:tcPr>
                <w:p w14:paraId="66653CCA">
                  <w:pPr>
                    <w:keepNext w:val="0"/>
                    <w:keepLines w:val="0"/>
                    <w:pageBreakBefore w:val="0"/>
                    <w:widowControl w:val="0"/>
                    <w:kinsoku/>
                    <w:wordWrap/>
                    <w:overflowPunct/>
                    <w:topLinePunct w:val="0"/>
                    <w:bidi w:val="0"/>
                    <w:adjustRightInd/>
                    <w:snapToGrid/>
                    <w:spacing w:line="240" w:lineRule="auto"/>
                    <w:jc w:val="center"/>
                    <w:textAlignment w:val="auto"/>
                    <w:rPr>
                      <w:rFonts w:hint="eastAsia"/>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统一收集后委托环卫部门定期清运</w:t>
                  </w:r>
                </w:p>
              </w:tc>
            </w:tr>
            <w:bookmarkEnd w:id="8"/>
          </w:tbl>
          <w:p w14:paraId="7DE2C63F">
            <w:pPr>
              <w:spacing w:line="360" w:lineRule="auto"/>
              <w:ind w:firstLine="480" w:firstLineChars="200"/>
              <w:rPr>
                <w:bCs/>
                <w:color w:val="000000" w:themeColor="text1"/>
                <w:sz w:val="24"/>
                <w:szCs w:val="24"/>
                <w:highlight w:val="none"/>
                <w14:textFill>
                  <w14:solidFill>
                    <w14:schemeClr w14:val="tx1"/>
                  </w14:solidFill>
                </w14:textFill>
              </w:rPr>
            </w:pPr>
          </w:p>
        </w:tc>
      </w:tr>
      <w:tr w14:paraId="457C3E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819" w:hRule="atLeast"/>
          <w:jc w:val="center"/>
        </w:trPr>
        <w:tc>
          <w:tcPr>
            <w:tcW w:w="546" w:type="dxa"/>
            <w:vAlign w:val="center"/>
          </w:tcPr>
          <w:p w14:paraId="0EFDCA2C">
            <w:pPr>
              <w:pStyle w:val="26"/>
              <w:adjustRightInd w:val="0"/>
              <w:snapToGrid w:val="0"/>
              <w:spacing w:before="0" w:beforeAutospacing="0" w:after="0" w:afterAutospacing="0"/>
              <w:jc w:val="center"/>
              <w:rPr>
                <w:rFonts w:cs="宋体"/>
                <w:color w:val="000000" w:themeColor="text1"/>
                <w:sz w:val="21"/>
                <w:szCs w:val="21"/>
                <w:highlight w:val="none"/>
                <w14:textFill>
                  <w14:solidFill>
                    <w14:schemeClr w14:val="tx1"/>
                  </w14:solidFill>
                </w14:textFill>
              </w:rPr>
            </w:pPr>
            <w:r>
              <w:rPr>
                <w:rFonts w:hint="eastAsia" w:cs="宋体"/>
                <w:bCs/>
                <w:color w:val="000000" w:themeColor="text1"/>
                <w:kern w:val="2"/>
                <w:sz w:val="21"/>
                <w:szCs w:val="21"/>
                <w:highlight w:val="none"/>
                <w14:textFill>
                  <w14:solidFill>
                    <w14:schemeClr w14:val="tx1"/>
                  </w14:solidFill>
                </w14:textFill>
              </w:rPr>
              <w:t>与项目有关的原有环境污染问题</w:t>
            </w:r>
          </w:p>
        </w:tc>
        <w:tc>
          <w:tcPr>
            <w:tcW w:w="8278" w:type="dxa"/>
          </w:tcPr>
          <w:p w14:paraId="3941B34E">
            <w:pPr>
              <w:pStyle w:val="37"/>
              <w:rPr>
                <w:color w:val="000000" w:themeColor="text1"/>
                <w:sz w:val="24"/>
                <w:szCs w:val="21"/>
                <w:highlight w:val="none"/>
                <w14:textFill>
                  <w14:solidFill>
                    <w14:schemeClr w14:val="tx1"/>
                  </w14:solidFill>
                </w14:textFill>
              </w:rPr>
            </w:pPr>
            <w:bookmarkStart w:id="10" w:name="_Hlk160478686"/>
            <w:r>
              <w:rPr>
                <w:color w:val="000000" w:themeColor="text1"/>
                <w:sz w:val="24"/>
                <w:szCs w:val="21"/>
                <w:highlight w:val="none"/>
                <w14:textFill>
                  <w14:solidFill>
                    <w14:schemeClr w14:val="tx1"/>
                  </w14:solidFill>
                </w14:textFill>
              </w:rPr>
              <w:t>2.</w:t>
            </w:r>
            <w:r>
              <w:rPr>
                <w:rFonts w:hint="eastAsia"/>
                <w:color w:val="000000" w:themeColor="text1"/>
                <w:sz w:val="24"/>
                <w:szCs w:val="21"/>
                <w:highlight w:val="none"/>
                <w:lang w:val="en-US" w:eastAsia="zh-CN"/>
                <w14:textFill>
                  <w14:solidFill>
                    <w14:schemeClr w14:val="tx1"/>
                  </w14:solidFill>
                </w14:textFill>
              </w:rPr>
              <w:t>10</w:t>
            </w:r>
            <w:r>
              <w:rPr>
                <w:rFonts w:hint="eastAsia"/>
                <w:color w:val="000000" w:themeColor="text1"/>
                <w:sz w:val="24"/>
                <w:szCs w:val="21"/>
                <w:highlight w:val="none"/>
                <w14:textFill>
                  <w14:solidFill>
                    <w14:schemeClr w14:val="tx1"/>
                  </w14:solidFill>
                </w14:textFill>
              </w:rPr>
              <w:t>与项目有关的原有环境污染问题</w:t>
            </w:r>
          </w:p>
          <w:p w14:paraId="352273B8">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2.10.1现有工程环保手续履行情况</w:t>
            </w:r>
          </w:p>
          <w:p w14:paraId="315AF339">
            <w:pPr>
              <w:spacing w:line="360" w:lineRule="auto"/>
              <w:ind w:firstLine="480" w:firstLineChars="200"/>
              <w:rPr>
                <w:rFonts w:hint="default"/>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（1）一期工程</w:t>
            </w:r>
          </w:p>
          <w:p w14:paraId="4B6DE2AB">
            <w:p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2023年2月，福建至期光子科技有限公司(简称至期光子)委托厦门正诺达环保科技有限公司编制《福建至期光子科技有限公司超精密核心光学及晶体元器件生产项目建设环境影响评价报告表》，于2023年3月31日取得福州高新技术产业开发区生态环境局批复（榕高新区环评〔2023〕6号）。2023年12月3日企业完成排污登记（91350102MAC6AQCU19001X）。2024年10月，至期光子委托福建创投环保科技有限公司编制《福建至期光子科技有限公司超精密核心光学及晶体元器件生产项目建设竣工环境保护验收监测报告表》；2024年10月12日，该项目通过验收组验收。</w:t>
            </w:r>
          </w:p>
          <w:p w14:paraId="4EB1312F">
            <w:p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（2）二期工程</w:t>
            </w:r>
          </w:p>
          <w:p w14:paraId="373929F1">
            <w:p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2025年，至期光子租赁福建省菲格园区开发管理有限公司2#厂房2层，拟建设GE项目改造工程。至期光子委托福建环诺科技有限公司于2025年9月编制完成《GE项目改造工程环境影响报告表》，并于2025年9月25日取得福州高新技术产业开发区生态环境局的批复(榕高新区环评〔2025〕21号)。2025年9月28日企业重新进行了排污登记（91350102MAC6AQCU19001X）。2025年11月，至期光子委托福建兴顺达环保科技有限公司编制完成《福建至期光子科技有限公司GE项目改造工程竣工环境保护验收监测报告表》；2025年11月15日，该项目通过验收组验收。</w:t>
            </w:r>
          </w:p>
          <w:p w14:paraId="45BA4735">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2.10.2现有工程环保设施情况</w:t>
            </w:r>
          </w:p>
          <w:p w14:paraId="7C01E765">
            <w:pPr>
              <w:spacing w:line="360" w:lineRule="auto"/>
              <w:ind w:firstLine="480" w:firstLineChars="200"/>
              <w:rPr>
                <w:rFonts w:hint="default"/>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根据现有工程竣工环境保护验收报告表及建设单位提供的相关资料，现有工程已建设完成的环保设施有污水处理设施、废气处理设施及危险废物暂存间等，各环保设施均正常运行。现有工程环保措施情况如下：</w:t>
            </w:r>
          </w:p>
          <w:p w14:paraId="3BD305A9">
            <w:pPr>
              <w:spacing w:line="360" w:lineRule="auto"/>
              <w:ind w:firstLine="480" w:firstLineChars="200"/>
              <w:rPr>
                <w:rFonts w:hint="default"/>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（1）废水</w:t>
            </w:r>
          </w:p>
          <w:p w14:paraId="2C44A5C3">
            <w:p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厂区采用雨污分流，废水主要为生产废水和员工生活污水。</w:t>
            </w:r>
          </w:p>
          <w:p w14:paraId="1E0E777C">
            <w:p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生产废水依托厂区已建的三级沉淀池预处理后排入市政污水管网，纳入福州大学城污水处理厂统一处理；生活污水依托厂区现有化粪池处理后排入市政污水管网，送往福州大学城污水处理厂集中处理。雨水排入雨水管网，就近排入区域内河网。</w:t>
            </w:r>
          </w:p>
          <w:p w14:paraId="1C4E0A26">
            <w:pPr>
              <w:spacing w:line="360" w:lineRule="auto"/>
              <w:ind w:firstLine="480" w:firstLineChars="200"/>
              <w:rPr>
                <w:rFonts w:hint="default"/>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（2）废气</w:t>
            </w:r>
          </w:p>
          <w:p w14:paraId="1B93ADDE">
            <w:p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现有工程生产车间各股废气均采用集气罩收集，其中东区有机废气经收集后引至“二级活性炭吸附装置1#”处理后由1根25m高排气筒排放(DA001)；西区有机废气经收集后引至“二级活性炭吸附装置2#”处理后由1根25m高排气筒排放(DA002)；晶体生长车间产生的有机废气经收集后引至新增的3套“二级活性炭吸附装置3#~5#”处理后合并由1根25m高排气筒排放（DA003）。</w:t>
            </w:r>
          </w:p>
          <w:p w14:paraId="5C59C152">
            <w:pPr>
              <w:spacing w:line="360" w:lineRule="auto"/>
              <w:ind w:firstLine="480" w:firstLineChars="200"/>
              <w:rPr>
                <w:rFonts w:hint="default"/>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（3）噪声</w:t>
            </w:r>
          </w:p>
          <w:p w14:paraId="57ABA4BC">
            <w:p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项目选用低噪声设备，加强设备的维护管理；对高噪声设备进行基础减振、通过厂房墙体隔声等综合降噪措施。</w:t>
            </w:r>
          </w:p>
          <w:p w14:paraId="4F084961">
            <w:pPr>
              <w:spacing w:line="360" w:lineRule="auto"/>
              <w:ind w:firstLine="480" w:firstLineChars="200"/>
              <w:rPr>
                <w:rFonts w:hint="default"/>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（4）固废</w:t>
            </w:r>
          </w:p>
          <w:p w14:paraId="39EB2EF2">
            <w:p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一般固废暂存在一般固废贮存库，</w:t>
            </w:r>
            <w:r>
              <w:rPr>
                <w:rFonts w:hint="eastAsia"/>
                <w:bCs/>
                <w:color w:val="000000" w:themeColor="text1"/>
                <w:sz w:val="24"/>
                <w:highlight w:val="none"/>
                <w14:textFill>
                  <w14:solidFill>
                    <w14:schemeClr w14:val="tx1"/>
                  </w14:solidFill>
                </w14:textFill>
              </w:rPr>
              <w:t>由企业</w:t>
            </w:r>
            <w:r>
              <w:rPr>
                <w:rFonts w:hint="eastAsia"/>
                <w:bCs/>
                <w:color w:val="000000" w:themeColor="text1"/>
                <w:sz w:val="24"/>
                <w:szCs w:val="24"/>
                <w:highlight w:val="none"/>
                <w:u w:val="none"/>
                <w:lang w:val="en-US" w:eastAsia="zh-CN"/>
                <w14:textFill>
                  <w14:solidFill>
                    <w14:schemeClr w14:val="tx1"/>
                  </w14:solidFill>
                </w14:textFill>
              </w:rPr>
              <w:t>定期外售给物资回收单位回收利用。</w:t>
            </w:r>
          </w:p>
          <w:p w14:paraId="283B626D">
            <w:p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危险废物暂存危废间，</w:t>
            </w:r>
            <w:r>
              <w:rPr>
                <w:rFonts w:hint="eastAsia"/>
                <w:bCs/>
                <w:color w:val="000000" w:themeColor="text1"/>
                <w:sz w:val="24"/>
                <w:highlight w:val="none"/>
                <w14:textFill>
                  <w14:solidFill>
                    <w14:schemeClr w14:val="tx1"/>
                  </w14:solidFill>
                </w14:textFill>
              </w:rPr>
              <w:t>由企业</w:t>
            </w:r>
            <w:r>
              <w:rPr>
                <w:rFonts w:hint="eastAsia"/>
                <w:bCs/>
                <w:color w:val="000000" w:themeColor="text1"/>
                <w:sz w:val="24"/>
                <w:szCs w:val="24"/>
                <w:highlight w:val="none"/>
                <w:u w:val="none"/>
                <w:lang w:val="en-US" w:eastAsia="zh-CN"/>
                <w14:textFill>
                  <w14:solidFill>
                    <w14:schemeClr w14:val="tx1"/>
                  </w14:solidFill>
                </w14:textFill>
              </w:rPr>
              <w:t>定期委托福建绿洲固体废物处置有限公司处置。</w:t>
            </w:r>
          </w:p>
          <w:p w14:paraId="025777FC">
            <w:p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生活垃圾</w:t>
            </w:r>
            <w:r>
              <w:rPr>
                <w:rFonts w:hint="eastAsia"/>
                <w:bCs/>
                <w:color w:val="000000" w:themeColor="text1"/>
                <w:sz w:val="24"/>
                <w:highlight w:val="none"/>
                <w14:textFill>
                  <w14:solidFill>
                    <w14:schemeClr w14:val="tx1"/>
                  </w14:solidFill>
                </w14:textFill>
              </w:rPr>
              <w:t>由企业</w:t>
            </w:r>
            <w:r>
              <w:rPr>
                <w:rFonts w:hint="eastAsia"/>
                <w:bCs/>
                <w:color w:val="000000" w:themeColor="text1"/>
                <w:sz w:val="24"/>
                <w:szCs w:val="24"/>
                <w:highlight w:val="none"/>
                <w:u w:val="none"/>
                <w:lang w:val="en-US" w:eastAsia="zh-CN"/>
                <w14:textFill>
                  <w14:solidFill>
                    <w14:schemeClr w14:val="tx1"/>
                  </w14:solidFill>
                </w14:textFill>
              </w:rPr>
              <w:t>委托环卫部门定期清运。</w:t>
            </w:r>
          </w:p>
          <w:p w14:paraId="199867CD">
            <w:p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（5）环境风险</w:t>
            </w:r>
          </w:p>
          <w:p w14:paraId="0E496422">
            <w:pPr>
              <w:spacing w:line="360" w:lineRule="auto"/>
              <w:ind w:firstLine="480" w:firstLineChars="200"/>
              <w:rPr>
                <w:rFonts w:hint="default"/>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现有工程不设置应急池，</w:t>
            </w:r>
            <w:r>
              <w:rPr>
                <w:rFonts w:hint="default"/>
                <w:bCs/>
                <w:color w:val="000000" w:themeColor="text1"/>
                <w:sz w:val="24"/>
                <w:szCs w:val="24"/>
                <w:highlight w:val="none"/>
                <w:u w:val="none"/>
                <w:lang w:val="en-US" w:eastAsia="zh-CN"/>
                <w14:textFill>
                  <w14:solidFill>
                    <w14:schemeClr w14:val="tx1"/>
                  </w14:solidFill>
                </w14:textFill>
              </w:rPr>
              <w:t>危废库设置防渗漏措施，厂房配备应急救援物资。发生危险化学品泄漏时，应首先关闭厂区的雨水排放阀门，随后对泄漏的化学品进行及时</w:t>
            </w:r>
            <w:r>
              <w:rPr>
                <w:rFonts w:hint="eastAsia"/>
                <w:bCs/>
                <w:color w:val="000000" w:themeColor="text1"/>
                <w:sz w:val="24"/>
                <w:szCs w:val="24"/>
                <w:highlight w:val="none"/>
                <w:u w:val="none"/>
                <w:lang w:val="en-US" w:eastAsia="zh-CN"/>
                <w14:textFill>
                  <w14:solidFill>
                    <w14:schemeClr w14:val="tx1"/>
                  </w14:solidFill>
                </w14:textFill>
              </w:rPr>
              <w:t>进行</w:t>
            </w:r>
            <w:r>
              <w:rPr>
                <w:rFonts w:hint="default"/>
                <w:bCs/>
                <w:color w:val="000000" w:themeColor="text1"/>
                <w:sz w:val="24"/>
                <w:szCs w:val="24"/>
                <w:highlight w:val="none"/>
                <w:u w:val="none"/>
                <w:lang w:val="en-US" w:eastAsia="zh-CN"/>
                <w14:textFill>
                  <w14:solidFill>
                    <w14:schemeClr w14:val="tx1"/>
                  </w14:solidFill>
                </w14:textFill>
              </w:rPr>
              <w:t>收集，收集后委托给有资质的单位进行处置。进行危险化学品处置时，应佩戴防护用具，确保人身安全。</w:t>
            </w:r>
          </w:p>
          <w:p w14:paraId="656FAE8C">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2.10.3现有工程污染物排放情况</w:t>
            </w:r>
          </w:p>
          <w:p w14:paraId="2F5BDA53">
            <w:p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根据现场调查，结合《福建至期光子科技有限公司GE项目改造工程竣工环境保护验收监测报告表》（2025年11月），以及建设单位提供的相关资料，现有工程污染物排放情况如下：</w:t>
            </w:r>
          </w:p>
          <w:p w14:paraId="087D5B3B">
            <w:p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(一)废水</w:t>
            </w:r>
          </w:p>
          <w:p w14:paraId="39B41D2E">
            <w:p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根据验收检测结果：项目经污水处理站处置后的生产废水和经过化粪池处理的生活污水排入园区污水管网，废水中各污染物指标均能达到《污水综合排放标准》(GB8978-1996)表4三级标准(其中氨氮参考GB/T31962-2015《污水排入城镇下水道水质标准》表1中B等级标准)。</w:t>
            </w:r>
          </w:p>
          <w:p w14:paraId="3A708086">
            <w:p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(二)废气</w:t>
            </w:r>
          </w:p>
          <w:p w14:paraId="6053C9BC">
            <w:p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（1）有组织废气</w:t>
            </w:r>
          </w:p>
          <w:p w14:paraId="720725AB">
            <w:p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根据验收检测结果：GE改造项目晶体生产车间DA003排气筒出口废气中颗粒物浓度平均值为1.6mg/m</w:t>
            </w:r>
            <w:r>
              <w:rPr>
                <w:rFonts w:hint="eastAsia"/>
                <w:bCs/>
                <w:color w:val="000000" w:themeColor="text1"/>
                <w:sz w:val="24"/>
                <w:szCs w:val="24"/>
                <w:highlight w:val="none"/>
                <w:u w:val="none"/>
                <w:vertAlign w:val="superscript"/>
                <w:lang w:val="en-US" w:eastAsia="zh-CN"/>
                <w14:textFill>
                  <w14:solidFill>
                    <w14:schemeClr w14:val="tx1"/>
                  </w14:solidFill>
                </w14:textFill>
              </w:rPr>
              <w:t>3</w:t>
            </w:r>
            <w:r>
              <w:rPr>
                <w:rFonts w:hint="eastAsia"/>
                <w:bCs/>
                <w:color w:val="000000" w:themeColor="text1"/>
                <w:sz w:val="24"/>
                <w:szCs w:val="24"/>
                <w:highlight w:val="none"/>
                <w:u w:val="none"/>
                <w:lang w:val="en-US" w:eastAsia="zh-CN"/>
                <w14:textFill>
                  <w14:solidFill>
                    <w14:schemeClr w14:val="tx1"/>
                  </w14:solidFill>
                </w14:textFill>
              </w:rPr>
              <w:t>，排放速率为0.024kg/h，符合《大气污染物综合排放标准》(GB16297-1996)表2二级标准要求;非甲烷总烃浓度平均值为6.1mg/m</w:t>
            </w:r>
            <w:r>
              <w:rPr>
                <w:rFonts w:hint="eastAsia"/>
                <w:bCs/>
                <w:color w:val="000000" w:themeColor="text1"/>
                <w:sz w:val="24"/>
                <w:szCs w:val="24"/>
                <w:highlight w:val="none"/>
                <w:u w:val="none"/>
                <w:vertAlign w:val="superscript"/>
                <w:lang w:val="en-US" w:eastAsia="zh-CN"/>
                <w14:textFill>
                  <w14:solidFill>
                    <w14:schemeClr w14:val="tx1"/>
                  </w14:solidFill>
                </w14:textFill>
              </w:rPr>
              <w:t>3</w:t>
            </w:r>
            <w:r>
              <w:rPr>
                <w:rFonts w:hint="eastAsia"/>
                <w:bCs/>
                <w:color w:val="000000" w:themeColor="text1"/>
                <w:sz w:val="24"/>
                <w:szCs w:val="24"/>
                <w:highlight w:val="none"/>
                <w:u w:val="none"/>
                <w:lang w:val="en-US" w:eastAsia="zh-CN"/>
                <w14:textFill>
                  <w14:solidFill>
                    <w14:schemeClr w14:val="tx1"/>
                  </w14:solidFill>
                </w14:textFill>
              </w:rPr>
              <w:t>，排放速率为0.092kg/h，符合《工业企业挥发性有机物排放标准》(DB35/1782-2018)表1排气筒挥发性有机物排放限值要求(≤80mg/m</w:t>
            </w:r>
            <w:r>
              <w:rPr>
                <w:rFonts w:hint="eastAsia"/>
                <w:bCs/>
                <w:color w:val="000000" w:themeColor="text1"/>
                <w:sz w:val="24"/>
                <w:szCs w:val="24"/>
                <w:highlight w:val="none"/>
                <w:u w:val="none"/>
                <w:vertAlign w:val="superscript"/>
                <w:lang w:val="en-US" w:eastAsia="zh-CN"/>
                <w14:textFill>
                  <w14:solidFill>
                    <w14:schemeClr w14:val="tx1"/>
                  </w14:solidFill>
                </w14:textFill>
              </w:rPr>
              <w:t>3</w:t>
            </w:r>
            <w:r>
              <w:rPr>
                <w:rFonts w:hint="eastAsia"/>
                <w:bCs/>
                <w:color w:val="000000" w:themeColor="text1"/>
                <w:sz w:val="24"/>
                <w:szCs w:val="24"/>
                <w:highlight w:val="none"/>
                <w:u w:val="none"/>
                <w:lang w:val="en-US" w:eastAsia="zh-CN"/>
                <w14:textFill>
                  <w14:solidFill>
                    <w14:schemeClr w14:val="tx1"/>
                  </w14:solidFill>
                </w14:textFill>
              </w:rPr>
              <w:t>)。</w:t>
            </w:r>
          </w:p>
          <w:p w14:paraId="3A7955CB">
            <w:pPr>
              <w:spacing w:line="360" w:lineRule="auto"/>
              <w:ind w:firstLine="480" w:firstLineChars="200"/>
              <w:rPr>
                <w:rFonts w:hint="default"/>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（2）</w:t>
            </w:r>
            <w:r>
              <w:rPr>
                <w:rFonts w:hint="default"/>
                <w:bCs/>
                <w:color w:val="000000" w:themeColor="text1"/>
                <w:sz w:val="24"/>
                <w:szCs w:val="24"/>
                <w:highlight w:val="none"/>
                <w:u w:val="none"/>
                <w:lang w:val="en-US" w:eastAsia="zh-CN"/>
                <w14:textFill>
                  <w14:solidFill>
                    <w14:schemeClr w14:val="tx1"/>
                  </w14:solidFill>
                </w14:textFill>
              </w:rPr>
              <w:t>无组织废气</w:t>
            </w:r>
          </w:p>
          <w:p w14:paraId="694A80CB">
            <w:pPr>
              <w:spacing w:line="360" w:lineRule="auto"/>
              <w:ind w:firstLine="480" w:firstLineChars="200"/>
              <w:rPr>
                <w:rFonts w:hint="default"/>
                <w:bCs/>
                <w:color w:val="000000" w:themeColor="text1"/>
                <w:sz w:val="24"/>
                <w:szCs w:val="24"/>
                <w:highlight w:val="none"/>
                <w:u w:val="none"/>
                <w:lang w:val="en-US" w:eastAsia="zh-CN"/>
                <w14:textFill>
                  <w14:solidFill>
                    <w14:schemeClr w14:val="tx1"/>
                  </w14:solidFill>
                </w14:textFill>
              </w:rPr>
            </w:pPr>
            <w:r>
              <w:rPr>
                <w:rFonts w:hint="default"/>
                <w:bCs/>
                <w:color w:val="000000" w:themeColor="text1"/>
                <w:sz w:val="24"/>
                <w:szCs w:val="24"/>
                <w:highlight w:val="none"/>
                <w:u w:val="none"/>
                <w:lang w:val="en-US" w:eastAsia="zh-CN"/>
                <w14:textFill>
                  <w14:solidFill>
                    <w14:schemeClr w14:val="tx1"/>
                  </w14:solidFill>
                </w14:textFill>
              </w:rPr>
              <w:t>根据验收检测结果:监测期间厂界颗粒物的最大检出值为0.247mg/m</w:t>
            </w:r>
            <w:r>
              <w:rPr>
                <w:rFonts w:hint="default"/>
                <w:bCs/>
                <w:color w:val="000000" w:themeColor="text1"/>
                <w:sz w:val="24"/>
                <w:szCs w:val="24"/>
                <w:highlight w:val="none"/>
                <w:u w:val="none"/>
                <w:vertAlign w:val="superscript"/>
                <w:lang w:val="en-US" w:eastAsia="zh-CN"/>
                <w14:textFill>
                  <w14:solidFill>
                    <w14:schemeClr w14:val="tx1"/>
                  </w14:solidFill>
                </w14:textFill>
              </w:rPr>
              <w:t>3</w:t>
            </w:r>
            <w:r>
              <w:rPr>
                <w:rFonts w:hint="default"/>
                <w:bCs/>
                <w:color w:val="000000" w:themeColor="text1"/>
                <w:sz w:val="24"/>
                <w:szCs w:val="24"/>
                <w:highlight w:val="none"/>
                <w:u w:val="none"/>
                <w:lang w:val="en-US" w:eastAsia="zh-CN"/>
                <w14:textFill>
                  <w14:solidFill>
                    <w14:schemeClr w14:val="tx1"/>
                  </w14:solidFill>
                </w14:textFill>
              </w:rPr>
              <w:t>，符合《大气污染物综合排放标准》(GB16297-1996)表2中颗粒物无组织排放浓度限值(≤1.0mg/m</w:t>
            </w:r>
            <w:r>
              <w:rPr>
                <w:rFonts w:hint="default"/>
                <w:bCs/>
                <w:color w:val="000000" w:themeColor="text1"/>
                <w:sz w:val="24"/>
                <w:szCs w:val="24"/>
                <w:highlight w:val="none"/>
                <w:u w:val="none"/>
                <w:vertAlign w:val="superscript"/>
                <w:lang w:val="en-US" w:eastAsia="zh-CN"/>
                <w14:textFill>
                  <w14:solidFill>
                    <w14:schemeClr w14:val="tx1"/>
                  </w14:solidFill>
                </w14:textFill>
              </w:rPr>
              <w:t>3</w:t>
            </w:r>
            <w:r>
              <w:rPr>
                <w:rFonts w:hint="default"/>
                <w:bCs/>
                <w:color w:val="000000" w:themeColor="text1"/>
                <w:sz w:val="24"/>
                <w:szCs w:val="24"/>
                <w:highlight w:val="none"/>
                <w:u w:val="none"/>
                <w:lang w:val="en-US" w:eastAsia="zh-CN"/>
                <w14:textFill>
                  <w14:solidFill>
                    <w14:schemeClr w14:val="tx1"/>
                  </w14:solidFill>
                </w14:textFill>
              </w:rPr>
              <w:t>)</w:t>
            </w:r>
            <w:r>
              <w:rPr>
                <w:rFonts w:hint="eastAsia"/>
                <w:bCs/>
                <w:color w:val="000000" w:themeColor="text1"/>
                <w:sz w:val="24"/>
                <w:szCs w:val="24"/>
                <w:highlight w:val="none"/>
                <w:u w:val="none"/>
                <w:lang w:val="en-US" w:eastAsia="zh-CN"/>
                <w14:textFill>
                  <w14:solidFill>
                    <w14:schemeClr w14:val="tx1"/>
                  </w14:solidFill>
                </w14:textFill>
              </w:rPr>
              <w:t>；</w:t>
            </w:r>
            <w:r>
              <w:rPr>
                <w:rFonts w:hint="default"/>
                <w:bCs/>
                <w:color w:val="000000" w:themeColor="text1"/>
                <w:sz w:val="24"/>
                <w:szCs w:val="24"/>
                <w:highlight w:val="none"/>
                <w:u w:val="none"/>
                <w:lang w:val="en-US" w:eastAsia="zh-CN"/>
                <w14:textFill>
                  <w14:solidFill>
                    <w14:schemeClr w14:val="tx1"/>
                  </w14:solidFill>
                </w14:textFill>
              </w:rPr>
              <w:t>监测期间厂界非甲烷总烃的最大检出值为1.01mg/m</w:t>
            </w:r>
            <w:r>
              <w:rPr>
                <w:rFonts w:hint="default"/>
                <w:bCs/>
                <w:color w:val="000000" w:themeColor="text1"/>
                <w:sz w:val="24"/>
                <w:szCs w:val="24"/>
                <w:highlight w:val="none"/>
                <w:u w:val="none"/>
                <w:vertAlign w:val="superscript"/>
                <w:lang w:val="en-US" w:eastAsia="zh-CN"/>
                <w14:textFill>
                  <w14:solidFill>
                    <w14:schemeClr w14:val="tx1"/>
                  </w14:solidFill>
                </w14:textFill>
              </w:rPr>
              <w:t>3</w:t>
            </w:r>
            <w:r>
              <w:rPr>
                <w:rFonts w:hint="default"/>
                <w:bCs/>
                <w:color w:val="000000" w:themeColor="text1"/>
                <w:sz w:val="24"/>
                <w:szCs w:val="24"/>
                <w:highlight w:val="none"/>
                <w:u w:val="none"/>
                <w:lang w:val="en-US" w:eastAsia="zh-CN"/>
                <w14:textFill>
                  <w14:solidFill>
                    <w14:schemeClr w14:val="tx1"/>
                  </w14:solidFill>
                </w14:textFill>
              </w:rPr>
              <w:t>，可达到《工业企业挥发性有机物排放标准》(DB35/1782-2018)中表2相应标准(</w:t>
            </w:r>
            <w:r>
              <w:rPr>
                <w:rFonts w:hint="eastAsia"/>
                <w:bCs/>
                <w:color w:val="000000" w:themeColor="text1"/>
                <w:sz w:val="24"/>
                <w:szCs w:val="24"/>
                <w:highlight w:val="none"/>
                <w:u w:val="none"/>
                <w:lang w:val="en-US" w:eastAsia="zh-CN"/>
                <w14:textFill>
                  <w14:solidFill>
                    <w14:schemeClr w14:val="tx1"/>
                  </w14:solidFill>
                </w14:textFill>
              </w:rPr>
              <w:t>≤</w:t>
            </w:r>
            <w:r>
              <w:rPr>
                <w:rFonts w:hint="default"/>
                <w:bCs/>
                <w:color w:val="000000" w:themeColor="text1"/>
                <w:sz w:val="24"/>
                <w:szCs w:val="24"/>
                <w:highlight w:val="none"/>
                <w:u w:val="none"/>
                <w:lang w:val="en-US" w:eastAsia="zh-CN"/>
                <w14:textFill>
                  <w14:solidFill>
                    <w14:schemeClr w14:val="tx1"/>
                  </w14:solidFill>
                </w14:textFill>
              </w:rPr>
              <w:t>2.0mg/m</w:t>
            </w:r>
            <w:r>
              <w:rPr>
                <w:rFonts w:hint="default"/>
                <w:bCs/>
                <w:color w:val="000000" w:themeColor="text1"/>
                <w:sz w:val="24"/>
                <w:szCs w:val="24"/>
                <w:highlight w:val="none"/>
                <w:u w:val="none"/>
                <w:vertAlign w:val="superscript"/>
                <w:lang w:val="en-US" w:eastAsia="zh-CN"/>
                <w14:textFill>
                  <w14:solidFill>
                    <w14:schemeClr w14:val="tx1"/>
                  </w14:solidFill>
                </w14:textFill>
              </w:rPr>
              <w:t>3</w:t>
            </w:r>
            <w:r>
              <w:rPr>
                <w:rFonts w:hint="default"/>
                <w:bCs/>
                <w:color w:val="000000" w:themeColor="text1"/>
                <w:sz w:val="24"/>
                <w:szCs w:val="24"/>
                <w:highlight w:val="none"/>
                <w:u w:val="none"/>
                <w:lang w:val="en-US" w:eastAsia="zh-CN"/>
                <w14:textFill>
                  <w14:solidFill>
                    <w14:schemeClr w14:val="tx1"/>
                  </w14:solidFill>
                </w14:textFill>
              </w:rPr>
              <w:t>)</w:t>
            </w:r>
            <w:r>
              <w:rPr>
                <w:rFonts w:hint="eastAsia"/>
                <w:bCs/>
                <w:color w:val="000000" w:themeColor="text1"/>
                <w:sz w:val="24"/>
                <w:szCs w:val="24"/>
                <w:highlight w:val="none"/>
                <w:u w:val="none"/>
                <w:lang w:val="en-US" w:eastAsia="zh-CN"/>
                <w14:textFill>
                  <w14:solidFill>
                    <w14:schemeClr w14:val="tx1"/>
                  </w14:solidFill>
                </w14:textFill>
              </w:rPr>
              <w:t>；</w:t>
            </w:r>
            <w:r>
              <w:rPr>
                <w:rFonts w:hint="default"/>
                <w:bCs/>
                <w:color w:val="000000" w:themeColor="text1"/>
                <w:sz w:val="24"/>
                <w:szCs w:val="24"/>
                <w:highlight w:val="none"/>
                <w:u w:val="none"/>
                <w:lang w:val="en-US" w:eastAsia="zh-CN"/>
                <w14:textFill>
                  <w14:solidFill>
                    <w14:schemeClr w14:val="tx1"/>
                  </w14:solidFill>
                </w14:textFill>
              </w:rPr>
              <w:t>厂区内非甲烷总烃最大检出值为4.57mg/m</w:t>
            </w:r>
            <w:r>
              <w:rPr>
                <w:rFonts w:hint="default"/>
                <w:bCs/>
                <w:color w:val="000000" w:themeColor="text1"/>
                <w:sz w:val="24"/>
                <w:szCs w:val="24"/>
                <w:highlight w:val="none"/>
                <w:u w:val="none"/>
                <w:vertAlign w:val="superscript"/>
                <w:lang w:val="en-US" w:eastAsia="zh-CN"/>
                <w14:textFill>
                  <w14:solidFill>
                    <w14:schemeClr w14:val="tx1"/>
                  </w14:solidFill>
                </w14:textFill>
              </w:rPr>
              <w:t>3</w:t>
            </w:r>
            <w:r>
              <w:rPr>
                <w:rFonts w:hint="default"/>
                <w:bCs/>
                <w:color w:val="000000" w:themeColor="text1"/>
                <w:sz w:val="24"/>
                <w:szCs w:val="24"/>
                <w:highlight w:val="none"/>
                <w:u w:val="none"/>
                <w:lang w:val="en-US" w:eastAsia="zh-CN"/>
                <w14:textFill>
                  <w14:solidFill>
                    <w14:schemeClr w14:val="tx1"/>
                  </w14:solidFill>
                </w14:textFill>
              </w:rPr>
              <w:t>，可达到《工业企业挥发性有机物排放标准》(DB35/1782-2018)中表3标准限值要求(≤8mg/m</w:t>
            </w:r>
            <w:r>
              <w:rPr>
                <w:rFonts w:hint="default"/>
                <w:bCs/>
                <w:color w:val="000000" w:themeColor="text1"/>
                <w:sz w:val="24"/>
                <w:szCs w:val="24"/>
                <w:highlight w:val="none"/>
                <w:u w:val="none"/>
                <w:vertAlign w:val="superscript"/>
                <w:lang w:val="en-US" w:eastAsia="zh-CN"/>
                <w14:textFill>
                  <w14:solidFill>
                    <w14:schemeClr w14:val="tx1"/>
                  </w14:solidFill>
                </w14:textFill>
              </w:rPr>
              <w:t>3</w:t>
            </w:r>
            <w:r>
              <w:rPr>
                <w:rFonts w:hint="default"/>
                <w:bCs/>
                <w:color w:val="000000" w:themeColor="text1"/>
                <w:sz w:val="24"/>
                <w:szCs w:val="24"/>
                <w:highlight w:val="none"/>
                <w:u w:val="none"/>
                <w:lang w:val="en-US" w:eastAsia="zh-CN"/>
                <w14:textFill>
                  <w14:solidFill>
                    <w14:schemeClr w14:val="tx1"/>
                  </w14:solidFill>
                </w14:textFill>
              </w:rPr>
              <w:t>)，厂区内任意一次非甲烷总烃最大检出值为4.57mg/m</w:t>
            </w:r>
            <w:r>
              <w:rPr>
                <w:rFonts w:hint="default"/>
                <w:bCs/>
                <w:color w:val="000000" w:themeColor="text1"/>
                <w:sz w:val="24"/>
                <w:szCs w:val="24"/>
                <w:highlight w:val="none"/>
                <w:u w:val="none"/>
                <w:vertAlign w:val="superscript"/>
                <w:lang w:val="en-US" w:eastAsia="zh-CN"/>
                <w14:textFill>
                  <w14:solidFill>
                    <w14:schemeClr w14:val="tx1"/>
                  </w14:solidFill>
                </w14:textFill>
              </w:rPr>
              <w:t>3</w:t>
            </w:r>
            <w:r>
              <w:rPr>
                <w:rFonts w:hint="default"/>
                <w:bCs/>
                <w:color w:val="000000" w:themeColor="text1"/>
                <w:sz w:val="24"/>
                <w:szCs w:val="24"/>
                <w:highlight w:val="none"/>
                <w:u w:val="none"/>
                <w:lang w:val="en-US" w:eastAsia="zh-CN"/>
                <w14:textFill>
                  <w14:solidFill>
                    <w14:schemeClr w14:val="tx1"/>
                  </w14:solidFill>
                </w14:textFill>
              </w:rPr>
              <w:t>，满足《挥发性有机物无组织排放控制标准》(GB37822-2019)表A.1相关限值要求(≤30mg/m</w:t>
            </w:r>
            <w:r>
              <w:rPr>
                <w:rFonts w:hint="default"/>
                <w:bCs/>
                <w:color w:val="000000" w:themeColor="text1"/>
                <w:sz w:val="24"/>
                <w:szCs w:val="24"/>
                <w:highlight w:val="none"/>
                <w:u w:val="none"/>
                <w:vertAlign w:val="superscript"/>
                <w:lang w:val="en-US" w:eastAsia="zh-CN"/>
                <w14:textFill>
                  <w14:solidFill>
                    <w14:schemeClr w14:val="tx1"/>
                  </w14:solidFill>
                </w14:textFill>
              </w:rPr>
              <w:t>3</w:t>
            </w:r>
            <w:r>
              <w:rPr>
                <w:rFonts w:hint="default"/>
                <w:bCs/>
                <w:color w:val="000000" w:themeColor="text1"/>
                <w:sz w:val="24"/>
                <w:szCs w:val="24"/>
                <w:highlight w:val="none"/>
                <w:u w:val="none"/>
                <w:lang w:val="en-US" w:eastAsia="zh-CN"/>
                <w14:textFill>
                  <w14:solidFill>
                    <w14:schemeClr w14:val="tx1"/>
                  </w14:solidFill>
                </w14:textFill>
              </w:rPr>
              <w:t>)。</w:t>
            </w:r>
          </w:p>
          <w:p w14:paraId="4BF7CBF1">
            <w:pPr>
              <w:spacing w:line="360" w:lineRule="auto"/>
              <w:ind w:firstLine="480" w:firstLineChars="200"/>
              <w:rPr>
                <w:rFonts w:hint="default"/>
                <w:bCs/>
                <w:color w:val="000000" w:themeColor="text1"/>
                <w:sz w:val="24"/>
                <w:szCs w:val="24"/>
                <w:highlight w:val="none"/>
                <w:u w:val="none"/>
                <w:lang w:val="en-US" w:eastAsia="zh-CN"/>
                <w14:textFill>
                  <w14:solidFill>
                    <w14:schemeClr w14:val="tx1"/>
                  </w14:solidFill>
                </w14:textFill>
              </w:rPr>
            </w:pPr>
            <w:r>
              <w:rPr>
                <w:rFonts w:hint="default"/>
                <w:bCs/>
                <w:color w:val="000000" w:themeColor="text1"/>
                <w:sz w:val="24"/>
                <w:szCs w:val="24"/>
                <w:highlight w:val="none"/>
                <w:u w:val="none"/>
                <w:lang w:val="en-US" w:eastAsia="zh-CN"/>
                <w14:textFill>
                  <w14:solidFill>
                    <w14:schemeClr w14:val="tx1"/>
                  </w14:solidFill>
                </w14:textFill>
              </w:rPr>
              <w:t>(</w:t>
            </w:r>
            <w:r>
              <w:rPr>
                <w:rFonts w:hint="eastAsia"/>
                <w:bCs/>
                <w:color w:val="000000" w:themeColor="text1"/>
                <w:sz w:val="24"/>
                <w:szCs w:val="24"/>
                <w:highlight w:val="none"/>
                <w:u w:val="none"/>
                <w:lang w:val="en-US" w:eastAsia="zh-CN"/>
                <w14:textFill>
                  <w14:solidFill>
                    <w14:schemeClr w14:val="tx1"/>
                  </w14:solidFill>
                </w14:textFill>
              </w:rPr>
              <w:t>三</w:t>
            </w:r>
            <w:r>
              <w:rPr>
                <w:rFonts w:hint="default"/>
                <w:bCs/>
                <w:color w:val="000000" w:themeColor="text1"/>
                <w:sz w:val="24"/>
                <w:szCs w:val="24"/>
                <w:highlight w:val="none"/>
                <w:u w:val="none"/>
                <w:lang w:val="en-US" w:eastAsia="zh-CN"/>
                <w14:textFill>
                  <w14:solidFill>
                    <w14:schemeClr w14:val="tx1"/>
                  </w14:solidFill>
                </w14:textFill>
              </w:rPr>
              <w:t>)噪声</w:t>
            </w:r>
          </w:p>
          <w:p w14:paraId="0DF93884">
            <w:p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根据验收检测结果：验收监测期间，厂界外的噪声值符合《工业企业厂界噪声标准》(GB12348-2008)中3类标准要求，即昼间≤65dB(A)，企业夜间不生产。</w:t>
            </w:r>
          </w:p>
          <w:p w14:paraId="70C89BE0">
            <w:p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(四)固体废物</w:t>
            </w:r>
          </w:p>
          <w:p w14:paraId="1DF8AB9F">
            <w:p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项目产生的固体废物有工业固废和生活垃圾，其中工业固废包括危险废物和一般工业固废。一般工业固废主要有不合格产品、沉淀废渣、废包装材料、废金刚砂、废边角料、污水站沉渣、废树脂。危险废物主要为废切削油及切削液、废胶桶、废有机溶剂空瓶、废晶体、熔料炉渣、清洗废液、废活性炭、晶体废液等。</w:t>
            </w:r>
          </w:p>
          <w:p w14:paraId="02742971">
            <w:p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根据竣工环保验收调查结果：</w:t>
            </w:r>
          </w:p>
          <w:p w14:paraId="4A1A9B4F">
            <w:pPr>
              <w:numPr>
                <w:ilvl w:val="0"/>
                <w:numId w:val="3"/>
              </w:num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不合格产品产生量为0.8t/a，沉淀废渣产生量为1.0t/a，包装废弃物产生量为0.2t/a，废边角料产生量为0.3t/a，污水站污泥产生量为2t/a，收集后由物资回收单位回收利用。</w:t>
            </w:r>
          </w:p>
          <w:p w14:paraId="62BA92F3">
            <w:pPr>
              <w:numPr>
                <w:ilvl w:val="0"/>
                <w:numId w:val="3"/>
              </w:num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废金刚砂产生量为3.2t/a，收集后由厂家回收处理。</w:t>
            </w:r>
          </w:p>
          <w:p w14:paraId="39840381">
            <w:pPr>
              <w:numPr>
                <w:ilvl w:val="0"/>
                <w:numId w:val="3"/>
              </w:num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废离子交换树脂产生量约11.76t/a，由原厂家定期回收替换。</w:t>
            </w:r>
          </w:p>
          <w:p w14:paraId="7F9F9BD9">
            <w:pPr>
              <w:numPr>
                <w:ilvl w:val="0"/>
                <w:numId w:val="3"/>
              </w:num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废活性炭产生量为24t/a，收集后暂存于危废贮存库，</w:t>
            </w:r>
            <w:r>
              <w:rPr>
                <w:rFonts w:hint="eastAsia"/>
                <w:bCs/>
                <w:color w:val="000000" w:themeColor="text1"/>
                <w:sz w:val="24"/>
                <w:highlight w:val="none"/>
                <w14:textFill>
                  <w14:solidFill>
                    <w14:schemeClr w14:val="tx1"/>
                  </w14:solidFill>
                </w14:textFill>
              </w:rPr>
              <w:t>由企业</w:t>
            </w:r>
            <w:r>
              <w:rPr>
                <w:rFonts w:hint="eastAsia"/>
                <w:bCs/>
                <w:color w:val="000000" w:themeColor="text1"/>
                <w:sz w:val="24"/>
                <w:szCs w:val="24"/>
                <w:highlight w:val="none"/>
                <w:u w:val="none"/>
                <w:lang w:val="en-US" w:eastAsia="zh-CN"/>
                <w14:textFill>
                  <w14:solidFill>
                    <w14:schemeClr w14:val="tx1"/>
                  </w14:solidFill>
                </w14:textFill>
              </w:rPr>
              <w:t>委托福建绿洲固体废物处置有限公司进行处置。</w:t>
            </w:r>
          </w:p>
          <w:p w14:paraId="74407B2A">
            <w:pPr>
              <w:numPr>
                <w:ilvl w:val="0"/>
                <w:numId w:val="3"/>
              </w:num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废切削油及切削液产生量为0.4t/a，收集后暂存于危废贮存库，</w:t>
            </w:r>
            <w:r>
              <w:rPr>
                <w:rFonts w:hint="eastAsia"/>
                <w:bCs/>
                <w:color w:val="000000" w:themeColor="text1"/>
                <w:sz w:val="24"/>
                <w:highlight w:val="none"/>
                <w14:textFill>
                  <w14:solidFill>
                    <w14:schemeClr w14:val="tx1"/>
                  </w14:solidFill>
                </w14:textFill>
              </w:rPr>
              <w:t>由企业</w:t>
            </w:r>
            <w:r>
              <w:rPr>
                <w:rFonts w:hint="eastAsia"/>
                <w:bCs/>
                <w:color w:val="000000" w:themeColor="text1"/>
                <w:sz w:val="24"/>
                <w:szCs w:val="24"/>
                <w:highlight w:val="none"/>
                <w:u w:val="none"/>
                <w:lang w:val="en-US" w:eastAsia="zh-CN"/>
                <w14:textFill>
                  <w14:solidFill>
                    <w14:schemeClr w14:val="tx1"/>
                  </w14:solidFill>
                </w14:textFill>
              </w:rPr>
              <w:t>委托福建绿洲固体废物处置有限公司进行</w:t>
            </w:r>
            <w:r>
              <w:rPr>
                <w:rFonts w:hint="eastAsia"/>
                <w:bCs/>
                <w:color w:val="000000" w:themeColor="text1"/>
                <w:sz w:val="24"/>
                <w:highlight w:val="none"/>
                <w14:textFill>
                  <w14:solidFill>
                    <w14:schemeClr w14:val="tx1"/>
                  </w14:solidFill>
                </w14:textFill>
              </w:rPr>
              <w:t>处置</w:t>
            </w:r>
            <w:r>
              <w:rPr>
                <w:rFonts w:hint="eastAsia"/>
                <w:bCs/>
                <w:color w:val="000000" w:themeColor="text1"/>
                <w:sz w:val="24"/>
                <w:szCs w:val="24"/>
                <w:highlight w:val="none"/>
                <w:u w:val="none"/>
                <w:lang w:val="en-US" w:eastAsia="zh-CN"/>
                <w14:textFill>
                  <w14:solidFill>
                    <w14:schemeClr w14:val="tx1"/>
                  </w14:solidFill>
                </w14:textFill>
              </w:rPr>
              <w:t>。</w:t>
            </w:r>
          </w:p>
          <w:p w14:paraId="6ED89F8B">
            <w:pPr>
              <w:numPr>
                <w:ilvl w:val="0"/>
                <w:numId w:val="3"/>
              </w:num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废胶桶产生量为0.5t/a。收集后暂存于危废贮存库，</w:t>
            </w:r>
            <w:r>
              <w:rPr>
                <w:rFonts w:hint="eastAsia"/>
                <w:bCs/>
                <w:color w:val="000000" w:themeColor="text1"/>
                <w:sz w:val="24"/>
                <w:highlight w:val="none"/>
                <w14:textFill>
                  <w14:solidFill>
                    <w14:schemeClr w14:val="tx1"/>
                  </w14:solidFill>
                </w14:textFill>
              </w:rPr>
              <w:t>由企业</w:t>
            </w:r>
            <w:r>
              <w:rPr>
                <w:rFonts w:hint="eastAsia"/>
                <w:bCs/>
                <w:color w:val="000000" w:themeColor="text1"/>
                <w:sz w:val="24"/>
                <w:szCs w:val="24"/>
                <w:highlight w:val="none"/>
                <w:u w:val="none"/>
                <w:lang w:val="en-US" w:eastAsia="zh-CN"/>
                <w14:textFill>
                  <w14:solidFill>
                    <w14:schemeClr w14:val="tx1"/>
                  </w14:solidFill>
                </w14:textFill>
              </w:rPr>
              <w:t>委托福建绿洲固体废物处置有限公司进行</w:t>
            </w:r>
            <w:r>
              <w:rPr>
                <w:rFonts w:hint="eastAsia"/>
                <w:bCs/>
                <w:color w:val="000000" w:themeColor="text1"/>
                <w:sz w:val="24"/>
                <w:highlight w:val="none"/>
                <w14:textFill>
                  <w14:solidFill>
                    <w14:schemeClr w14:val="tx1"/>
                  </w14:solidFill>
                </w14:textFill>
              </w:rPr>
              <w:t>处置</w:t>
            </w:r>
            <w:r>
              <w:rPr>
                <w:rFonts w:hint="eastAsia"/>
                <w:bCs/>
                <w:color w:val="000000" w:themeColor="text1"/>
                <w:sz w:val="24"/>
                <w:szCs w:val="24"/>
                <w:highlight w:val="none"/>
                <w:u w:val="none"/>
                <w:lang w:val="en-US" w:eastAsia="zh-CN"/>
                <w14:textFill>
                  <w14:solidFill>
                    <w14:schemeClr w14:val="tx1"/>
                  </w14:solidFill>
                </w14:textFill>
              </w:rPr>
              <w:t>。</w:t>
            </w:r>
          </w:p>
          <w:p w14:paraId="664634E2">
            <w:pPr>
              <w:numPr>
                <w:ilvl w:val="0"/>
                <w:numId w:val="3"/>
              </w:num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废有机溶剂空瓶产生量为0.027t/a。收集后暂存于危废贮存库，</w:t>
            </w:r>
            <w:r>
              <w:rPr>
                <w:rFonts w:hint="eastAsia"/>
                <w:bCs/>
                <w:color w:val="000000" w:themeColor="text1"/>
                <w:sz w:val="24"/>
                <w:highlight w:val="none"/>
                <w14:textFill>
                  <w14:solidFill>
                    <w14:schemeClr w14:val="tx1"/>
                  </w14:solidFill>
                </w14:textFill>
              </w:rPr>
              <w:t>由企业</w:t>
            </w:r>
            <w:r>
              <w:rPr>
                <w:rFonts w:hint="eastAsia"/>
                <w:bCs/>
                <w:color w:val="000000" w:themeColor="text1"/>
                <w:sz w:val="24"/>
                <w:szCs w:val="24"/>
                <w:highlight w:val="none"/>
                <w:u w:val="none"/>
                <w:lang w:val="en-US" w:eastAsia="zh-CN"/>
                <w14:textFill>
                  <w14:solidFill>
                    <w14:schemeClr w14:val="tx1"/>
                  </w14:solidFill>
                </w14:textFill>
              </w:rPr>
              <w:t>委托福建绿洲固体废物处置有限公司进行</w:t>
            </w:r>
            <w:r>
              <w:rPr>
                <w:rFonts w:hint="eastAsia"/>
                <w:bCs/>
                <w:color w:val="000000" w:themeColor="text1"/>
                <w:sz w:val="24"/>
                <w:highlight w:val="none"/>
                <w14:textFill>
                  <w14:solidFill>
                    <w14:schemeClr w14:val="tx1"/>
                  </w14:solidFill>
                </w14:textFill>
              </w:rPr>
              <w:t>处置</w:t>
            </w:r>
            <w:r>
              <w:rPr>
                <w:rFonts w:hint="eastAsia"/>
                <w:bCs/>
                <w:color w:val="000000" w:themeColor="text1"/>
                <w:sz w:val="24"/>
                <w:szCs w:val="24"/>
                <w:highlight w:val="none"/>
                <w:u w:val="none"/>
                <w:lang w:val="en-US" w:eastAsia="zh-CN"/>
                <w14:textFill>
                  <w14:solidFill>
                    <w14:schemeClr w14:val="tx1"/>
                  </w14:solidFill>
                </w14:textFill>
              </w:rPr>
              <w:t>。</w:t>
            </w:r>
          </w:p>
          <w:p w14:paraId="5670011F">
            <w:pPr>
              <w:numPr>
                <w:ilvl w:val="0"/>
                <w:numId w:val="3"/>
              </w:num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废晶体产生量为0.2t/a，收集后暂存于危废贮存库，</w:t>
            </w:r>
            <w:r>
              <w:rPr>
                <w:rFonts w:hint="eastAsia"/>
                <w:bCs/>
                <w:color w:val="000000" w:themeColor="text1"/>
                <w:sz w:val="24"/>
                <w:highlight w:val="none"/>
                <w14:textFill>
                  <w14:solidFill>
                    <w14:schemeClr w14:val="tx1"/>
                  </w14:solidFill>
                </w14:textFill>
              </w:rPr>
              <w:t>由企业</w:t>
            </w:r>
            <w:r>
              <w:rPr>
                <w:rFonts w:hint="eastAsia"/>
                <w:bCs/>
                <w:color w:val="000000" w:themeColor="text1"/>
                <w:sz w:val="24"/>
                <w:szCs w:val="24"/>
                <w:highlight w:val="none"/>
                <w:u w:val="none"/>
                <w:lang w:val="en-US" w:eastAsia="zh-CN"/>
                <w14:textFill>
                  <w14:solidFill>
                    <w14:schemeClr w14:val="tx1"/>
                  </w14:solidFill>
                </w14:textFill>
              </w:rPr>
              <w:t>委托福建绿洲固体废物处置有限公司进行</w:t>
            </w:r>
            <w:r>
              <w:rPr>
                <w:rFonts w:hint="eastAsia"/>
                <w:bCs/>
                <w:color w:val="000000" w:themeColor="text1"/>
                <w:sz w:val="24"/>
                <w:highlight w:val="none"/>
                <w14:textFill>
                  <w14:solidFill>
                    <w14:schemeClr w14:val="tx1"/>
                  </w14:solidFill>
                </w14:textFill>
              </w:rPr>
              <w:t>处置</w:t>
            </w:r>
            <w:r>
              <w:rPr>
                <w:rFonts w:hint="eastAsia"/>
                <w:bCs/>
                <w:color w:val="000000" w:themeColor="text1"/>
                <w:sz w:val="24"/>
                <w:szCs w:val="24"/>
                <w:highlight w:val="none"/>
                <w:u w:val="none"/>
                <w:lang w:val="en-US" w:eastAsia="zh-CN"/>
                <w14:textFill>
                  <w14:solidFill>
                    <w14:schemeClr w14:val="tx1"/>
                  </w14:solidFill>
                </w14:textFill>
              </w:rPr>
              <w:t>。</w:t>
            </w:r>
          </w:p>
          <w:p w14:paraId="4B683B82">
            <w:pPr>
              <w:numPr>
                <w:ilvl w:val="0"/>
                <w:numId w:val="3"/>
              </w:num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熔料炉渣产生量为0.5t/a，收集后暂存于危废贮存库，</w:t>
            </w:r>
            <w:r>
              <w:rPr>
                <w:rFonts w:hint="eastAsia"/>
                <w:bCs/>
                <w:color w:val="000000" w:themeColor="text1"/>
                <w:sz w:val="24"/>
                <w:highlight w:val="none"/>
                <w14:textFill>
                  <w14:solidFill>
                    <w14:schemeClr w14:val="tx1"/>
                  </w14:solidFill>
                </w14:textFill>
              </w:rPr>
              <w:t>由企业</w:t>
            </w:r>
            <w:r>
              <w:rPr>
                <w:rFonts w:hint="eastAsia"/>
                <w:bCs/>
                <w:color w:val="000000" w:themeColor="text1"/>
                <w:sz w:val="24"/>
                <w:szCs w:val="24"/>
                <w:highlight w:val="none"/>
                <w:u w:val="none"/>
                <w:lang w:val="en-US" w:eastAsia="zh-CN"/>
                <w14:textFill>
                  <w14:solidFill>
                    <w14:schemeClr w14:val="tx1"/>
                  </w14:solidFill>
                </w14:textFill>
              </w:rPr>
              <w:t>委托福建绿洲固体废物处置有限公司进行</w:t>
            </w:r>
            <w:r>
              <w:rPr>
                <w:rFonts w:hint="eastAsia"/>
                <w:bCs/>
                <w:color w:val="000000" w:themeColor="text1"/>
                <w:sz w:val="24"/>
                <w:highlight w:val="none"/>
                <w14:textFill>
                  <w14:solidFill>
                    <w14:schemeClr w14:val="tx1"/>
                  </w14:solidFill>
                </w14:textFill>
              </w:rPr>
              <w:t>处置</w:t>
            </w:r>
            <w:r>
              <w:rPr>
                <w:rFonts w:hint="eastAsia"/>
                <w:bCs/>
                <w:color w:val="000000" w:themeColor="text1"/>
                <w:sz w:val="24"/>
                <w:szCs w:val="24"/>
                <w:highlight w:val="none"/>
                <w:u w:val="none"/>
                <w:lang w:val="en-US" w:eastAsia="zh-CN"/>
                <w14:textFill>
                  <w14:solidFill>
                    <w14:schemeClr w14:val="tx1"/>
                  </w14:solidFill>
                </w14:textFill>
              </w:rPr>
              <w:t>。</w:t>
            </w:r>
          </w:p>
          <w:p w14:paraId="7E031A6F">
            <w:pPr>
              <w:numPr>
                <w:ilvl w:val="0"/>
                <w:numId w:val="3"/>
              </w:num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晶体生产过程中使用清洗剂进行清洗产生的清洗废液属于危废，产生量为113.44t/a，收集后暂存于危废贮存库，委托福建绿洲固体废物处置有限公司进行</w:t>
            </w:r>
            <w:r>
              <w:rPr>
                <w:rFonts w:hint="eastAsia"/>
                <w:bCs/>
                <w:color w:val="000000" w:themeColor="text1"/>
                <w:sz w:val="24"/>
                <w:highlight w:val="none"/>
                <w14:textFill>
                  <w14:solidFill>
                    <w14:schemeClr w14:val="tx1"/>
                  </w14:solidFill>
                </w14:textFill>
              </w:rPr>
              <w:t>处置</w:t>
            </w:r>
            <w:r>
              <w:rPr>
                <w:rFonts w:hint="eastAsia"/>
                <w:bCs/>
                <w:color w:val="000000" w:themeColor="text1"/>
                <w:sz w:val="24"/>
                <w:szCs w:val="24"/>
                <w:highlight w:val="none"/>
                <w:u w:val="none"/>
                <w:lang w:val="en-US" w:eastAsia="zh-CN"/>
                <w14:textFill>
                  <w14:solidFill>
                    <w14:schemeClr w14:val="tx1"/>
                  </w14:solidFill>
                </w14:textFill>
              </w:rPr>
              <w:t>。</w:t>
            </w:r>
          </w:p>
          <w:p w14:paraId="419EE34A">
            <w:pPr>
              <w:numPr>
                <w:ilvl w:val="0"/>
                <w:numId w:val="3"/>
              </w:num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设备维修及保养过程中会产生含油抹布，产生量0.002t/a。收集后暂存于危废贮存库，</w:t>
            </w:r>
            <w:r>
              <w:rPr>
                <w:rFonts w:hint="eastAsia"/>
                <w:bCs/>
                <w:color w:val="000000" w:themeColor="text1"/>
                <w:sz w:val="24"/>
                <w:highlight w:val="none"/>
                <w14:textFill>
                  <w14:solidFill>
                    <w14:schemeClr w14:val="tx1"/>
                  </w14:solidFill>
                </w14:textFill>
              </w:rPr>
              <w:t>由企业</w:t>
            </w:r>
            <w:r>
              <w:rPr>
                <w:rFonts w:hint="eastAsia"/>
                <w:bCs/>
                <w:color w:val="000000" w:themeColor="text1"/>
                <w:sz w:val="24"/>
                <w:szCs w:val="24"/>
                <w:highlight w:val="none"/>
                <w:u w:val="none"/>
                <w:lang w:val="en-US" w:eastAsia="zh-CN"/>
                <w14:textFill>
                  <w14:solidFill>
                    <w14:schemeClr w14:val="tx1"/>
                  </w14:solidFill>
                </w14:textFill>
              </w:rPr>
              <w:t>委托福建绿洲固体废物处置有限公司进行</w:t>
            </w:r>
            <w:r>
              <w:rPr>
                <w:rFonts w:hint="eastAsia"/>
                <w:bCs/>
                <w:color w:val="000000" w:themeColor="text1"/>
                <w:sz w:val="24"/>
                <w:highlight w:val="none"/>
                <w14:textFill>
                  <w14:solidFill>
                    <w14:schemeClr w14:val="tx1"/>
                  </w14:solidFill>
                </w14:textFill>
              </w:rPr>
              <w:t>处置</w:t>
            </w:r>
            <w:r>
              <w:rPr>
                <w:rFonts w:hint="eastAsia"/>
                <w:bCs/>
                <w:color w:val="000000" w:themeColor="text1"/>
                <w:sz w:val="24"/>
                <w:szCs w:val="24"/>
                <w:highlight w:val="none"/>
                <w:u w:val="none"/>
                <w:lang w:val="en-US" w:eastAsia="zh-CN"/>
                <w14:textFill>
                  <w14:solidFill>
                    <w14:schemeClr w14:val="tx1"/>
                  </w14:solidFill>
                </w14:textFill>
              </w:rPr>
              <w:t>。</w:t>
            </w:r>
          </w:p>
          <w:p w14:paraId="32AF34C3">
            <w:pPr>
              <w:numPr>
                <w:ilvl w:val="0"/>
                <w:numId w:val="3"/>
              </w:num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生活垃圾年产生量约为20t，统一收集后</w:t>
            </w:r>
            <w:r>
              <w:rPr>
                <w:rFonts w:hint="eastAsia"/>
                <w:bCs/>
                <w:color w:val="000000" w:themeColor="text1"/>
                <w:sz w:val="24"/>
                <w:highlight w:val="none"/>
                <w14:textFill>
                  <w14:solidFill>
                    <w14:schemeClr w14:val="tx1"/>
                  </w14:solidFill>
                </w14:textFill>
              </w:rPr>
              <w:t>由企业</w:t>
            </w:r>
            <w:r>
              <w:rPr>
                <w:rFonts w:hint="eastAsia"/>
                <w:bCs/>
                <w:color w:val="000000" w:themeColor="text1"/>
                <w:sz w:val="24"/>
                <w:szCs w:val="24"/>
                <w:highlight w:val="none"/>
                <w:u w:val="none"/>
                <w:lang w:val="en-US" w:eastAsia="zh-CN"/>
                <w14:textFill>
                  <w14:solidFill>
                    <w14:schemeClr w14:val="tx1"/>
                  </w14:solidFill>
                </w14:textFill>
              </w:rPr>
              <w:t>全部委托环卫部门定期外运统一处理。</w:t>
            </w:r>
          </w:p>
          <w:p w14:paraId="600B21AD">
            <w:pPr>
              <w:spacing w:line="360" w:lineRule="auto"/>
              <w:ind w:firstLine="480" w:firstLineChars="200"/>
              <w:rPr>
                <w:rFonts w:hint="default"/>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(五)污染物排放总量</w:t>
            </w:r>
          </w:p>
          <w:p w14:paraId="540119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Cs/>
                <w:color w:val="000000" w:themeColor="text1"/>
                <w:sz w:val="24"/>
                <w:szCs w:val="24"/>
                <w:highlight w:val="none"/>
                <w:u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u w:val="none"/>
                <w:lang w:val="en-US" w:eastAsia="zh-CN"/>
                <w14:textFill>
                  <w14:solidFill>
                    <w14:schemeClr w14:val="tx1"/>
                  </w14:solidFill>
                </w14:textFill>
              </w:rPr>
              <w:t>根据《福建至期光子科技有限公司GE项目改造工程竣工环境保护验收监测报告表》</w:t>
            </w:r>
            <w:r>
              <w:rPr>
                <w:rFonts w:hint="eastAsia" w:cs="Times New Roman"/>
                <w:bCs/>
                <w:color w:val="000000" w:themeColor="text1"/>
                <w:sz w:val="24"/>
                <w:szCs w:val="24"/>
                <w:highlight w:val="none"/>
                <w:u w:val="none"/>
                <w:lang w:val="en-US" w:eastAsia="zh-CN"/>
                <w14:textFill>
                  <w14:solidFill>
                    <w14:schemeClr w14:val="tx1"/>
                  </w14:solidFill>
                </w14:textFill>
              </w:rPr>
              <w:t>（2025年）</w:t>
            </w:r>
            <w:r>
              <w:rPr>
                <w:rFonts w:hint="eastAsia" w:ascii="Times New Roman" w:hAnsi="Times New Roman" w:eastAsia="宋体" w:cs="Times New Roman"/>
                <w:bCs/>
                <w:color w:val="000000" w:themeColor="text1"/>
                <w:sz w:val="24"/>
                <w:szCs w:val="24"/>
                <w:highlight w:val="none"/>
                <w:u w:val="none"/>
                <w:lang w:val="en-US" w:eastAsia="zh-CN"/>
                <w14:textFill>
                  <w14:solidFill>
                    <w14:schemeClr w14:val="tx1"/>
                  </w14:solidFill>
                </w14:textFill>
              </w:rPr>
              <w:t>，现有工程各污染物排放总量见下表。</w:t>
            </w:r>
          </w:p>
          <w:p w14:paraId="4B56295E">
            <w:pPr>
              <w:pStyle w:val="69"/>
              <w:spacing w:line="360" w:lineRule="auto"/>
              <w:rPr>
                <w:rFonts w:hint="default"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表</w:t>
            </w:r>
            <w:r>
              <w:rPr>
                <w:rFonts w:hint="eastAsia" w:eastAsia="宋体" w:cs="宋体"/>
                <w:b/>
                <w:color w:val="000000" w:themeColor="text1"/>
                <w:kern w:val="2"/>
                <w:sz w:val="24"/>
                <w:szCs w:val="24"/>
                <w:highlight w:val="none"/>
                <w:lang w:val="en-US" w:eastAsia="zh-CN" w:bidi="ar-SA"/>
                <w14:textFill>
                  <w14:solidFill>
                    <w14:schemeClr w14:val="tx1"/>
                  </w14:solidFill>
                </w14:textFill>
              </w:rPr>
              <w:t xml:space="preserve">2.10-1  </w:t>
            </w: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现有工程各污染物排放总量</w:t>
            </w:r>
          </w:p>
          <w:tbl>
            <w:tblPr>
              <w:tblStyle w:val="30"/>
              <w:tblW w:w="5000" w:type="pct"/>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465"/>
              <w:gridCol w:w="1465"/>
              <w:gridCol w:w="5224"/>
            </w:tblGrid>
            <w:tr w14:paraId="575FA2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2930" w:type="dxa"/>
                  <w:gridSpan w:val="2"/>
                  <w:tcBorders>
                    <w:tl2br w:val="nil"/>
                    <w:tr2bl w:val="nil"/>
                  </w:tcBorders>
                  <w:shd w:val="clear" w:color="auto" w:fill="auto"/>
                  <w:vAlign w:val="center"/>
                </w:tcPr>
                <w:p w14:paraId="4A66C8DC">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类别</w:t>
                  </w:r>
                </w:p>
              </w:tc>
              <w:tc>
                <w:tcPr>
                  <w:tcW w:w="5224" w:type="dxa"/>
                  <w:tcBorders>
                    <w:tl2br w:val="nil"/>
                    <w:tr2bl w:val="nil"/>
                  </w:tcBorders>
                  <w:shd w:val="clear" w:color="auto" w:fill="auto"/>
                  <w:vAlign w:val="center"/>
                </w:tcPr>
                <w:p w14:paraId="05F1751A">
                  <w:pPr>
                    <w:keepNext w:val="0"/>
                    <w:keepLines w:val="0"/>
                    <w:widowControl/>
                    <w:suppressLineNumbers w:val="0"/>
                    <w:jc w:val="center"/>
                    <w:textAlignment w:val="top"/>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现有工程实际排放量（t/a）</w:t>
                  </w:r>
                </w:p>
              </w:tc>
            </w:tr>
            <w:tr w14:paraId="6724D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 w:hRule="atLeast"/>
              </w:trPr>
              <w:tc>
                <w:tcPr>
                  <w:tcW w:w="1465" w:type="dxa"/>
                  <w:vMerge w:val="restart"/>
                  <w:tcBorders>
                    <w:tl2br w:val="nil"/>
                    <w:tr2bl w:val="nil"/>
                  </w:tcBorders>
                  <w:shd w:val="clear" w:color="auto" w:fill="auto"/>
                  <w:vAlign w:val="center"/>
                </w:tcPr>
                <w:p w14:paraId="7DF10D4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废水</w:t>
                  </w:r>
                </w:p>
              </w:tc>
              <w:tc>
                <w:tcPr>
                  <w:tcW w:w="1465" w:type="dxa"/>
                  <w:tcBorders>
                    <w:tl2br w:val="nil"/>
                    <w:tr2bl w:val="nil"/>
                  </w:tcBorders>
                  <w:shd w:val="clear" w:color="auto" w:fill="auto"/>
                  <w:vAlign w:val="center"/>
                </w:tcPr>
                <w:p w14:paraId="07AE93C0">
                  <w:pPr>
                    <w:keepNext w:val="0"/>
                    <w:keepLines w:val="0"/>
                    <w:widowControl/>
                    <w:suppressLineNumbers w:val="0"/>
                    <w:jc w:val="center"/>
                    <w:textAlignment w:val="top"/>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废水量</w:t>
                  </w:r>
                </w:p>
              </w:tc>
              <w:tc>
                <w:tcPr>
                  <w:tcW w:w="5224" w:type="dxa"/>
                  <w:tcBorders>
                    <w:tl2br w:val="nil"/>
                    <w:tr2bl w:val="nil"/>
                  </w:tcBorders>
                  <w:shd w:val="clear" w:color="auto" w:fill="auto"/>
                  <w:vAlign w:val="center"/>
                </w:tcPr>
                <w:p w14:paraId="197F2DA1">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0.378</w:t>
                  </w:r>
                </w:p>
              </w:tc>
            </w:tr>
            <w:tr w14:paraId="11ECB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 w:hRule="atLeast"/>
              </w:trPr>
              <w:tc>
                <w:tcPr>
                  <w:tcW w:w="1465" w:type="dxa"/>
                  <w:vMerge w:val="continue"/>
                  <w:tcBorders>
                    <w:tl2br w:val="nil"/>
                    <w:tr2bl w:val="nil"/>
                  </w:tcBorders>
                  <w:shd w:val="clear" w:color="auto" w:fill="auto"/>
                  <w:vAlign w:val="center"/>
                </w:tcPr>
                <w:p w14:paraId="42035281">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p>
              </w:tc>
              <w:tc>
                <w:tcPr>
                  <w:tcW w:w="1465" w:type="dxa"/>
                  <w:tcBorders>
                    <w:tl2br w:val="nil"/>
                    <w:tr2bl w:val="nil"/>
                  </w:tcBorders>
                  <w:shd w:val="clear" w:color="auto" w:fill="auto"/>
                  <w:vAlign w:val="center"/>
                </w:tcPr>
                <w:p w14:paraId="65F6FD61">
                  <w:pPr>
                    <w:keepNext w:val="0"/>
                    <w:keepLines w:val="0"/>
                    <w:widowControl/>
                    <w:suppressLineNumbers w:val="0"/>
                    <w:jc w:val="center"/>
                    <w:textAlignment w:val="top"/>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COD</w:t>
                  </w:r>
                </w:p>
              </w:tc>
              <w:tc>
                <w:tcPr>
                  <w:tcW w:w="5224" w:type="dxa"/>
                  <w:tcBorders>
                    <w:tl2br w:val="nil"/>
                    <w:tr2bl w:val="nil"/>
                  </w:tcBorders>
                  <w:shd w:val="clear" w:color="auto" w:fill="auto"/>
                  <w:vAlign w:val="center"/>
                </w:tcPr>
                <w:p w14:paraId="33826A7E">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0.189</w:t>
                  </w:r>
                </w:p>
              </w:tc>
            </w:tr>
            <w:tr w14:paraId="1AC5A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465" w:type="dxa"/>
                  <w:vMerge w:val="continue"/>
                  <w:tcBorders>
                    <w:tl2br w:val="nil"/>
                    <w:tr2bl w:val="nil"/>
                  </w:tcBorders>
                  <w:shd w:val="clear" w:color="auto" w:fill="auto"/>
                  <w:vAlign w:val="center"/>
                </w:tcPr>
                <w:p w14:paraId="7E16F883">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465" w:type="dxa"/>
                  <w:tcBorders>
                    <w:tl2br w:val="nil"/>
                    <w:tr2bl w:val="nil"/>
                  </w:tcBorders>
                  <w:shd w:val="clear" w:color="auto" w:fill="auto"/>
                  <w:vAlign w:val="center"/>
                </w:tcPr>
                <w:p w14:paraId="606591B8">
                  <w:pPr>
                    <w:keepNext w:val="0"/>
                    <w:keepLines w:val="0"/>
                    <w:widowControl/>
                    <w:suppressLineNumbers w:val="0"/>
                    <w:jc w:val="center"/>
                    <w:textAlignment w:val="top"/>
                    <w:rPr>
                      <w:rFonts w:hint="default" w:ascii="Times New Roman" w:hAnsi="Times New Roman" w:cs="Times New Roman"/>
                      <w:bCs/>
                      <w:color w:val="000000" w:themeColor="text1"/>
                      <w:sz w:val="21"/>
                      <w:szCs w:val="21"/>
                      <w:highlight w:val="none"/>
                      <w14:textFill>
                        <w14:solidFill>
                          <w14:schemeClr w14:val="tx1"/>
                        </w14:solidFill>
                      </w14:textFill>
                    </w:rPr>
                  </w:pPr>
                  <w:r>
                    <w:rPr>
                      <w:rFonts w:hint="default" w:ascii="Times New Roman" w:hAnsi="Times New Roman" w:cs="Times New Roman"/>
                      <w:bCs/>
                      <w:color w:val="000000" w:themeColor="text1"/>
                      <w:sz w:val="21"/>
                      <w:szCs w:val="21"/>
                      <w:highlight w:val="none"/>
                      <w14:textFill>
                        <w14:solidFill>
                          <w14:schemeClr w14:val="tx1"/>
                        </w14:solidFill>
                      </w14:textFill>
                    </w:rPr>
                    <w:t>NH</w:t>
                  </w:r>
                  <w:r>
                    <w:rPr>
                      <w:rFonts w:hint="default" w:ascii="Times New Roman" w:hAnsi="Times New Roman" w:cs="Times New Roman"/>
                      <w:bCs/>
                      <w:color w:val="000000" w:themeColor="text1"/>
                      <w:sz w:val="21"/>
                      <w:szCs w:val="21"/>
                      <w:highlight w:val="none"/>
                      <w:vertAlign w:val="subscript"/>
                      <w14:textFill>
                        <w14:solidFill>
                          <w14:schemeClr w14:val="tx1"/>
                        </w14:solidFill>
                      </w14:textFill>
                    </w:rPr>
                    <w:t>3</w:t>
                  </w:r>
                  <w:r>
                    <w:rPr>
                      <w:rFonts w:hint="default" w:ascii="Times New Roman" w:hAnsi="Times New Roman" w:cs="Times New Roman"/>
                      <w:bCs/>
                      <w:color w:val="000000" w:themeColor="text1"/>
                      <w:sz w:val="21"/>
                      <w:szCs w:val="21"/>
                      <w:highlight w:val="none"/>
                      <w14:textFill>
                        <w14:solidFill>
                          <w14:schemeClr w14:val="tx1"/>
                        </w14:solidFill>
                      </w14:textFill>
                    </w:rPr>
                    <w:t>-N</w:t>
                  </w:r>
                </w:p>
              </w:tc>
              <w:tc>
                <w:tcPr>
                  <w:tcW w:w="5224" w:type="dxa"/>
                  <w:tcBorders>
                    <w:tl2br w:val="nil"/>
                    <w:tr2bl w:val="nil"/>
                  </w:tcBorders>
                  <w:shd w:val="clear" w:color="auto" w:fill="auto"/>
                  <w:vAlign w:val="center"/>
                </w:tcPr>
                <w:p w14:paraId="295ED7EC">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0.019</w:t>
                  </w:r>
                </w:p>
              </w:tc>
            </w:tr>
            <w:tr w14:paraId="541B9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465" w:type="dxa"/>
                  <w:vMerge w:val="restart"/>
                  <w:tcBorders>
                    <w:tl2br w:val="nil"/>
                    <w:tr2bl w:val="nil"/>
                  </w:tcBorders>
                  <w:shd w:val="clear" w:color="auto" w:fill="auto"/>
                  <w:vAlign w:val="center"/>
                </w:tcPr>
                <w:p w14:paraId="196807AE">
                  <w:pPr>
                    <w:keepNext w:val="0"/>
                    <w:keepLines w:val="0"/>
                    <w:widowControl/>
                    <w:suppressLineNumbers w:val="0"/>
                    <w:jc w:val="center"/>
                    <w:textAlignment w:val="top"/>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废气</w:t>
                  </w:r>
                </w:p>
              </w:tc>
              <w:tc>
                <w:tcPr>
                  <w:tcW w:w="1465" w:type="dxa"/>
                  <w:tcBorders>
                    <w:tl2br w:val="nil"/>
                    <w:tr2bl w:val="nil"/>
                  </w:tcBorders>
                  <w:shd w:val="clear" w:color="auto" w:fill="auto"/>
                  <w:vAlign w:val="center"/>
                </w:tcPr>
                <w:p w14:paraId="44F7A2B3">
                  <w:pPr>
                    <w:keepNext w:val="0"/>
                    <w:keepLines w:val="0"/>
                    <w:widowControl/>
                    <w:suppressLineNumbers w:val="0"/>
                    <w:jc w:val="center"/>
                    <w:textAlignment w:val="top"/>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废气量</w:t>
                  </w:r>
                </w:p>
              </w:tc>
              <w:tc>
                <w:tcPr>
                  <w:tcW w:w="5224" w:type="dxa"/>
                  <w:tcBorders>
                    <w:tl2br w:val="nil"/>
                    <w:tr2bl w:val="nil"/>
                  </w:tcBorders>
                  <w:shd w:val="clear" w:color="auto" w:fill="auto"/>
                  <w:vAlign w:val="center"/>
                </w:tcPr>
                <w:p w14:paraId="58A41790">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4270万m</w:t>
                  </w:r>
                  <w:r>
                    <w:rPr>
                      <w:rFonts w:hint="eastAsia" w:ascii="Times New Roman" w:hAnsi="Times New Roman" w:eastAsia="宋体" w:cs="Times New Roman"/>
                      <w:i w:val="0"/>
                      <w:iCs w:val="0"/>
                      <w:color w:val="000000" w:themeColor="text1"/>
                      <w:sz w:val="21"/>
                      <w:szCs w:val="21"/>
                      <w:highlight w:val="none"/>
                      <w:u w:val="none"/>
                      <w:vertAlign w:val="superscript"/>
                      <w:lang w:val="en-US" w:eastAsia="zh-CN"/>
                      <w14:textFill>
                        <w14:solidFill>
                          <w14:schemeClr w14:val="tx1"/>
                        </w14:solidFill>
                      </w14:textFill>
                    </w:rPr>
                    <w:t>3</w:t>
                  </w:r>
                  <w: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/a</w:t>
                  </w:r>
                </w:p>
              </w:tc>
            </w:tr>
            <w:tr w14:paraId="7C9AA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465" w:type="dxa"/>
                  <w:vMerge w:val="continue"/>
                  <w:tcBorders>
                    <w:tl2br w:val="nil"/>
                    <w:tr2bl w:val="nil"/>
                  </w:tcBorders>
                  <w:shd w:val="clear" w:color="auto" w:fill="auto"/>
                  <w:vAlign w:val="center"/>
                </w:tcPr>
                <w:p w14:paraId="352C795B">
                  <w:pPr>
                    <w:keepNext w:val="0"/>
                    <w:keepLines w:val="0"/>
                    <w:widowControl/>
                    <w:suppressLineNumbers w:val="0"/>
                    <w:jc w:val="center"/>
                    <w:textAlignment w:val="top"/>
                    <w:rPr>
                      <w:rFonts w:hint="default" w:ascii="Times New Roman" w:hAnsi="Times New Roman" w:cs="Times New Roman"/>
                      <w:bCs/>
                      <w:color w:val="000000" w:themeColor="text1"/>
                      <w:sz w:val="21"/>
                      <w:szCs w:val="21"/>
                      <w:highlight w:val="none"/>
                      <w14:textFill>
                        <w14:solidFill>
                          <w14:schemeClr w14:val="tx1"/>
                        </w14:solidFill>
                      </w14:textFill>
                    </w:rPr>
                  </w:pPr>
                </w:p>
              </w:tc>
              <w:tc>
                <w:tcPr>
                  <w:tcW w:w="1465" w:type="dxa"/>
                  <w:tcBorders>
                    <w:tl2br w:val="nil"/>
                    <w:tr2bl w:val="nil"/>
                  </w:tcBorders>
                  <w:shd w:val="clear" w:color="auto" w:fill="auto"/>
                  <w:vAlign w:val="center"/>
                </w:tcPr>
                <w:p w14:paraId="22AB758D">
                  <w:pPr>
                    <w:keepNext w:val="0"/>
                    <w:keepLines w:val="0"/>
                    <w:widowControl/>
                    <w:suppressLineNumbers w:val="0"/>
                    <w:jc w:val="center"/>
                    <w:textAlignment w:val="top"/>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粉尘/颗粒物</w:t>
                  </w:r>
                </w:p>
              </w:tc>
              <w:tc>
                <w:tcPr>
                  <w:tcW w:w="5224" w:type="dxa"/>
                  <w:tcBorders>
                    <w:tl2br w:val="nil"/>
                    <w:tr2bl w:val="nil"/>
                  </w:tcBorders>
                  <w:shd w:val="clear" w:color="auto" w:fill="auto"/>
                  <w:vAlign w:val="center"/>
                </w:tcPr>
                <w:p w14:paraId="6B5A9860">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0.0541</w:t>
                  </w:r>
                </w:p>
              </w:tc>
            </w:tr>
            <w:tr w14:paraId="6A1D6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 w:hRule="atLeast"/>
              </w:trPr>
              <w:tc>
                <w:tcPr>
                  <w:tcW w:w="1465" w:type="dxa"/>
                  <w:vMerge w:val="continue"/>
                  <w:tcBorders>
                    <w:tl2br w:val="nil"/>
                    <w:tr2bl w:val="nil"/>
                  </w:tcBorders>
                  <w:shd w:val="clear" w:color="auto" w:fill="auto"/>
                  <w:vAlign w:val="center"/>
                </w:tcPr>
                <w:p w14:paraId="4CEFE73D">
                  <w:pPr>
                    <w:keepNext w:val="0"/>
                    <w:keepLines w:val="0"/>
                    <w:widowControl/>
                    <w:suppressLineNumbers w:val="0"/>
                    <w:jc w:val="center"/>
                    <w:textAlignment w:val="top"/>
                    <w:rPr>
                      <w:rFonts w:hint="default" w:ascii="Times New Roman" w:hAnsi="Times New Roman" w:cs="Times New Roman"/>
                      <w:bCs/>
                      <w:color w:val="000000" w:themeColor="text1"/>
                      <w:sz w:val="21"/>
                      <w:szCs w:val="21"/>
                      <w:highlight w:val="none"/>
                      <w14:textFill>
                        <w14:solidFill>
                          <w14:schemeClr w14:val="tx1"/>
                        </w14:solidFill>
                      </w14:textFill>
                    </w:rPr>
                  </w:pPr>
                </w:p>
              </w:tc>
              <w:tc>
                <w:tcPr>
                  <w:tcW w:w="1465" w:type="dxa"/>
                  <w:tcBorders>
                    <w:tl2br w:val="nil"/>
                    <w:tr2bl w:val="nil"/>
                  </w:tcBorders>
                  <w:shd w:val="clear" w:color="auto" w:fill="auto"/>
                  <w:vAlign w:val="center"/>
                </w:tcPr>
                <w:p w14:paraId="3AADBC1D">
                  <w:pPr>
                    <w:keepNext w:val="0"/>
                    <w:keepLines w:val="0"/>
                    <w:widowControl/>
                    <w:suppressLineNumbers w:val="0"/>
                    <w:jc w:val="center"/>
                    <w:textAlignment w:val="top"/>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非甲烷总烃</w:t>
                  </w:r>
                </w:p>
              </w:tc>
              <w:tc>
                <w:tcPr>
                  <w:tcW w:w="5224" w:type="dxa"/>
                  <w:tcBorders>
                    <w:tl2br w:val="nil"/>
                    <w:tr2bl w:val="nil"/>
                  </w:tcBorders>
                  <w:shd w:val="clear" w:color="auto" w:fill="auto"/>
                  <w:vAlign w:val="center"/>
                </w:tcPr>
                <w:p w14:paraId="451C7F5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0.3322</w:t>
                  </w:r>
                </w:p>
              </w:tc>
            </w:tr>
          </w:tbl>
          <w:p w14:paraId="19EDE121">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2.10.4小结</w:t>
            </w:r>
          </w:p>
          <w:p w14:paraId="2F527B78">
            <w:pPr>
              <w:spacing w:line="360" w:lineRule="auto"/>
              <w:ind w:firstLine="480" w:firstLineChars="200"/>
              <w:rPr>
                <w:rFonts w:hint="eastAsia"/>
                <w:color w:val="000000" w:themeColor="text1"/>
                <w:sz w:val="24"/>
                <w:szCs w:val="21"/>
                <w:highlight w:val="none"/>
                <w:lang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本项目为扩建项目，现有工程无</w:t>
            </w:r>
            <w:r>
              <w:rPr>
                <w:rFonts w:hint="eastAsia"/>
                <w:color w:val="000000" w:themeColor="text1"/>
                <w:sz w:val="24"/>
                <w:szCs w:val="21"/>
                <w:highlight w:val="none"/>
                <w14:textFill>
                  <w14:solidFill>
                    <w14:schemeClr w14:val="tx1"/>
                  </w14:solidFill>
                </w14:textFill>
              </w:rPr>
              <w:t>与</w:t>
            </w:r>
            <w:r>
              <w:rPr>
                <w:rFonts w:hint="eastAsia"/>
                <w:color w:val="000000" w:themeColor="text1"/>
                <w:sz w:val="24"/>
                <w:szCs w:val="21"/>
                <w:highlight w:val="none"/>
                <w:lang w:val="en-US" w:eastAsia="zh-CN"/>
                <w14:textFill>
                  <w14:solidFill>
                    <w14:schemeClr w14:val="tx1"/>
                  </w14:solidFill>
                </w14:textFill>
              </w:rPr>
              <w:t>本</w:t>
            </w:r>
            <w:r>
              <w:rPr>
                <w:rFonts w:hint="eastAsia"/>
                <w:color w:val="000000" w:themeColor="text1"/>
                <w:sz w:val="24"/>
                <w:szCs w:val="21"/>
                <w:highlight w:val="none"/>
                <w14:textFill>
                  <w14:solidFill>
                    <w14:schemeClr w14:val="tx1"/>
                  </w14:solidFill>
                </w14:textFill>
              </w:rPr>
              <w:t>项目有关的原有环境污染问题</w:t>
            </w:r>
            <w:r>
              <w:rPr>
                <w:rFonts w:hint="eastAsia"/>
                <w:color w:val="000000" w:themeColor="text1"/>
                <w:sz w:val="24"/>
                <w:szCs w:val="21"/>
                <w:highlight w:val="none"/>
                <w:lang w:eastAsia="zh-CN"/>
                <w14:textFill>
                  <w14:solidFill>
                    <w14:schemeClr w14:val="tx1"/>
                  </w14:solidFill>
                </w14:textFill>
              </w:rPr>
              <w:t>。</w:t>
            </w:r>
            <w:bookmarkEnd w:id="10"/>
          </w:p>
          <w:p w14:paraId="12F22D3D">
            <w:p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r>
              <w:rPr>
                <w:rFonts w:hint="eastAsia"/>
                <w:bCs/>
                <w:color w:val="000000" w:themeColor="text1"/>
                <w:sz w:val="24"/>
                <w:szCs w:val="24"/>
                <w:highlight w:val="none"/>
                <w:u w:val="none"/>
                <w:lang w:val="en-US" w:eastAsia="zh-CN"/>
                <w14:textFill>
                  <w14:solidFill>
                    <w14:schemeClr w14:val="tx1"/>
                  </w14:solidFill>
                </w14:textFill>
              </w:rPr>
              <w:t>现有工程环保设施后续要求：</w:t>
            </w:r>
            <w:r>
              <w:rPr>
                <w:rFonts w:hint="default"/>
                <w:bCs/>
                <w:color w:val="000000" w:themeColor="text1"/>
                <w:sz w:val="24"/>
                <w:szCs w:val="24"/>
                <w:highlight w:val="none"/>
                <w:u w:val="none"/>
                <w:lang w:val="en-US" w:eastAsia="zh-CN"/>
                <w14:textFill>
                  <w14:solidFill>
                    <w14:schemeClr w14:val="tx1"/>
                  </w14:solidFill>
                </w14:textFill>
              </w:rPr>
              <w:t>加强生产设备和环保设施的日常管理与监督检查工作，确保环保设施的正常运行，做到污染物能长期、稳定地达标排放</w:t>
            </w:r>
            <w:r>
              <w:rPr>
                <w:rFonts w:hint="eastAsia"/>
                <w:bCs/>
                <w:color w:val="000000" w:themeColor="text1"/>
                <w:sz w:val="24"/>
                <w:szCs w:val="24"/>
                <w:highlight w:val="none"/>
                <w:u w:val="none"/>
                <w:lang w:val="en-US" w:eastAsia="zh-CN"/>
                <w14:textFill>
                  <w14:solidFill>
                    <w14:schemeClr w14:val="tx1"/>
                  </w14:solidFill>
                </w14:textFill>
              </w:rPr>
              <w:t>；</w:t>
            </w:r>
            <w:r>
              <w:rPr>
                <w:rFonts w:hint="default"/>
                <w:bCs/>
                <w:color w:val="000000" w:themeColor="text1"/>
                <w:sz w:val="24"/>
                <w:szCs w:val="24"/>
                <w:highlight w:val="none"/>
                <w:u w:val="none"/>
                <w:lang w:val="en-US" w:eastAsia="zh-CN"/>
                <w14:textFill>
                  <w14:solidFill>
                    <w14:schemeClr w14:val="tx1"/>
                  </w14:solidFill>
                </w14:textFill>
              </w:rPr>
              <w:t>加强环境风险防范，进一步完善环保手续及相关环保制度</w:t>
            </w:r>
            <w:r>
              <w:rPr>
                <w:rFonts w:hint="eastAsia"/>
                <w:bCs/>
                <w:color w:val="000000" w:themeColor="text1"/>
                <w:sz w:val="24"/>
                <w:szCs w:val="24"/>
                <w:highlight w:val="none"/>
                <w:u w:val="none"/>
                <w:lang w:val="en-US" w:eastAsia="zh-CN"/>
                <w14:textFill>
                  <w14:solidFill>
                    <w14:schemeClr w14:val="tx1"/>
                  </w14:solidFill>
                </w14:textFill>
              </w:rPr>
              <w:t>；</w:t>
            </w:r>
            <w:r>
              <w:rPr>
                <w:rFonts w:hint="default"/>
                <w:bCs/>
                <w:color w:val="000000" w:themeColor="text1"/>
                <w:sz w:val="24"/>
                <w:szCs w:val="24"/>
                <w:highlight w:val="none"/>
                <w:u w:val="none"/>
                <w:lang w:val="en-US" w:eastAsia="zh-CN"/>
                <w14:textFill>
                  <w14:solidFill>
                    <w14:schemeClr w14:val="tx1"/>
                  </w14:solidFill>
                </w14:textFill>
              </w:rPr>
              <w:t>完善危险废物贮存间管理，做好相关台账及记录，明确标识及责任人。</w:t>
            </w:r>
          </w:p>
          <w:p w14:paraId="02B15D41">
            <w:pPr>
              <w:spacing w:line="360" w:lineRule="auto"/>
              <w:ind w:firstLine="480" w:firstLineChars="200"/>
              <w:rPr>
                <w:rFonts w:hint="eastAsia"/>
                <w:bCs/>
                <w:color w:val="000000" w:themeColor="text1"/>
                <w:sz w:val="24"/>
                <w:szCs w:val="24"/>
                <w:highlight w:val="none"/>
                <w:u w:val="none"/>
                <w:lang w:val="en-US" w:eastAsia="zh-CN"/>
                <w14:textFill>
                  <w14:solidFill>
                    <w14:schemeClr w14:val="tx1"/>
                  </w14:solidFill>
                </w14:textFill>
              </w:rPr>
            </w:pPr>
          </w:p>
        </w:tc>
      </w:tr>
    </w:tbl>
    <w:p w14:paraId="09762301">
      <w:pPr>
        <w:pStyle w:val="26"/>
        <w:jc w:val="center"/>
        <w:rPr>
          <w:rFonts w:ascii="黑体" w:hAnsi="黑体" w:eastAsia="黑体"/>
          <w:snapToGrid w:val="0"/>
          <w:color w:val="000000" w:themeColor="text1"/>
          <w:sz w:val="36"/>
          <w:szCs w:val="36"/>
          <w:highlight w:val="none"/>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05E895F4">
      <w:pPr>
        <w:pStyle w:val="26"/>
        <w:jc w:val="center"/>
        <w:outlineLvl w:val="0"/>
        <w:rPr>
          <w:rFonts w:ascii="黑体" w:hAnsi="黑体" w:eastAsia="黑体"/>
          <w:snapToGrid w:val="0"/>
          <w:color w:val="000000" w:themeColor="text1"/>
          <w:sz w:val="30"/>
          <w:szCs w:val="30"/>
          <w:highlight w:val="none"/>
          <w14:textFill>
            <w14:solidFill>
              <w14:schemeClr w14:val="tx1"/>
            </w14:solidFill>
          </w14:textFill>
        </w:rPr>
      </w:pPr>
      <w:bookmarkStart w:id="11" w:name="_Toc483"/>
      <w:r>
        <w:rPr>
          <w:rFonts w:hint="eastAsia" w:ascii="黑体" w:hAnsi="黑体" w:eastAsia="黑体"/>
          <w:snapToGrid w:val="0"/>
          <w:color w:val="000000" w:themeColor="text1"/>
          <w:sz w:val="30"/>
          <w:szCs w:val="30"/>
          <w:highlight w:val="none"/>
          <w14:textFill>
            <w14:solidFill>
              <w14:schemeClr w14:val="tx1"/>
            </w14:solidFill>
          </w14:textFill>
        </w:rPr>
        <w:t>三、区域环境质量现状、环境保护目标及评价标准</w:t>
      </w:r>
      <w:bookmarkEnd w:id="11"/>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23"/>
        <w:gridCol w:w="8606"/>
        <w:gridCol w:w="32"/>
      </w:tblGrid>
      <w:tr w14:paraId="15246C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26" w:hRule="atLeast"/>
          <w:jc w:val="center"/>
        </w:trPr>
        <w:tc>
          <w:tcPr>
            <w:tcW w:w="423" w:type="dxa"/>
            <w:vAlign w:val="center"/>
          </w:tcPr>
          <w:p w14:paraId="46CD64D1">
            <w:pPr>
              <w:adjustRightInd w:val="0"/>
              <w:snapToGrid w:val="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区域</w:t>
            </w:r>
          </w:p>
          <w:p w14:paraId="50A18216">
            <w:pPr>
              <w:adjustRightInd w:val="0"/>
              <w:snapToGrid w:val="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环境</w:t>
            </w:r>
          </w:p>
          <w:p w14:paraId="5F086FDD">
            <w:pPr>
              <w:adjustRightInd w:val="0"/>
              <w:snapToGrid w:val="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质量</w:t>
            </w:r>
          </w:p>
          <w:p w14:paraId="61B86460">
            <w:pPr>
              <w:adjustRightInd w:val="0"/>
              <w:snapToGrid w:val="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现状</w:t>
            </w:r>
          </w:p>
        </w:tc>
        <w:tc>
          <w:tcPr>
            <w:tcW w:w="8638" w:type="dxa"/>
            <w:gridSpan w:val="2"/>
            <w:vAlign w:val="center"/>
          </w:tcPr>
          <w:p w14:paraId="768F8E26">
            <w:pPr>
              <w:pStyle w:val="37"/>
              <w:rPr>
                <w:color w:val="000000" w:themeColor="text1"/>
                <w:sz w:val="24"/>
                <w:szCs w:val="21"/>
                <w:highlight w:val="none"/>
                <w14:textFill>
                  <w14:solidFill>
                    <w14:schemeClr w14:val="tx1"/>
                  </w14:solidFill>
                </w14:textFill>
              </w:rPr>
            </w:pPr>
            <w:r>
              <w:rPr>
                <w:color w:val="000000" w:themeColor="text1"/>
                <w:sz w:val="24"/>
                <w:szCs w:val="21"/>
                <w:highlight w:val="none"/>
                <w14:textFill>
                  <w14:solidFill>
                    <w14:schemeClr w14:val="tx1"/>
                  </w14:solidFill>
                </w14:textFill>
              </w:rPr>
              <w:t>3.1</w:t>
            </w:r>
            <w:r>
              <w:rPr>
                <w:rFonts w:hint="eastAsia"/>
                <w:color w:val="000000" w:themeColor="text1"/>
                <w:sz w:val="24"/>
                <w:szCs w:val="21"/>
                <w:highlight w:val="none"/>
                <w14:textFill>
                  <w14:solidFill>
                    <w14:schemeClr w14:val="tx1"/>
                  </w14:solidFill>
                </w14:textFill>
              </w:rPr>
              <w:t>大气环境质量现状</w:t>
            </w:r>
          </w:p>
          <w:p w14:paraId="7C4D47B4">
            <w:pP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lang w:val="en-US" w:eastAsia="zh-CN"/>
                <w14:textFill>
                  <w14:solidFill>
                    <w14:schemeClr w14:val="tx1"/>
                  </w14:solidFill>
                </w14:textFill>
              </w:rPr>
              <w:t>一、</w:t>
            </w:r>
            <w:r>
              <w:rPr>
                <w:rFonts w:hint="eastAsia" w:cs="宋体"/>
                <w:color w:val="000000" w:themeColor="text1"/>
                <w:sz w:val="24"/>
                <w:szCs w:val="24"/>
                <w:highlight w:val="none"/>
                <w14:textFill>
                  <w14:solidFill>
                    <w14:schemeClr w14:val="tx1"/>
                  </w14:solidFill>
                </w14:textFill>
              </w:rPr>
              <w:t>区域环境质量达标分析</w:t>
            </w:r>
          </w:p>
          <w:p w14:paraId="31F71960">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项目位于</w:t>
            </w:r>
            <w:r>
              <w:rPr>
                <w:rFonts w:hint="eastAsia" w:cs="宋体"/>
                <w:color w:val="000000" w:themeColor="text1"/>
                <w:sz w:val="24"/>
                <w:szCs w:val="32"/>
                <w:highlight w:val="none"/>
                <w:lang w:val="en-US" w:eastAsia="zh-CN"/>
                <w14:textFill>
                  <w14:solidFill>
                    <w14:schemeClr w14:val="tx1"/>
                  </w14:solidFill>
                </w14:textFill>
              </w:rPr>
              <w:t>福州市</w:t>
            </w:r>
            <w:r>
              <w:rPr>
                <w:rFonts w:hint="eastAsia" w:cs="宋体"/>
                <w:color w:val="000000" w:themeColor="text1"/>
                <w:sz w:val="24"/>
                <w:szCs w:val="32"/>
                <w:highlight w:val="none"/>
                <w:lang w:eastAsia="zh-CN"/>
                <w14:textFill>
                  <w14:solidFill>
                    <w14:schemeClr w14:val="tx1"/>
                  </w14:solidFill>
                </w14:textFill>
              </w:rPr>
              <w:t>闽侯县</w:t>
            </w:r>
            <w:r>
              <w:rPr>
                <w:rFonts w:hint="eastAsia" w:cs="宋体"/>
                <w:color w:val="000000" w:themeColor="text1"/>
                <w:sz w:val="24"/>
                <w:szCs w:val="32"/>
                <w:highlight w:val="none"/>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位于环境空气二类区。</w:t>
            </w:r>
            <w:r>
              <w:rPr>
                <w:rFonts w:hint="eastAsia" w:cs="宋体"/>
                <w:color w:val="000000" w:themeColor="text1"/>
                <w:sz w:val="24"/>
                <w:szCs w:val="32"/>
                <w:highlight w:val="none"/>
                <w14:textFill>
                  <w14:solidFill>
                    <w14:schemeClr w14:val="tx1"/>
                  </w14:solidFill>
                </w14:textFill>
              </w:rPr>
              <w:t>为了解项目所在区域大气环境质量现状</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14:textFill>
                  <w14:solidFill>
                    <w14:schemeClr w14:val="tx1"/>
                  </w14:solidFill>
                </w14:textFill>
              </w:rPr>
              <w:t>本次评价收集</w:t>
            </w:r>
            <w:r>
              <w:rPr>
                <w:rFonts w:hint="eastAsia" w:cs="宋体"/>
                <w:color w:val="000000" w:themeColor="text1"/>
                <w:sz w:val="24"/>
                <w:szCs w:val="32"/>
                <w:highlight w:val="none"/>
                <w:lang w:val="en-US" w:eastAsia="zh-CN"/>
                <w14:textFill>
                  <w14:solidFill>
                    <w14:schemeClr w14:val="tx1"/>
                  </w14:solidFill>
                </w14:textFill>
              </w:rPr>
              <w:t>福州高新技术产业开发区管委会发布的2024年1月~12月份</w:t>
            </w:r>
            <w:r>
              <w:rPr>
                <w:rFonts w:hint="eastAsia" w:cs="宋体"/>
                <w:color w:val="000000" w:themeColor="text1"/>
                <w:sz w:val="24"/>
                <w:szCs w:val="32"/>
                <w:highlight w:val="none"/>
                <w14:textFill>
                  <w14:solidFill>
                    <w14:schemeClr w14:val="tx1"/>
                  </w14:solidFill>
                </w14:textFill>
              </w:rPr>
              <w:t>福州高新区</w:t>
            </w:r>
            <w:r>
              <w:rPr>
                <w:rFonts w:hint="eastAsia" w:cs="宋体"/>
                <w:color w:val="000000" w:themeColor="text1"/>
                <w:sz w:val="24"/>
                <w:szCs w:val="32"/>
                <w:highlight w:val="none"/>
                <w:lang w:val="en-US" w:eastAsia="zh-CN"/>
                <w14:textFill>
                  <w14:solidFill>
                    <w14:schemeClr w14:val="tx1"/>
                  </w14:solidFill>
                </w14:textFill>
              </w:rPr>
              <w:t>环境空气质量月报，2024年连续1年的大气常规因子环境空气质量监测数据如下。</w:t>
            </w:r>
          </w:p>
          <w:p w14:paraId="37E0C21D">
            <w:pPr>
              <w:pStyle w:val="69"/>
              <w:spacing w:line="360" w:lineRule="auto"/>
              <w:rPr>
                <w:rFonts w:hint="default"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宋体"/>
                <w:b/>
                <w:color w:val="000000" w:themeColor="text1"/>
                <w:kern w:val="2"/>
                <w:sz w:val="24"/>
                <w:szCs w:val="24"/>
                <w:highlight w:val="none"/>
                <w:lang w:val="zh-CN" w:eastAsia="zh-CN" w:bidi="ar-SA"/>
                <w14:textFill>
                  <w14:solidFill>
                    <w14:schemeClr w14:val="tx1"/>
                  </w14:solidFill>
                </w14:textFill>
              </w:rPr>
              <w:t>表3.1-</w:t>
            </w: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 xml:space="preserve">1  </w:t>
            </w:r>
            <w:r>
              <w:rPr>
                <w:rFonts w:hint="eastAsia" w:ascii="Times New Roman" w:hAnsi="Times New Roman" w:eastAsia="宋体" w:cs="宋体"/>
                <w:b/>
                <w:color w:val="000000" w:themeColor="text1"/>
                <w:kern w:val="2"/>
                <w:sz w:val="24"/>
                <w:szCs w:val="24"/>
                <w:highlight w:val="none"/>
                <w:lang w:val="zh-CN" w:eastAsia="zh-CN" w:bidi="ar-SA"/>
                <w14:textFill>
                  <w14:solidFill>
                    <w14:schemeClr w14:val="tx1"/>
                  </w14:solidFill>
                </w14:textFill>
              </w:rPr>
              <w:t>福州高新区</w:t>
            </w:r>
            <w:r>
              <w:rPr>
                <w:rFonts w:hint="default" w:ascii="Times New Roman" w:hAnsi="Times New Roman" w:eastAsia="宋体" w:cs="宋体"/>
                <w:b/>
                <w:color w:val="000000" w:themeColor="text1"/>
                <w:kern w:val="2"/>
                <w:sz w:val="24"/>
                <w:szCs w:val="24"/>
                <w:highlight w:val="none"/>
                <w:lang w:val="zh-CN" w:eastAsia="zh-CN" w:bidi="ar-SA"/>
                <w14:textFill>
                  <w14:solidFill>
                    <w14:schemeClr w14:val="tx1"/>
                  </w14:solidFill>
                </w14:textFill>
              </w:rPr>
              <w:t>202</w:t>
            </w: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4</w:t>
            </w:r>
            <w:r>
              <w:rPr>
                <w:rFonts w:hint="default" w:ascii="Times New Roman" w:hAnsi="Times New Roman" w:eastAsia="宋体" w:cs="宋体"/>
                <w:b/>
                <w:color w:val="000000" w:themeColor="text1"/>
                <w:kern w:val="2"/>
                <w:sz w:val="24"/>
                <w:szCs w:val="24"/>
                <w:highlight w:val="none"/>
                <w:lang w:val="zh-CN" w:eastAsia="zh-CN" w:bidi="ar-SA"/>
                <w14:textFill>
                  <w14:solidFill>
                    <w14:schemeClr w14:val="tx1"/>
                  </w14:solidFill>
                </w14:textFill>
              </w:rPr>
              <w:t>年1月~1</w:t>
            </w: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2</w:t>
            </w:r>
            <w:r>
              <w:rPr>
                <w:rFonts w:hint="default" w:ascii="Times New Roman" w:hAnsi="Times New Roman" w:eastAsia="宋体" w:cs="宋体"/>
                <w:b/>
                <w:color w:val="000000" w:themeColor="text1"/>
                <w:kern w:val="2"/>
                <w:sz w:val="24"/>
                <w:szCs w:val="24"/>
                <w:highlight w:val="none"/>
                <w:lang w:val="zh-CN" w:eastAsia="zh-CN" w:bidi="ar-SA"/>
                <w14:textFill>
                  <w14:solidFill>
                    <w14:schemeClr w14:val="tx1"/>
                  </w14:solidFill>
                </w14:textFill>
              </w:rPr>
              <w:t>月环境空气质量统计</w:t>
            </w: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情况一览表</w:t>
            </w:r>
          </w:p>
          <w:tbl>
            <w:tblPr>
              <w:tblStyle w:val="30"/>
              <w:tblW w:w="84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57" w:type="dxa"/>
                <w:bottom w:w="0" w:type="dxa"/>
                <w:right w:w="57" w:type="dxa"/>
              </w:tblCellMar>
            </w:tblPr>
            <w:tblGrid>
              <w:gridCol w:w="1435"/>
              <w:gridCol w:w="1164"/>
              <w:gridCol w:w="1164"/>
              <w:gridCol w:w="1164"/>
              <w:gridCol w:w="1164"/>
              <w:gridCol w:w="1164"/>
              <w:gridCol w:w="1167"/>
            </w:tblGrid>
            <w:tr w14:paraId="5DB13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3" w:hRule="atLeast"/>
                <w:jc w:val="center"/>
              </w:trPr>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34739">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时间</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3802C">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SO</w:t>
                  </w:r>
                  <w:r>
                    <w:rPr>
                      <w:rFonts w:hint="eastAsia" w:ascii="Times New Roman" w:hAnsi="Times New Roman" w:eastAsia="宋体" w:cs="Times New Roman"/>
                      <w:b/>
                      <w:bCs/>
                      <w:i w:val="0"/>
                      <w:iCs w:val="0"/>
                      <w:color w:val="000000" w:themeColor="text1"/>
                      <w:kern w:val="0"/>
                      <w:sz w:val="21"/>
                      <w:szCs w:val="21"/>
                      <w:highlight w:val="none"/>
                      <w:u w:val="none"/>
                      <w:vertAlign w:val="subscript"/>
                      <w:lang w:val="en-US" w:eastAsia="zh-CN" w:bidi="ar"/>
                      <w14:textFill>
                        <w14:solidFill>
                          <w14:schemeClr w14:val="tx1"/>
                        </w14:solidFill>
                      </w14:textFill>
                    </w:rPr>
                    <w:t>2</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（μg/m</w:t>
                  </w:r>
                  <w:r>
                    <w:rPr>
                      <w:rFonts w:hint="eastAsia" w:ascii="Times New Roman" w:hAnsi="Times New Roman" w:eastAsia="宋体" w:cs="Times New Roman"/>
                      <w:b/>
                      <w:bCs/>
                      <w:i w:val="0"/>
                      <w:iCs w:val="0"/>
                      <w:color w:val="000000" w:themeColor="text1"/>
                      <w:kern w:val="0"/>
                      <w:sz w:val="21"/>
                      <w:szCs w:val="21"/>
                      <w:highlight w:val="none"/>
                      <w:u w:val="none"/>
                      <w:vertAlign w:val="superscript"/>
                      <w:lang w:val="en-US" w:eastAsia="zh-CN" w:bidi="ar"/>
                      <w14:textFill>
                        <w14:solidFill>
                          <w14:schemeClr w14:val="tx1"/>
                        </w14:solidFill>
                      </w14:textFill>
                    </w:rPr>
                    <w:t>3</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6FB92">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NO</w:t>
                  </w:r>
                  <w:r>
                    <w:rPr>
                      <w:rFonts w:hint="eastAsia" w:ascii="Times New Roman" w:hAnsi="Times New Roman" w:eastAsia="宋体" w:cs="Times New Roman"/>
                      <w:b/>
                      <w:bCs/>
                      <w:i w:val="0"/>
                      <w:iCs w:val="0"/>
                      <w:color w:val="000000" w:themeColor="text1"/>
                      <w:kern w:val="0"/>
                      <w:sz w:val="21"/>
                      <w:szCs w:val="21"/>
                      <w:highlight w:val="none"/>
                      <w:u w:val="none"/>
                      <w:vertAlign w:val="subscript"/>
                      <w:lang w:val="en-US" w:eastAsia="zh-CN" w:bidi="ar"/>
                      <w14:textFill>
                        <w14:solidFill>
                          <w14:schemeClr w14:val="tx1"/>
                        </w14:solidFill>
                      </w14:textFill>
                    </w:rPr>
                    <w:t>2</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（μg/m</w:t>
                  </w:r>
                  <w:r>
                    <w:rPr>
                      <w:rFonts w:hint="eastAsia" w:ascii="Times New Roman" w:hAnsi="Times New Roman" w:eastAsia="宋体" w:cs="Times New Roman"/>
                      <w:b/>
                      <w:bCs/>
                      <w:i w:val="0"/>
                      <w:iCs w:val="0"/>
                      <w:color w:val="000000" w:themeColor="text1"/>
                      <w:kern w:val="0"/>
                      <w:sz w:val="21"/>
                      <w:szCs w:val="21"/>
                      <w:highlight w:val="none"/>
                      <w:u w:val="none"/>
                      <w:vertAlign w:val="superscript"/>
                      <w:lang w:val="en-US" w:eastAsia="zh-CN" w:bidi="ar"/>
                      <w14:textFill>
                        <w14:solidFill>
                          <w14:schemeClr w14:val="tx1"/>
                        </w14:solidFill>
                      </w14:textFill>
                    </w:rPr>
                    <w:t>3</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0C077">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PM</w:t>
                  </w:r>
                  <w:r>
                    <w:rPr>
                      <w:rFonts w:hint="eastAsia" w:ascii="Times New Roman" w:hAnsi="Times New Roman" w:eastAsia="宋体" w:cs="Times New Roman"/>
                      <w:b/>
                      <w:bCs/>
                      <w:i w:val="0"/>
                      <w:iCs w:val="0"/>
                      <w:color w:val="000000" w:themeColor="text1"/>
                      <w:kern w:val="0"/>
                      <w:sz w:val="21"/>
                      <w:szCs w:val="21"/>
                      <w:highlight w:val="none"/>
                      <w:u w:val="none"/>
                      <w:vertAlign w:val="subscript"/>
                      <w:lang w:val="en-US" w:eastAsia="zh-CN" w:bidi="ar"/>
                      <w14:textFill>
                        <w14:solidFill>
                          <w14:schemeClr w14:val="tx1"/>
                        </w14:solidFill>
                      </w14:textFill>
                    </w:rPr>
                    <w:t>10</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（μg/m</w:t>
                  </w:r>
                  <w:r>
                    <w:rPr>
                      <w:rFonts w:hint="eastAsia" w:ascii="Times New Roman" w:hAnsi="Times New Roman" w:eastAsia="宋体" w:cs="Times New Roman"/>
                      <w:b/>
                      <w:bCs/>
                      <w:i w:val="0"/>
                      <w:iCs w:val="0"/>
                      <w:color w:val="000000" w:themeColor="text1"/>
                      <w:kern w:val="0"/>
                      <w:sz w:val="21"/>
                      <w:szCs w:val="21"/>
                      <w:highlight w:val="none"/>
                      <w:u w:val="none"/>
                      <w:vertAlign w:val="superscript"/>
                      <w:lang w:val="en-US" w:eastAsia="zh-CN" w:bidi="ar"/>
                      <w14:textFill>
                        <w14:solidFill>
                          <w14:schemeClr w14:val="tx1"/>
                        </w14:solidFill>
                      </w14:textFill>
                    </w:rPr>
                    <w:t>3</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99E54">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PM</w:t>
                  </w:r>
                  <w:r>
                    <w:rPr>
                      <w:rFonts w:hint="eastAsia" w:ascii="Times New Roman" w:hAnsi="Times New Roman" w:eastAsia="宋体" w:cs="Times New Roman"/>
                      <w:b/>
                      <w:bCs/>
                      <w:i w:val="0"/>
                      <w:iCs w:val="0"/>
                      <w:color w:val="000000" w:themeColor="text1"/>
                      <w:kern w:val="0"/>
                      <w:sz w:val="21"/>
                      <w:szCs w:val="21"/>
                      <w:highlight w:val="none"/>
                      <w:u w:val="none"/>
                      <w:vertAlign w:val="subscript"/>
                      <w:lang w:val="en-US" w:eastAsia="zh-CN" w:bidi="ar"/>
                      <w14:textFill>
                        <w14:solidFill>
                          <w14:schemeClr w14:val="tx1"/>
                        </w14:solidFill>
                      </w14:textFill>
                    </w:rPr>
                    <w:t>2.5</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（μg/m</w:t>
                  </w:r>
                  <w:r>
                    <w:rPr>
                      <w:rFonts w:hint="eastAsia" w:ascii="Times New Roman" w:hAnsi="Times New Roman" w:eastAsia="宋体" w:cs="Times New Roman"/>
                      <w:b/>
                      <w:bCs/>
                      <w:i w:val="0"/>
                      <w:iCs w:val="0"/>
                      <w:color w:val="000000" w:themeColor="text1"/>
                      <w:kern w:val="0"/>
                      <w:sz w:val="21"/>
                      <w:szCs w:val="21"/>
                      <w:highlight w:val="none"/>
                      <w:u w:val="none"/>
                      <w:vertAlign w:val="superscript"/>
                      <w:lang w:val="en-US" w:eastAsia="zh-CN" w:bidi="ar"/>
                      <w14:textFill>
                        <w14:solidFill>
                          <w14:schemeClr w14:val="tx1"/>
                        </w14:solidFill>
                      </w14:textFill>
                    </w:rPr>
                    <w:t>3</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BDD1E">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CO（mg/m</w:t>
                  </w:r>
                  <w:r>
                    <w:rPr>
                      <w:rFonts w:hint="eastAsia" w:ascii="Times New Roman" w:hAnsi="Times New Roman" w:eastAsia="宋体" w:cs="Times New Roman"/>
                      <w:b/>
                      <w:bCs/>
                      <w:i w:val="0"/>
                      <w:iCs w:val="0"/>
                      <w:color w:val="000000" w:themeColor="text1"/>
                      <w:kern w:val="0"/>
                      <w:sz w:val="21"/>
                      <w:szCs w:val="21"/>
                      <w:highlight w:val="none"/>
                      <w:u w:val="none"/>
                      <w:vertAlign w:val="superscript"/>
                      <w:lang w:val="en-US" w:eastAsia="zh-CN" w:bidi="ar"/>
                      <w14:textFill>
                        <w14:solidFill>
                          <w14:schemeClr w14:val="tx1"/>
                        </w14:solidFill>
                      </w14:textFill>
                    </w:rPr>
                    <w:t>3</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E8743">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O</w:t>
                  </w:r>
                  <w:r>
                    <w:rPr>
                      <w:rFonts w:hint="eastAsia" w:ascii="Times New Roman" w:hAnsi="Times New Roman" w:eastAsia="宋体" w:cs="Times New Roman"/>
                      <w:b/>
                      <w:bCs/>
                      <w:i w:val="0"/>
                      <w:iCs w:val="0"/>
                      <w:color w:val="000000" w:themeColor="text1"/>
                      <w:kern w:val="0"/>
                      <w:sz w:val="21"/>
                      <w:szCs w:val="21"/>
                      <w:highlight w:val="none"/>
                      <w:u w:val="none"/>
                      <w:vertAlign w:val="subscript"/>
                      <w:lang w:val="en-US" w:eastAsia="zh-CN" w:bidi="ar"/>
                      <w14:textFill>
                        <w14:solidFill>
                          <w14:schemeClr w14:val="tx1"/>
                        </w14:solidFill>
                      </w14:textFill>
                    </w:rPr>
                    <w:t>3</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（μg/m</w:t>
                  </w:r>
                  <w:r>
                    <w:rPr>
                      <w:rFonts w:hint="eastAsia" w:ascii="Times New Roman" w:hAnsi="Times New Roman" w:eastAsia="宋体" w:cs="Times New Roman"/>
                      <w:b/>
                      <w:bCs/>
                      <w:i w:val="0"/>
                      <w:iCs w:val="0"/>
                      <w:color w:val="000000" w:themeColor="text1"/>
                      <w:kern w:val="0"/>
                      <w:sz w:val="21"/>
                      <w:szCs w:val="21"/>
                      <w:highlight w:val="none"/>
                      <w:u w:val="none"/>
                      <w:vertAlign w:val="superscript"/>
                      <w:lang w:val="en-US" w:eastAsia="zh-CN" w:bidi="ar"/>
                      <w14:textFill>
                        <w14:solidFill>
                          <w14:schemeClr w14:val="tx1"/>
                        </w14:solidFill>
                      </w14:textFill>
                    </w:rPr>
                    <w:t>3</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w:t>
                  </w:r>
                </w:p>
              </w:tc>
            </w:tr>
            <w:tr w14:paraId="1CDC5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3" w:hRule="atLeast"/>
                <w:jc w:val="center"/>
              </w:trPr>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0315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2024年1月</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B21C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8785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22</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8382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44</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B2CF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30</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2EC1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0.7</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3AD6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110</w:t>
                  </w:r>
                </w:p>
              </w:tc>
            </w:tr>
            <w:tr w14:paraId="78C30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3" w:hRule="atLeast"/>
                <w:jc w:val="center"/>
              </w:trPr>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CB4D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2024年</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月</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3765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EEE0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12</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F9AC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28</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7E80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22</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35DF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0.7</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D8FC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87</w:t>
                  </w:r>
                </w:p>
              </w:tc>
            </w:tr>
            <w:tr w14:paraId="3DC1F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3" w:hRule="atLeast"/>
                <w:jc w:val="center"/>
              </w:trPr>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1392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2024年</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月</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6153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377B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3287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44</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89C8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26</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D304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0.6</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0ADF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114</w:t>
                  </w:r>
                </w:p>
              </w:tc>
            </w:tr>
            <w:tr w14:paraId="0C883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3" w:hRule="atLeast"/>
                <w:jc w:val="center"/>
              </w:trPr>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09DC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2024年</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月</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18B4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7705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19</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D218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36</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3357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26</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4572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0.7</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BD5B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106</w:t>
                  </w:r>
                </w:p>
              </w:tc>
            </w:tr>
            <w:tr w14:paraId="6E23C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3" w:hRule="atLeast"/>
                <w:jc w:val="center"/>
              </w:trPr>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A046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2024年</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月</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27B1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EB81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10</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E561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25</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AC9E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16</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5F7F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0.5</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81F7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142</w:t>
                  </w:r>
                </w:p>
              </w:tc>
            </w:tr>
            <w:tr w14:paraId="28CAE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3" w:hRule="atLeast"/>
                <w:jc w:val="center"/>
              </w:trPr>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7979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2024年</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月</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E7F6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4CCB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1D13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22</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B916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11</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18A3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0.5</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93F0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108</w:t>
                  </w:r>
                </w:p>
              </w:tc>
            </w:tr>
            <w:tr w14:paraId="64AF2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3" w:hRule="atLeast"/>
                <w:jc w:val="center"/>
              </w:trPr>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A35E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2024年</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7</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月</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1AF4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654D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7</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9AD2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21</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9662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12</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BE5A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0.4</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C4C9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112</w:t>
                  </w:r>
                </w:p>
              </w:tc>
            </w:tr>
            <w:tr w14:paraId="6D591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3" w:hRule="atLeast"/>
                <w:jc w:val="center"/>
              </w:trPr>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8EC2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2024年</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月</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204F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D932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9BE6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33</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A5CE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18</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B14F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0.6</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2D43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140</w:t>
                  </w:r>
                </w:p>
              </w:tc>
            </w:tr>
            <w:tr w14:paraId="23B55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3" w:hRule="atLeast"/>
                <w:jc w:val="center"/>
              </w:trPr>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49A7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2024年</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月</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A96C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2D17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F36C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22</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935B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12</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49BB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0.6</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126B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105</w:t>
                  </w:r>
                </w:p>
              </w:tc>
            </w:tr>
            <w:tr w14:paraId="42BDC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3" w:hRule="atLeast"/>
                <w:jc w:val="center"/>
              </w:trPr>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A591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2024年</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10</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月</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6BFD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0665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10</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C7CF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25</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80BC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14</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3871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0.6</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23A5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118</w:t>
                  </w:r>
                </w:p>
              </w:tc>
            </w:tr>
            <w:tr w14:paraId="6C5CB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3" w:hRule="atLeast"/>
                <w:jc w:val="center"/>
              </w:trPr>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D21C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2024年</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11</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月</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9289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0800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12</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DCCB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24</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0172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13</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D437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0.7</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A032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116</w:t>
                  </w:r>
                </w:p>
              </w:tc>
            </w:tr>
            <w:tr w14:paraId="20ACF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3" w:hRule="atLeast"/>
                <w:jc w:val="center"/>
              </w:trPr>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8187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2024年</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12</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月</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7898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C041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19</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3917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38</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4A0A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26</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910B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0.6</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67BD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102</w:t>
                  </w:r>
                </w:p>
              </w:tc>
            </w:tr>
            <w:tr w14:paraId="324B6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3" w:hRule="atLeast"/>
                <w:jc w:val="center"/>
              </w:trPr>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B31B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环境空气质量标准</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（二级）</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269B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50</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4002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50</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09E4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100</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9242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50</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E417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2282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160</w:t>
                  </w:r>
                </w:p>
              </w:tc>
            </w:tr>
            <w:tr w14:paraId="333D4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3" w:hRule="atLeast"/>
                <w:jc w:val="center"/>
              </w:trPr>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6217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达标情况</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C214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达标</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F0EC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达标</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6D38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达标</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2F29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达标</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5F60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达标</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74EF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达标</w:t>
                  </w:r>
                </w:p>
              </w:tc>
            </w:tr>
          </w:tbl>
          <w:p w14:paraId="085B4416">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由上表可知，</w:t>
            </w:r>
            <w:r>
              <w:rPr>
                <w:rFonts w:hint="eastAsia" w:cs="宋体"/>
                <w:color w:val="000000" w:themeColor="text1"/>
                <w:sz w:val="24"/>
                <w:szCs w:val="32"/>
                <w:highlight w:val="none"/>
                <w14:textFill>
                  <w14:solidFill>
                    <w14:schemeClr w14:val="tx1"/>
                  </w14:solidFill>
                </w14:textFill>
              </w:rPr>
              <w:t>福州高新区</w:t>
            </w:r>
            <w:r>
              <w:rPr>
                <w:rFonts w:hint="eastAsia" w:cs="宋体"/>
                <w:color w:val="000000" w:themeColor="text1"/>
                <w:sz w:val="24"/>
                <w:szCs w:val="32"/>
                <w:highlight w:val="none"/>
                <w:lang w:val="en-US" w:eastAsia="zh-CN"/>
                <w14:textFill>
                  <w14:solidFill>
                    <w14:schemeClr w14:val="tx1"/>
                  </w14:solidFill>
                </w14:textFill>
              </w:rPr>
              <w:t>2024年1月~2024年12月份空气环境中SO</w:t>
            </w:r>
            <w:r>
              <w:rPr>
                <w:rFonts w:hint="eastAsia" w:cs="宋体"/>
                <w:color w:val="000000" w:themeColor="text1"/>
                <w:sz w:val="24"/>
                <w:szCs w:val="32"/>
                <w:highlight w:val="none"/>
                <w:vertAlign w:val="subscript"/>
                <w:lang w:val="en-US" w:eastAsia="zh-CN"/>
                <w14:textFill>
                  <w14:solidFill>
                    <w14:schemeClr w14:val="tx1"/>
                  </w14:solidFill>
                </w14:textFill>
              </w:rPr>
              <w:t>2</w:t>
            </w:r>
            <w:r>
              <w:rPr>
                <w:rFonts w:hint="eastAsia" w:cs="宋体"/>
                <w:color w:val="000000" w:themeColor="text1"/>
                <w:sz w:val="24"/>
                <w:szCs w:val="32"/>
                <w:highlight w:val="none"/>
                <w:lang w:val="en-US" w:eastAsia="zh-CN"/>
                <w14:textFill>
                  <w14:solidFill>
                    <w14:schemeClr w14:val="tx1"/>
                  </w14:solidFill>
                </w14:textFill>
              </w:rPr>
              <w:t>等6个基本污染物均未超过环境空气质量二级标准，福州高新区属于大气环境达标区。因此，项目所在区域属于大气环境达标区。</w:t>
            </w:r>
          </w:p>
          <w:p w14:paraId="30AEE864">
            <w:pPr>
              <w:spacing w:before="120" w:beforeLines="50"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lang w:val="en-US" w:eastAsia="zh-CN"/>
                <w14:textFill>
                  <w14:solidFill>
                    <w14:schemeClr w14:val="tx1"/>
                  </w14:solidFill>
                </w14:textFill>
              </w:rPr>
              <w:t>二、其他污染物</w:t>
            </w:r>
          </w:p>
          <w:p w14:paraId="72F8C75B">
            <w:pPr>
              <w:spacing w:line="360" w:lineRule="auto"/>
              <w:ind w:firstLine="480" w:firstLineChars="200"/>
              <w:rPr>
                <w:rFonts w:hint="eastAsia" w:eastAsia="宋体" w:cs="宋体"/>
                <w:color w:val="000000" w:themeColor="text1"/>
                <w:sz w:val="24"/>
                <w:szCs w:val="24"/>
                <w:highlight w:val="none"/>
                <w:lang w:val="en-US" w:eastAsia="zh-CN"/>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根据环境影响评价网(生态环境部环境工程评估中心)关于《建设项目环境影响报告表》内容、格式及编制技术指南常见问题解答</w:t>
            </w:r>
            <w:r>
              <w:rPr>
                <w:rFonts w:hint="eastAsia" w:cs="宋体"/>
                <w:color w:val="000000" w:themeColor="text1"/>
                <w:sz w:val="24"/>
                <w:szCs w:val="24"/>
                <w:highlight w:val="none"/>
                <w:lang w:eastAsia="zh-CN"/>
                <w14:textFill>
                  <w14:solidFill>
                    <w14:schemeClr w14:val="tx1"/>
                  </w14:solidFill>
                </w14:textFill>
              </w:rPr>
              <w:t>：</w:t>
            </w:r>
            <w:r>
              <w:rPr>
                <w:rFonts w:hint="eastAsia" w:cs="宋体"/>
                <w:color w:val="000000" w:themeColor="text1"/>
                <w:sz w:val="24"/>
                <w:szCs w:val="24"/>
                <w:highlight w:val="none"/>
                <w14:textFill>
                  <w14:solidFill>
                    <w14:schemeClr w14:val="tx1"/>
                  </w14:solidFill>
                </w14:textFill>
              </w:rPr>
              <w:t>技术指南中提到“排放国家、地方环境空气质量标准中有标准限值要求的特征污染物”，其中环境空气质量标准指《环境空气质量标准》(GB3095)和地方的环境空气质量标准，不包括《环境影响评价技术导则 大气环境》(</w:t>
            </w:r>
            <w:r>
              <w:rPr>
                <w:rFonts w:hint="eastAsia" w:cs="宋体"/>
                <w:color w:val="000000" w:themeColor="text1"/>
                <w:sz w:val="24"/>
                <w:szCs w:val="24"/>
                <w:highlight w:val="none"/>
                <w:lang w:val="en-US" w:eastAsia="zh-CN"/>
                <w14:textFill>
                  <w14:solidFill>
                    <w14:schemeClr w14:val="tx1"/>
                  </w14:solidFill>
                </w14:textFill>
              </w:rPr>
              <w:t>HJ</w:t>
            </w:r>
            <w:r>
              <w:rPr>
                <w:rFonts w:hint="eastAsia" w:cs="宋体"/>
                <w:color w:val="000000" w:themeColor="text1"/>
                <w:sz w:val="24"/>
                <w:szCs w:val="24"/>
                <w:highlight w:val="none"/>
                <w14:textFill>
                  <w14:solidFill>
                    <w14:schemeClr w14:val="tx1"/>
                  </w14:solidFill>
                </w14:textFill>
              </w:rPr>
              <w:t>2.2-2018)附录 D、《工业企业设计卫生标准》(TJ36-97)、《前苏联居住区标准》(CH245-71)、《环境影响评价技术导则 制药建设项目》</w:t>
            </w:r>
            <w:r>
              <w:rPr>
                <w:rFonts w:hint="eastAsia" w:cs="宋体"/>
                <w:color w:val="000000" w:themeColor="text1"/>
                <w:sz w:val="24"/>
                <w:szCs w:val="24"/>
                <w:highlight w:val="none"/>
                <w:lang w:val="en-US" w:eastAsia="zh-CN"/>
                <w14:textFill>
                  <w14:solidFill>
                    <w14:schemeClr w14:val="tx1"/>
                  </w14:solidFill>
                </w14:textFill>
              </w:rPr>
              <w:t>(HJ</w:t>
            </w:r>
            <w:r>
              <w:rPr>
                <w:rFonts w:hint="eastAsia" w:cs="宋体"/>
                <w:color w:val="000000" w:themeColor="text1"/>
                <w:sz w:val="24"/>
                <w:szCs w:val="24"/>
                <w:highlight w:val="none"/>
                <w14:textFill>
                  <w14:solidFill>
                    <w14:schemeClr w14:val="tx1"/>
                  </w14:solidFill>
                </w14:textFill>
              </w:rPr>
              <w:t>611-2011)、《大气污染物综合排放标准详解》等导则或参考资料。排放的特征污染物需要在国家、地方环境空气质量标准中有限值要求才涉及现状监测，且优先引用现有监测数据”</w:t>
            </w:r>
            <w:r>
              <w:rPr>
                <w:rFonts w:hint="eastAsia" w:cs="宋体"/>
                <w:color w:val="000000" w:themeColor="text1"/>
                <w:sz w:val="24"/>
                <w:szCs w:val="24"/>
                <w:highlight w:val="none"/>
                <w:lang w:eastAsia="zh-CN"/>
                <w14:textFill>
                  <w14:solidFill>
                    <w14:schemeClr w14:val="tx1"/>
                  </w14:solidFill>
                </w14:textFill>
              </w:rPr>
              <w:t>。</w:t>
            </w:r>
          </w:p>
          <w:p w14:paraId="7147C2F9">
            <w:pPr>
              <w:spacing w:line="360" w:lineRule="auto"/>
              <w:ind w:firstLine="480" w:firstLineChars="200"/>
              <w:rPr>
                <w:rFonts w:hint="default" w:cs="宋体"/>
                <w:color w:val="000000" w:themeColor="text1"/>
                <w:sz w:val="24"/>
                <w:szCs w:val="24"/>
                <w:highlight w:val="none"/>
                <w:lang w:val="en-US" w:eastAsia="zh-CN"/>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本项目排放的其他</w:t>
            </w:r>
            <w:r>
              <w:rPr>
                <w:rFonts w:hint="eastAsia" w:cs="宋体"/>
                <w:color w:val="000000" w:themeColor="text1"/>
                <w:sz w:val="24"/>
                <w:szCs w:val="24"/>
                <w:highlight w:val="none"/>
                <w:lang w:eastAsia="zh-CN"/>
                <w14:textFill>
                  <w14:solidFill>
                    <w14:schemeClr w14:val="tx1"/>
                  </w14:solidFill>
                </w14:textFill>
              </w:rPr>
              <w:t>污染物</w:t>
            </w:r>
            <w:r>
              <w:rPr>
                <w:rFonts w:hint="eastAsia" w:cs="宋体"/>
                <w:color w:val="000000" w:themeColor="text1"/>
                <w:sz w:val="24"/>
                <w:szCs w:val="24"/>
                <w:highlight w:val="none"/>
                <w:lang w:val="en-US" w:eastAsia="zh-CN"/>
                <w14:textFill>
                  <w14:solidFill>
                    <w14:schemeClr w14:val="tx1"/>
                  </w14:solidFill>
                </w14:textFill>
              </w:rPr>
              <w:t>中，仅氟化物和TSP</w:t>
            </w:r>
            <w:r>
              <w:rPr>
                <w:rFonts w:hint="eastAsia" w:cs="宋体"/>
                <w:color w:val="000000" w:themeColor="text1"/>
                <w:sz w:val="24"/>
                <w:szCs w:val="24"/>
                <w:highlight w:val="none"/>
                <w14:textFill>
                  <w14:solidFill>
                    <w14:schemeClr w14:val="tx1"/>
                  </w14:solidFill>
                </w14:textFill>
              </w:rPr>
              <w:t>属于《环境空气质量标准》(GB3095-20</w:t>
            </w:r>
            <w:r>
              <w:rPr>
                <w:rFonts w:hint="eastAsia" w:cs="宋体"/>
                <w:color w:val="000000" w:themeColor="text1"/>
                <w:sz w:val="24"/>
                <w:szCs w:val="24"/>
                <w:highlight w:val="none"/>
                <w:lang w:val="en-US" w:eastAsia="zh-CN"/>
                <w14:textFill>
                  <w14:solidFill>
                    <w14:schemeClr w14:val="tx1"/>
                  </w14:solidFill>
                </w14:textFill>
              </w:rPr>
              <w:t>26</w:t>
            </w:r>
            <w:r>
              <w:rPr>
                <w:rFonts w:hint="eastAsia" w:cs="宋体"/>
                <w:color w:val="000000" w:themeColor="text1"/>
                <w:sz w:val="24"/>
                <w:szCs w:val="24"/>
                <w:highlight w:val="none"/>
                <w14:textFill>
                  <w14:solidFill>
                    <w14:schemeClr w14:val="tx1"/>
                  </w14:solidFill>
                </w14:textFill>
              </w:rPr>
              <w:t>)和地方的环境空气质量中有标准限值要求的污染物，因此，</w:t>
            </w:r>
            <w:r>
              <w:rPr>
                <w:rFonts w:hint="eastAsia" w:cs="宋体"/>
                <w:color w:val="000000" w:themeColor="text1"/>
                <w:sz w:val="24"/>
                <w:szCs w:val="24"/>
                <w:highlight w:val="none"/>
                <w:lang w:val="en-US" w:eastAsia="zh-CN"/>
                <w14:textFill>
                  <w14:solidFill>
                    <w14:schemeClr w14:val="tx1"/>
                  </w14:solidFill>
                </w14:textFill>
              </w:rPr>
              <w:t>本次评价引用本项目周边5km范围内近3年的监测数据进行现状评价。其中氟化物引用《福建兆元光电有限公司环境质量和污染源检测检测报告》中的监测数据，TSP引用《福建天昇新材料有限公司环境现状质量监测报告》的监测数据。</w:t>
            </w:r>
          </w:p>
          <w:p w14:paraId="3FA0B228">
            <w:pPr>
              <w:spacing w:line="360" w:lineRule="auto"/>
              <w:ind w:firstLine="480" w:firstLineChars="200"/>
              <w:rPr>
                <w:rFonts w:hint="default" w:cs="宋体"/>
                <w:color w:val="000000" w:themeColor="text1"/>
                <w:sz w:val="24"/>
                <w:szCs w:val="24"/>
                <w:highlight w:val="none"/>
                <w:lang w:val="en-US" w:eastAsia="zh-CN"/>
                <w14:textFill>
                  <w14:solidFill>
                    <w14:schemeClr w14:val="tx1"/>
                  </w14:solidFill>
                </w14:textFill>
              </w:rPr>
            </w:pPr>
            <w:r>
              <w:rPr>
                <w:rFonts w:hint="eastAsia" w:cs="宋体"/>
                <w:color w:val="000000" w:themeColor="text1"/>
                <w:sz w:val="24"/>
                <w:szCs w:val="24"/>
                <w:highlight w:val="none"/>
                <w:lang w:val="en-US" w:eastAsia="zh-CN"/>
                <w14:textFill>
                  <w14:solidFill>
                    <w14:schemeClr w14:val="tx1"/>
                  </w14:solidFill>
                </w14:textFill>
              </w:rPr>
              <w:t>（一）氟化物</w:t>
            </w:r>
          </w:p>
          <w:p w14:paraId="2FBF835C">
            <w:pPr>
              <w:pStyle w:val="98"/>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监测时间：2023年11月6日至13日</w:t>
            </w:r>
          </w:p>
          <w:p w14:paraId="44221225">
            <w:pPr>
              <w:pStyle w:val="98"/>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监测单位：福建九五检测技术服务有限公司</w:t>
            </w:r>
          </w:p>
          <w:p w14:paraId="3605BCD6">
            <w:pPr>
              <w:pStyle w:val="98"/>
              <w:rPr>
                <w:rFonts w:hint="default" w:eastAsia="宋体"/>
                <w:color w:val="000000" w:themeColor="text1"/>
                <w:highlight w:val="none"/>
                <w:lang w:val="en-US" w:eastAsia="zh-CN"/>
                <w14:textFill>
                  <w14:solidFill>
                    <w14:schemeClr w14:val="tx1"/>
                  </w14:solidFill>
                </w14:textFill>
              </w:rPr>
            </w:pP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3</w:t>
            </w: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监测点位见下表，见图3.1-1。</w:t>
            </w:r>
          </w:p>
          <w:p w14:paraId="6C094013">
            <w:pPr>
              <w:spacing w:line="360" w:lineRule="auto"/>
              <w:jc w:val="center"/>
              <w:rPr>
                <w:b/>
                <w:bCs/>
                <w:color w:val="000000" w:themeColor="text1"/>
                <w:sz w:val="24"/>
                <w:szCs w:val="24"/>
                <w:highlight w:val="none"/>
                <w14:textFill>
                  <w14:solidFill>
                    <w14:schemeClr w14:val="tx1"/>
                  </w14:solidFill>
                </w14:textFill>
              </w:rPr>
            </w:pPr>
            <w:r>
              <w:rPr>
                <w:b/>
                <w:bCs/>
                <w:color w:val="000000" w:themeColor="text1"/>
                <w:sz w:val="24"/>
                <w:szCs w:val="24"/>
                <w:highlight w:val="none"/>
                <w14:textFill>
                  <w14:solidFill>
                    <w14:schemeClr w14:val="tx1"/>
                  </w14:solidFill>
                </w14:textFill>
              </w:rPr>
              <w:t>表</w:t>
            </w:r>
            <w:r>
              <w:rPr>
                <w:rFonts w:hint="eastAsia"/>
                <w:b/>
                <w:bCs/>
                <w:color w:val="000000" w:themeColor="text1"/>
                <w:sz w:val="24"/>
                <w:szCs w:val="24"/>
                <w:highlight w:val="none"/>
                <w:lang w:val="en-US" w:eastAsia="zh-CN"/>
                <w14:textFill>
                  <w14:solidFill>
                    <w14:schemeClr w14:val="tx1"/>
                  </w14:solidFill>
                </w14:textFill>
              </w:rPr>
              <w:t>3.1</w:t>
            </w:r>
            <w:r>
              <w:rPr>
                <w:b/>
                <w:bCs/>
                <w:color w:val="000000" w:themeColor="text1"/>
                <w:sz w:val="24"/>
                <w:szCs w:val="24"/>
                <w:highlight w:val="none"/>
                <w14:textFill>
                  <w14:solidFill>
                    <w14:schemeClr w14:val="tx1"/>
                  </w14:solidFill>
                </w14:textFill>
              </w:rPr>
              <w:t>-</w:t>
            </w:r>
            <w:r>
              <w:rPr>
                <w:rFonts w:hint="eastAsia"/>
                <w:b/>
                <w:bCs/>
                <w:color w:val="000000" w:themeColor="text1"/>
                <w:sz w:val="24"/>
                <w:szCs w:val="24"/>
                <w:highlight w:val="none"/>
                <w:lang w:val="en-US" w:eastAsia="zh-CN"/>
                <w14:textFill>
                  <w14:solidFill>
                    <w14:schemeClr w14:val="tx1"/>
                  </w14:solidFill>
                </w14:textFill>
              </w:rPr>
              <w:t xml:space="preserve">2 </w:t>
            </w:r>
            <w:r>
              <w:rPr>
                <w:b/>
                <w:bCs/>
                <w:color w:val="000000" w:themeColor="text1"/>
                <w:sz w:val="24"/>
                <w:szCs w:val="24"/>
                <w:highlight w:val="none"/>
                <w14:textFill>
                  <w14:solidFill>
                    <w14:schemeClr w14:val="tx1"/>
                  </w14:solidFill>
                </w14:textFill>
              </w:rPr>
              <w:t>大气监测点位表</w:t>
            </w:r>
          </w:p>
          <w:tbl>
            <w:tblPr>
              <w:tblStyle w:val="30"/>
              <w:tblW w:w="5000" w:type="pct"/>
              <w:tblInd w:w="11" w:type="dxa"/>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818"/>
              <w:gridCol w:w="1352"/>
              <w:gridCol w:w="2745"/>
              <w:gridCol w:w="1305"/>
              <w:gridCol w:w="2192"/>
            </w:tblGrid>
            <w:tr w14:paraId="7813BDE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86" w:type="pct"/>
                  <w:tcBorders>
                    <w:tl2br w:val="nil"/>
                    <w:tr2bl w:val="nil"/>
                  </w:tcBorders>
                  <w:noWrap/>
                  <w:vAlign w:val="center"/>
                </w:tcPr>
                <w:p w14:paraId="14318131">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序号</w:t>
                  </w:r>
                </w:p>
              </w:tc>
              <w:tc>
                <w:tcPr>
                  <w:tcW w:w="803" w:type="pct"/>
                  <w:tcBorders>
                    <w:tl2br w:val="nil"/>
                    <w:tr2bl w:val="nil"/>
                  </w:tcBorders>
                  <w:vAlign w:val="center"/>
                </w:tcPr>
                <w:p w14:paraId="6B3CF82B">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监测点位置</w:t>
                  </w:r>
                </w:p>
              </w:tc>
              <w:tc>
                <w:tcPr>
                  <w:tcW w:w="1631" w:type="pct"/>
                  <w:tcBorders>
                    <w:tl2br w:val="nil"/>
                    <w:tr2bl w:val="nil"/>
                  </w:tcBorders>
                  <w:vAlign w:val="center"/>
                </w:tcPr>
                <w:p w14:paraId="72981A6F">
                  <w:pPr>
                    <w:pStyle w:val="110"/>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经纬度</w:t>
                  </w:r>
                </w:p>
              </w:tc>
              <w:tc>
                <w:tcPr>
                  <w:tcW w:w="775" w:type="pct"/>
                  <w:tcBorders>
                    <w:tl2br w:val="nil"/>
                    <w:tr2bl w:val="nil"/>
                  </w:tcBorders>
                  <w:vAlign w:val="center"/>
                </w:tcPr>
                <w:p w14:paraId="35EE4DEF">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监测项目</w:t>
                  </w:r>
                </w:p>
              </w:tc>
              <w:tc>
                <w:tcPr>
                  <w:tcW w:w="1302" w:type="pct"/>
                  <w:tcBorders>
                    <w:tl2br w:val="nil"/>
                    <w:tr2bl w:val="nil"/>
                  </w:tcBorders>
                  <w:vAlign w:val="center"/>
                </w:tcPr>
                <w:p w14:paraId="3C423859">
                  <w:pPr>
                    <w:pStyle w:val="110"/>
                    <w:rPr>
                      <w:rFonts w:hint="default" w:eastAsia="宋体"/>
                      <w:color w:val="000000" w:themeColor="text1"/>
                      <w:highlight w:val="none"/>
                      <w:lang w:val="en-US" w:eastAsia="zh-CN"/>
                      <w14:textFill>
                        <w14:solidFill>
                          <w14:schemeClr w14:val="tx1"/>
                        </w14:solidFill>
                      </w14:textFill>
                    </w:rPr>
                  </w:pPr>
                  <w:r>
                    <w:rPr>
                      <w:color w:val="000000" w:themeColor="text1"/>
                      <w:highlight w:val="none"/>
                      <w14:textFill>
                        <w14:solidFill>
                          <w14:schemeClr w14:val="tx1"/>
                        </w14:solidFill>
                      </w14:textFill>
                    </w:rPr>
                    <w:t>与项目</w:t>
                  </w:r>
                  <w:r>
                    <w:rPr>
                      <w:rFonts w:hint="eastAsia"/>
                      <w:color w:val="000000" w:themeColor="text1"/>
                      <w:highlight w:val="none"/>
                      <w:lang w:val="en-US" w:eastAsia="zh-CN"/>
                      <w14:textFill>
                        <w14:solidFill>
                          <w14:schemeClr w14:val="tx1"/>
                        </w14:solidFill>
                      </w14:textFill>
                    </w:rPr>
                    <w:t>的方位和距离</w:t>
                  </w:r>
                </w:p>
              </w:tc>
            </w:tr>
            <w:tr w14:paraId="2C87338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86" w:type="pct"/>
                  <w:tcBorders>
                    <w:tl2br w:val="nil"/>
                    <w:tr2bl w:val="nil"/>
                  </w:tcBorders>
                  <w:noWrap/>
                  <w:vAlign w:val="center"/>
                </w:tcPr>
                <w:p w14:paraId="38D56BD5">
                  <w:pPr>
                    <w:pStyle w:val="110"/>
                    <w:rPr>
                      <w:rFonts w:hint="eastAsia" w:eastAsia="宋体"/>
                      <w:color w:val="000000" w:themeColor="text1"/>
                      <w:highlight w:val="none"/>
                      <w:lang w:val="en-US" w:eastAsia="zh-CN"/>
                      <w14:textFill>
                        <w14:solidFill>
                          <w14:schemeClr w14:val="tx1"/>
                        </w14:solidFill>
                      </w14:textFill>
                    </w:rPr>
                  </w:pPr>
                  <w:r>
                    <w:rPr>
                      <w:color w:val="000000" w:themeColor="text1"/>
                      <w:highlight w:val="none"/>
                      <w14:textFill>
                        <w14:solidFill>
                          <w14:schemeClr w14:val="tx1"/>
                        </w14:solidFill>
                      </w14:textFill>
                    </w:rPr>
                    <w:t>G</w:t>
                  </w:r>
                  <w:r>
                    <w:rPr>
                      <w:rFonts w:hint="eastAsia"/>
                      <w:color w:val="000000" w:themeColor="text1"/>
                      <w:highlight w:val="none"/>
                      <w:lang w:val="en-US" w:eastAsia="zh-CN"/>
                      <w14:textFill>
                        <w14:solidFill>
                          <w14:schemeClr w14:val="tx1"/>
                        </w14:solidFill>
                      </w14:textFill>
                    </w:rPr>
                    <w:t>1</w:t>
                  </w:r>
                </w:p>
              </w:tc>
              <w:tc>
                <w:tcPr>
                  <w:tcW w:w="803" w:type="pct"/>
                  <w:tcBorders>
                    <w:tl2br w:val="nil"/>
                    <w:tr2bl w:val="nil"/>
                  </w:tcBorders>
                  <w:vAlign w:val="center"/>
                </w:tcPr>
                <w:p w14:paraId="4B6DF7B9">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尧沙村</w:t>
                  </w:r>
                </w:p>
              </w:tc>
              <w:tc>
                <w:tcPr>
                  <w:tcW w:w="1631" w:type="pct"/>
                  <w:tcBorders>
                    <w:tl2br w:val="nil"/>
                    <w:tr2bl w:val="nil"/>
                  </w:tcBorders>
                  <w:vAlign w:val="center"/>
                </w:tcPr>
                <w:p w14:paraId="6751944B">
                  <w:pPr>
                    <w:pStyle w:val="110"/>
                    <w:rPr>
                      <w:color w:val="000000" w:themeColor="text1"/>
                      <w:highlight w:val="none"/>
                      <w14:textFill>
                        <w14:solidFill>
                          <w14:schemeClr w14:val="tx1"/>
                        </w14:solidFill>
                      </w14:textFill>
                    </w:rPr>
                  </w:pPr>
                  <w:r>
                    <w:rPr>
                      <w:rFonts w:eastAsia="Times New Roman"/>
                      <w:color w:val="000000" w:themeColor="text1"/>
                      <w:highlight w:val="none"/>
                      <w14:textFill>
                        <w14:solidFill>
                          <w14:schemeClr w14:val="tx1"/>
                        </w14:solidFill>
                      </w14:textFill>
                    </w:rPr>
                    <w:t>E:119.691841°N:27.459451°</w:t>
                  </w:r>
                </w:p>
              </w:tc>
              <w:tc>
                <w:tcPr>
                  <w:tcW w:w="775" w:type="pct"/>
                  <w:tcBorders>
                    <w:tl2br w:val="nil"/>
                    <w:tr2bl w:val="nil"/>
                  </w:tcBorders>
                  <w:vAlign w:val="center"/>
                </w:tcPr>
                <w:p w14:paraId="3007404A">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氟化物</w:t>
                  </w:r>
                </w:p>
              </w:tc>
              <w:tc>
                <w:tcPr>
                  <w:tcW w:w="1302" w:type="pct"/>
                  <w:tcBorders>
                    <w:tl2br w:val="nil"/>
                    <w:tr2bl w:val="nil"/>
                  </w:tcBorders>
                  <w:vAlign w:val="center"/>
                </w:tcPr>
                <w:p w14:paraId="1D60DD3B">
                  <w:pPr>
                    <w:pStyle w:val="11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东</w:t>
                  </w:r>
                  <w:r>
                    <w:rPr>
                      <w:color w:val="000000" w:themeColor="text1"/>
                      <w:highlight w:val="none"/>
                      <w14:textFill>
                        <w14:solidFill>
                          <w14:schemeClr w14:val="tx1"/>
                        </w14:solidFill>
                      </w14:textFill>
                    </w:rPr>
                    <w:t>北</w:t>
                  </w:r>
                  <w:r>
                    <w:rPr>
                      <w:rFonts w:hint="eastAsia"/>
                      <w:color w:val="000000" w:themeColor="text1"/>
                      <w:highlight w:val="none"/>
                      <w:lang w:val="en-US" w:eastAsia="zh-CN"/>
                      <w14:textFill>
                        <w14:solidFill>
                          <w14:schemeClr w14:val="tx1"/>
                        </w14:solidFill>
                      </w14:textFill>
                    </w:rPr>
                    <w:t>方向600m</w:t>
                  </w:r>
                </w:p>
              </w:tc>
            </w:tr>
          </w:tbl>
          <w:p w14:paraId="3084CC40">
            <w:pPr>
              <w:pStyle w:val="98"/>
              <w:rPr>
                <w:rFonts w:hint="eastAsia" w:eastAsia="宋体"/>
                <w:color w:val="000000" w:themeColor="text1"/>
                <w:highlight w:val="none"/>
                <w:lang w:val="en-US" w:eastAsia="zh-CN"/>
                <w14:textFill>
                  <w14:solidFill>
                    <w14:schemeClr w14:val="tx1"/>
                  </w14:solidFill>
                </w14:textFill>
              </w:rPr>
            </w:pP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4</w:t>
            </w:r>
            <w:r>
              <w:rPr>
                <w:color w:val="000000" w:themeColor="text1"/>
                <w:highlight w:val="none"/>
                <w14:textFill>
                  <w14:solidFill>
                    <w14:schemeClr w14:val="tx1"/>
                  </w14:solidFill>
                </w14:textFill>
              </w:rPr>
              <w:t>）监测分析方法</w:t>
            </w:r>
            <w:r>
              <w:rPr>
                <w:rFonts w:hint="eastAsia"/>
                <w:color w:val="000000" w:themeColor="text1"/>
                <w:highlight w:val="none"/>
                <w:lang w:val="en-US" w:eastAsia="zh-CN"/>
                <w14:textFill>
                  <w14:solidFill>
                    <w14:schemeClr w14:val="tx1"/>
                  </w14:solidFill>
                </w14:textFill>
              </w:rPr>
              <w:t>见下表。</w:t>
            </w:r>
          </w:p>
          <w:p w14:paraId="1E44F1C3">
            <w:pPr>
              <w:spacing w:line="360" w:lineRule="auto"/>
              <w:jc w:val="center"/>
              <w:rPr>
                <w:b/>
                <w:bCs/>
                <w:color w:val="000000" w:themeColor="text1"/>
                <w:sz w:val="24"/>
                <w:szCs w:val="24"/>
                <w:highlight w:val="none"/>
                <w14:textFill>
                  <w14:solidFill>
                    <w14:schemeClr w14:val="tx1"/>
                  </w14:solidFill>
                </w14:textFill>
              </w:rPr>
            </w:pPr>
            <w:r>
              <w:rPr>
                <w:b/>
                <w:bCs/>
                <w:color w:val="000000" w:themeColor="text1"/>
                <w:sz w:val="24"/>
                <w:szCs w:val="24"/>
                <w:highlight w:val="none"/>
                <w14:textFill>
                  <w14:solidFill>
                    <w14:schemeClr w14:val="tx1"/>
                  </w14:solidFill>
                </w14:textFill>
              </w:rPr>
              <w:t>表</w:t>
            </w:r>
            <w:r>
              <w:rPr>
                <w:rFonts w:hint="eastAsia"/>
                <w:b/>
                <w:bCs/>
                <w:color w:val="000000" w:themeColor="text1"/>
                <w:sz w:val="24"/>
                <w:szCs w:val="24"/>
                <w:highlight w:val="none"/>
                <w:lang w:val="en-US" w:eastAsia="zh-CN"/>
                <w14:textFill>
                  <w14:solidFill>
                    <w14:schemeClr w14:val="tx1"/>
                  </w14:solidFill>
                </w14:textFill>
              </w:rPr>
              <w:t>3.1</w:t>
            </w:r>
            <w:r>
              <w:rPr>
                <w:b/>
                <w:bCs/>
                <w:color w:val="000000" w:themeColor="text1"/>
                <w:sz w:val="24"/>
                <w:szCs w:val="24"/>
                <w:highlight w:val="none"/>
                <w14:textFill>
                  <w14:solidFill>
                    <w14:schemeClr w14:val="tx1"/>
                  </w14:solidFill>
                </w14:textFill>
              </w:rPr>
              <w:t>-</w:t>
            </w:r>
            <w:r>
              <w:rPr>
                <w:rFonts w:hint="eastAsia"/>
                <w:b/>
                <w:bCs/>
                <w:color w:val="000000" w:themeColor="text1"/>
                <w:sz w:val="24"/>
                <w:szCs w:val="24"/>
                <w:highlight w:val="none"/>
                <w:lang w:val="en-US" w:eastAsia="zh-CN"/>
                <w14:textFill>
                  <w14:solidFill>
                    <w14:schemeClr w14:val="tx1"/>
                  </w14:solidFill>
                </w14:textFill>
              </w:rPr>
              <w:t>3</w:t>
            </w:r>
            <w:r>
              <w:rPr>
                <w:b/>
                <w:bCs/>
                <w:color w:val="000000" w:themeColor="text1"/>
                <w:sz w:val="24"/>
                <w:szCs w:val="24"/>
                <w:highlight w:val="none"/>
                <w14:textFill>
                  <w14:solidFill>
                    <w14:schemeClr w14:val="tx1"/>
                  </w14:solidFill>
                </w14:textFill>
              </w:rPr>
              <w:t xml:space="preserve"> 环境空气监测分析方法一览表</w:t>
            </w:r>
          </w:p>
          <w:tbl>
            <w:tblPr>
              <w:tblStyle w:val="30"/>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2"/>
              <w:gridCol w:w="1194"/>
              <w:gridCol w:w="2827"/>
              <w:gridCol w:w="1970"/>
              <w:gridCol w:w="1770"/>
            </w:tblGrid>
            <w:tr w14:paraId="252E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387" w:type="pct"/>
                  <w:tcBorders>
                    <w:tl2br w:val="nil"/>
                    <w:tr2bl w:val="nil"/>
                  </w:tcBorders>
                  <w:vAlign w:val="center"/>
                </w:tcPr>
                <w:p w14:paraId="28464E1A">
                  <w:pPr>
                    <w:pStyle w:val="110"/>
                    <w:rPr>
                      <w:rFonts w:eastAsia="Times New Roman"/>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类别</w:t>
                  </w:r>
                </w:p>
              </w:tc>
              <w:tc>
                <w:tcPr>
                  <w:tcW w:w="709" w:type="pct"/>
                  <w:tcBorders>
                    <w:tl2br w:val="nil"/>
                    <w:tr2bl w:val="nil"/>
                  </w:tcBorders>
                  <w:vAlign w:val="center"/>
                </w:tcPr>
                <w:p w14:paraId="0B1048D4">
                  <w:pPr>
                    <w:pStyle w:val="110"/>
                    <w:rPr>
                      <w:rFonts w:eastAsia="Times New Roman"/>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项目</w:t>
                  </w:r>
                </w:p>
              </w:tc>
              <w:tc>
                <w:tcPr>
                  <w:tcW w:w="1680" w:type="pct"/>
                  <w:tcBorders>
                    <w:tl2br w:val="nil"/>
                    <w:tr2bl w:val="nil"/>
                  </w:tcBorders>
                  <w:vAlign w:val="center"/>
                </w:tcPr>
                <w:p w14:paraId="58EB5796">
                  <w:pPr>
                    <w:pStyle w:val="110"/>
                    <w:rPr>
                      <w:rFonts w:eastAsia="Times New Roman"/>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分析方法</w:t>
                  </w:r>
                </w:p>
              </w:tc>
              <w:tc>
                <w:tcPr>
                  <w:tcW w:w="1170" w:type="pct"/>
                  <w:tcBorders>
                    <w:tl2br w:val="nil"/>
                    <w:tr2bl w:val="nil"/>
                  </w:tcBorders>
                  <w:vAlign w:val="center"/>
                </w:tcPr>
                <w:p w14:paraId="74892813">
                  <w:pPr>
                    <w:pStyle w:val="110"/>
                    <w:rPr>
                      <w:rFonts w:eastAsia="Times New Roman"/>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仪器名称型号及编号</w:t>
                  </w:r>
                </w:p>
              </w:tc>
              <w:tc>
                <w:tcPr>
                  <w:tcW w:w="1052" w:type="pct"/>
                  <w:tcBorders>
                    <w:tl2br w:val="nil"/>
                    <w:tr2bl w:val="nil"/>
                  </w:tcBorders>
                  <w:vAlign w:val="center"/>
                </w:tcPr>
                <w:p w14:paraId="5404BF41">
                  <w:pPr>
                    <w:pStyle w:val="110"/>
                    <w:rPr>
                      <w:rFonts w:eastAsia="Times New Roman"/>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检出限</w:t>
                  </w:r>
                </w:p>
              </w:tc>
            </w:tr>
            <w:tr w14:paraId="7F7B4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387" w:type="pct"/>
                  <w:tcBorders>
                    <w:tl2br w:val="nil"/>
                    <w:tr2bl w:val="nil"/>
                  </w:tcBorders>
                  <w:vAlign w:val="center"/>
                </w:tcPr>
                <w:p w14:paraId="307A0815">
                  <w:pPr>
                    <w:pStyle w:val="110"/>
                    <w:rPr>
                      <w:rFonts w:eastAsia="Times New Roman"/>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空气和废气</w:t>
                  </w:r>
                </w:p>
              </w:tc>
              <w:tc>
                <w:tcPr>
                  <w:tcW w:w="709" w:type="pct"/>
                  <w:tcBorders>
                    <w:tl2br w:val="nil"/>
                    <w:tr2bl w:val="nil"/>
                  </w:tcBorders>
                  <w:vAlign w:val="center"/>
                </w:tcPr>
                <w:p w14:paraId="043EE283">
                  <w:pPr>
                    <w:pStyle w:val="110"/>
                    <w:rPr>
                      <w:rFonts w:eastAsia="Times New Roman"/>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氟化物</w:t>
                  </w:r>
                </w:p>
              </w:tc>
              <w:tc>
                <w:tcPr>
                  <w:tcW w:w="1680" w:type="pct"/>
                  <w:tcBorders>
                    <w:tl2br w:val="nil"/>
                    <w:tr2bl w:val="nil"/>
                  </w:tcBorders>
                  <w:vAlign w:val="center"/>
                </w:tcPr>
                <w:p w14:paraId="5880E6AC">
                  <w:pPr>
                    <w:pStyle w:val="110"/>
                    <w:rPr>
                      <w:rFonts w:eastAsia="Times New Roman"/>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《环境空气氟化物的测定滤膜</w:t>
                  </w:r>
                </w:p>
                <w:p w14:paraId="5F8DDB73">
                  <w:pPr>
                    <w:pStyle w:val="110"/>
                    <w:rPr>
                      <w:rFonts w:eastAsia="Times New Roman"/>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采样</w:t>
                  </w:r>
                  <w:r>
                    <w:rPr>
                      <w:rFonts w:eastAsia="Times New Roman"/>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氟离子选择电极法》</w:t>
                  </w:r>
                </w:p>
                <w:p w14:paraId="450478D5">
                  <w:pPr>
                    <w:pStyle w:val="110"/>
                    <w:rPr>
                      <w:rFonts w:eastAsia="Times New Roman"/>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r>
                    <w:rPr>
                      <w:rFonts w:eastAsia="Times New Roman"/>
                      <w:color w:val="000000" w:themeColor="text1"/>
                      <w:highlight w:val="none"/>
                      <w14:textFill>
                        <w14:solidFill>
                          <w14:schemeClr w14:val="tx1"/>
                        </w14:solidFill>
                      </w14:textFill>
                    </w:rPr>
                    <w:t>HJ955-2018</w:t>
                  </w:r>
                  <w:r>
                    <w:rPr>
                      <w:color w:val="000000" w:themeColor="text1"/>
                      <w:highlight w:val="none"/>
                      <w14:textFill>
                        <w14:solidFill>
                          <w14:schemeClr w14:val="tx1"/>
                        </w14:solidFill>
                      </w14:textFill>
                    </w:rPr>
                    <w:t>）</w:t>
                  </w:r>
                </w:p>
              </w:tc>
              <w:tc>
                <w:tcPr>
                  <w:tcW w:w="1170" w:type="pct"/>
                  <w:tcBorders>
                    <w:tl2br w:val="nil"/>
                    <w:tr2bl w:val="nil"/>
                  </w:tcBorders>
                  <w:vAlign w:val="center"/>
                </w:tcPr>
                <w:p w14:paraId="4ABBC0D5">
                  <w:pPr>
                    <w:pStyle w:val="110"/>
                    <w:rPr>
                      <w:rFonts w:eastAsia="Times New Roman"/>
                      <w:color w:val="000000" w:themeColor="text1"/>
                      <w:highlight w:val="none"/>
                      <w14:textFill>
                        <w14:solidFill>
                          <w14:schemeClr w14:val="tx1"/>
                        </w14:solidFill>
                      </w14:textFill>
                    </w:rPr>
                  </w:pPr>
                  <w:r>
                    <w:rPr>
                      <w:rFonts w:eastAsia="Times New Roman"/>
                      <w:color w:val="000000" w:themeColor="text1"/>
                      <w:highlight w:val="none"/>
                      <w14:textFill>
                        <w14:solidFill>
                          <w14:schemeClr w14:val="tx1"/>
                        </w14:solidFill>
                      </w14:textFill>
                    </w:rPr>
                    <w:t>PHS-3C</w:t>
                  </w:r>
                  <w:r>
                    <w:rPr>
                      <w:color w:val="000000" w:themeColor="text1"/>
                      <w:highlight w:val="none"/>
                      <w14:textFill>
                        <w14:solidFill>
                          <w14:schemeClr w14:val="tx1"/>
                        </w14:solidFill>
                      </w14:textFill>
                    </w:rPr>
                    <w:t>型</w:t>
                  </w:r>
                  <w:r>
                    <w:rPr>
                      <w:rFonts w:eastAsia="Times New Roman"/>
                      <w:color w:val="000000" w:themeColor="text1"/>
                      <w:highlight w:val="none"/>
                      <w14:textFill>
                        <w14:solidFill>
                          <w14:schemeClr w14:val="tx1"/>
                        </w14:solidFill>
                      </w14:textFill>
                    </w:rPr>
                    <w:t>pH</w:t>
                  </w:r>
                  <w:r>
                    <w:rPr>
                      <w:color w:val="000000" w:themeColor="text1"/>
                      <w:highlight w:val="none"/>
                      <w14:textFill>
                        <w14:solidFill>
                          <w14:schemeClr w14:val="tx1"/>
                        </w14:solidFill>
                      </w14:textFill>
                    </w:rPr>
                    <w:t>计</w:t>
                  </w:r>
                </w:p>
                <w:p w14:paraId="340E6836">
                  <w:pPr>
                    <w:pStyle w:val="110"/>
                    <w:rPr>
                      <w:rFonts w:eastAsia="Times New Roman"/>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r>
                    <w:rPr>
                      <w:rFonts w:eastAsia="Times New Roman"/>
                      <w:color w:val="000000" w:themeColor="text1"/>
                      <w:highlight w:val="none"/>
                      <w14:textFill>
                        <w14:solidFill>
                          <w14:schemeClr w14:val="tx1"/>
                        </w14:solidFill>
                      </w14:textFill>
                    </w:rPr>
                    <w:t>JW-S-05</w:t>
                  </w:r>
                  <w:r>
                    <w:rPr>
                      <w:color w:val="000000" w:themeColor="text1"/>
                      <w:highlight w:val="none"/>
                      <w14:textFill>
                        <w14:solidFill>
                          <w14:schemeClr w14:val="tx1"/>
                        </w14:solidFill>
                      </w14:textFill>
                    </w:rPr>
                    <w:t>）</w:t>
                  </w:r>
                </w:p>
              </w:tc>
              <w:tc>
                <w:tcPr>
                  <w:tcW w:w="1052" w:type="pct"/>
                  <w:tcBorders>
                    <w:tl2br w:val="nil"/>
                    <w:tr2bl w:val="nil"/>
                  </w:tcBorders>
                  <w:vAlign w:val="center"/>
                </w:tcPr>
                <w:p w14:paraId="2A770095">
                  <w:pPr>
                    <w:pStyle w:val="110"/>
                    <w:rPr>
                      <w:rFonts w:eastAsia="Times New Roman"/>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小时值</w:t>
                  </w:r>
                  <w:r>
                    <w:rPr>
                      <w:rFonts w:eastAsia="Times New Roman"/>
                      <w:color w:val="000000" w:themeColor="text1"/>
                      <w:highlight w:val="none"/>
                      <w14:textFill>
                        <w14:solidFill>
                          <w14:schemeClr w14:val="tx1"/>
                        </w14:solidFill>
                      </w14:textFill>
                    </w:rPr>
                    <w:t>0.5μg/</w:t>
                  </w:r>
                  <w:r>
                    <w:rPr>
                      <w:color w:val="000000" w:themeColor="text1"/>
                      <w:highlight w:val="none"/>
                      <w14:textFill>
                        <w14:solidFill>
                          <w14:schemeClr w14:val="tx1"/>
                        </w14:solidFill>
                      </w14:textFill>
                    </w:rPr>
                    <w:t>m³</w:t>
                  </w:r>
                </w:p>
                <w:p w14:paraId="4B16A3D4">
                  <w:pPr>
                    <w:pStyle w:val="110"/>
                    <w:rPr>
                      <w:rFonts w:eastAsia="Times New Roman"/>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日均值</w:t>
                  </w:r>
                  <w:r>
                    <w:rPr>
                      <w:rFonts w:eastAsia="Times New Roman"/>
                      <w:color w:val="000000" w:themeColor="text1"/>
                      <w:highlight w:val="none"/>
                      <w14:textFill>
                        <w14:solidFill>
                          <w14:schemeClr w14:val="tx1"/>
                        </w14:solidFill>
                      </w14:textFill>
                    </w:rPr>
                    <w:t>0.06μg/</w:t>
                  </w:r>
                  <w:r>
                    <w:rPr>
                      <w:color w:val="000000" w:themeColor="text1"/>
                      <w:highlight w:val="none"/>
                      <w14:textFill>
                        <w14:solidFill>
                          <w14:schemeClr w14:val="tx1"/>
                        </w14:solidFill>
                      </w14:textFill>
                    </w:rPr>
                    <w:t>m³</w:t>
                  </w:r>
                </w:p>
              </w:tc>
            </w:tr>
          </w:tbl>
          <w:p w14:paraId="5B5C49FF">
            <w:pPr>
              <w:pStyle w:val="98"/>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5</w:t>
            </w:r>
            <w:r>
              <w:rPr>
                <w:color w:val="000000" w:themeColor="text1"/>
                <w:highlight w:val="none"/>
                <w14:textFill>
                  <w14:solidFill>
                    <w14:schemeClr w14:val="tx1"/>
                  </w14:solidFill>
                </w14:textFill>
              </w:rPr>
              <w:t>）评价标准</w:t>
            </w:r>
          </w:p>
          <w:p w14:paraId="3F576D7B">
            <w:pPr>
              <w:spacing w:line="360" w:lineRule="auto"/>
              <w:ind w:firstLine="480" w:firstLineChars="200"/>
              <w:rPr>
                <w:rFonts w:hint="eastAsia"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sz w:val="24"/>
                <w:szCs w:val="24"/>
                <w:highlight w:val="none"/>
                <w14:textFill>
                  <w14:solidFill>
                    <w14:schemeClr w14:val="tx1"/>
                  </w14:solidFill>
                </w14:textFill>
              </w:rPr>
              <w:t>氟化物执行《环境空气质量标准》（GB3095-20</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26</w:t>
            </w:r>
            <w:r>
              <w:rPr>
                <w:rFonts w:hint="eastAsia" w:ascii="Times New Roman" w:hAnsi="Times New Roman" w:eastAsia="宋体" w:cs="宋体"/>
                <w:color w:val="000000" w:themeColor="text1"/>
                <w:sz w:val="24"/>
                <w:szCs w:val="24"/>
                <w:highlight w:val="none"/>
                <w14:textFill>
                  <w14:solidFill>
                    <w14:schemeClr w14:val="tx1"/>
                  </w14:solidFill>
                </w14:textFill>
              </w:rPr>
              <w:t>）</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中的</w:t>
            </w:r>
            <w:r>
              <w:rPr>
                <w:rFonts w:hint="eastAsia" w:ascii="Times New Roman" w:hAnsi="Times New Roman" w:eastAsia="宋体" w:cs="宋体"/>
                <w:color w:val="000000" w:themeColor="text1"/>
                <w:sz w:val="24"/>
                <w:szCs w:val="24"/>
                <w:highlight w:val="none"/>
                <w14:textFill>
                  <w14:solidFill>
                    <w14:schemeClr w14:val="tx1"/>
                  </w14:solidFill>
                </w14:textFill>
              </w:rPr>
              <w:t>标准。</w:t>
            </w:r>
          </w:p>
          <w:p w14:paraId="12A89168">
            <w:pPr>
              <w:spacing w:line="360" w:lineRule="auto"/>
              <w:jc w:val="center"/>
              <w:rPr>
                <w:b/>
                <w:bCs/>
                <w:color w:val="000000" w:themeColor="text1"/>
                <w:sz w:val="24"/>
                <w:szCs w:val="24"/>
                <w:highlight w:val="none"/>
                <w14:textFill>
                  <w14:solidFill>
                    <w14:schemeClr w14:val="tx1"/>
                  </w14:solidFill>
                </w14:textFill>
              </w:rPr>
            </w:pPr>
          </w:p>
          <w:p w14:paraId="1E9A5B43">
            <w:pPr>
              <w:spacing w:line="360" w:lineRule="auto"/>
              <w:jc w:val="center"/>
              <w:rPr>
                <w:b/>
                <w:bCs/>
                <w:color w:val="000000" w:themeColor="text1"/>
                <w:sz w:val="24"/>
                <w:szCs w:val="24"/>
                <w:highlight w:val="none"/>
                <w14:textFill>
                  <w14:solidFill>
                    <w14:schemeClr w14:val="tx1"/>
                  </w14:solidFill>
                </w14:textFill>
              </w:rPr>
            </w:pPr>
          </w:p>
          <w:p w14:paraId="2FC7A493">
            <w:pPr>
              <w:spacing w:line="360" w:lineRule="auto"/>
              <w:jc w:val="center"/>
              <w:rPr>
                <w:b/>
                <w:bCs/>
                <w:color w:val="000000" w:themeColor="text1"/>
                <w:sz w:val="24"/>
                <w:szCs w:val="24"/>
                <w:highlight w:val="none"/>
                <w14:textFill>
                  <w14:solidFill>
                    <w14:schemeClr w14:val="tx1"/>
                  </w14:solidFill>
                </w14:textFill>
              </w:rPr>
            </w:pPr>
          </w:p>
          <w:p w14:paraId="513B54F4">
            <w:pPr>
              <w:spacing w:line="360" w:lineRule="auto"/>
              <w:jc w:val="center"/>
              <w:rPr>
                <w:b/>
                <w:bCs/>
                <w:color w:val="000000" w:themeColor="text1"/>
                <w:sz w:val="24"/>
                <w:szCs w:val="24"/>
                <w:highlight w:val="none"/>
                <w14:textFill>
                  <w14:solidFill>
                    <w14:schemeClr w14:val="tx1"/>
                  </w14:solidFill>
                </w14:textFill>
              </w:rPr>
            </w:pPr>
          </w:p>
          <w:p w14:paraId="71A0DF9D">
            <w:pPr>
              <w:spacing w:line="360" w:lineRule="auto"/>
              <w:jc w:val="center"/>
              <w:rPr>
                <w:b/>
                <w:bCs/>
                <w:color w:val="000000" w:themeColor="text1"/>
                <w:sz w:val="24"/>
                <w:szCs w:val="24"/>
                <w:highlight w:val="none"/>
                <w14:textFill>
                  <w14:solidFill>
                    <w14:schemeClr w14:val="tx1"/>
                  </w14:solidFill>
                </w14:textFill>
              </w:rPr>
            </w:pPr>
          </w:p>
          <w:p w14:paraId="4D5F6595">
            <w:pPr>
              <w:pStyle w:val="110"/>
              <w:keepNext w:val="0"/>
              <w:keepLines w:val="0"/>
              <w:pageBreakBefore w:val="0"/>
              <w:widowControl w:val="0"/>
              <w:kinsoku/>
              <w:wordWrap/>
              <w:overflowPunct/>
              <w:topLinePunct w:val="0"/>
              <w:autoSpaceDE/>
              <w:autoSpaceDN/>
              <w:bidi w:val="0"/>
              <w:adjustRightInd w:val="0"/>
              <w:snapToGrid w:val="0"/>
              <w:spacing w:before="157" w:beforeLines="50"/>
              <w:textAlignment w:val="auto"/>
              <w:rPr>
                <w:rFonts w:hint="eastAsia" w:eastAsia="宋体"/>
                <w:color w:val="000000" w:themeColor="text1"/>
                <w:highlight w:val="none"/>
                <w:lang w:eastAsia="zh-CN"/>
                <w14:textFill>
                  <w14:solidFill>
                    <w14:schemeClr w14:val="tx1"/>
                  </w14:solidFill>
                </w14:textFill>
              </w:rPr>
            </w:pPr>
            <w:r>
              <w:rPr>
                <w:rFonts w:hint="eastAsia" w:eastAsia="宋体"/>
                <w:color w:val="000000" w:themeColor="text1"/>
                <w:highlight w:val="none"/>
                <w:lang w:eastAsia="zh-CN"/>
                <w14:textFill>
                  <w14:solidFill>
                    <w14:schemeClr w14:val="tx1"/>
                  </w14:solidFill>
                </w14:textFill>
              </w:rPr>
              <w:drawing>
                <wp:inline distT="0" distB="0" distL="114300" distR="114300">
                  <wp:extent cx="5242560" cy="3962400"/>
                  <wp:effectExtent l="0" t="0" r="0" b="0"/>
                  <wp:docPr id="46" name="图片 46" descr="监测点位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监测点位图"/>
                          <pic:cNvPicPr>
                            <a:picLocks noChangeAspect="1"/>
                          </pic:cNvPicPr>
                        </pic:nvPicPr>
                        <pic:blipFill>
                          <a:blip r:embed="rId13"/>
                          <a:srcRect t="1359"/>
                          <a:stretch>
                            <a:fillRect/>
                          </a:stretch>
                        </pic:blipFill>
                        <pic:spPr>
                          <a:xfrm>
                            <a:off x="0" y="0"/>
                            <a:ext cx="5242560" cy="3962400"/>
                          </a:xfrm>
                          <a:prstGeom prst="rect">
                            <a:avLst/>
                          </a:prstGeom>
                        </pic:spPr>
                      </pic:pic>
                    </a:graphicData>
                  </a:graphic>
                </wp:inline>
              </w:drawing>
            </w:r>
          </w:p>
          <w:p w14:paraId="630B9ADB">
            <w:pPr>
              <w:spacing w:line="360" w:lineRule="auto"/>
              <w:jc w:val="center"/>
              <w:rPr>
                <w:rFonts w:hint="eastAsia"/>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图</w:t>
            </w:r>
            <w:r>
              <w:rPr>
                <w:rFonts w:hint="eastAsia"/>
                <w:b/>
                <w:bCs/>
                <w:color w:val="000000" w:themeColor="text1"/>
                <w:sz w:val="24"/>
                <w:szCs w:val="24"/>
                <w:highlight w:val="none"/>
                <w:lang w:val="en-US" w:eastAsia="zh-CN"/>
                <w14:textFill>
                  <w14:solidFill>
                    <w14:schemeClr w14:val="tx1"/>
                  </w14:solidFill>
                </w14:textFill>
              </w:rPr>
              <w:t xml:space="preserve">3.1-1 </w:t>
            </w:r>
            <w:r>
              <w:rPr>
                <w:rFonts w:hint="eastAsia"/>
                <w:b/>
                <w:bCs/>
                <w:color w:val="000000" w:themeColor="text1"/>
                <w:sz w:val="24"/>
                <w:szCs w:val="24"/>
                <w:highlight w:val="none"/>
                <w14:textFill>
                  <w14:solidFill>
                    <w14:schemeClr w14:val="tx1"/>
                  </w14:solidFill>
                </w14:textFill>
              </w:rPr>
              <w:t>大气监测点位图</w:t>
            </w:r>
          </w:p>
          <w:p w14:paraId="6F8A3827">
            <w:pPr>
              <w:pStyle w:val="98"/>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6</w:t>
            </w:r>
            <w:r>
              <w:rPr>
                <w:color w:val="000000" w:themeColor="text1"/>
                <w:highlight w:val="none"/>
                <w14:textFill>
                  <w14:solidFill>
                    <w14:schemeClr w14:val="tx1"/>
                  </w14:solidFill>
                </w14:textFill>
              </w:rPr>
              <w:t>）监测与评价结果</w:t>
            </w:r>
          </w:p>
          <w:p w14:paraId="6954EF01">
            <w:pPr>
              <w:spacing w:line="360" w:lineRule="auto"/>
              <w:ind w:firstLine="480" w:firstLineChars="200"/>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监测结果见</w:t>
            </w:r>
            <w:r>
              <w:rPr>
                <w:rFonts w:hint="eastAsia"/>
                <w:color w:val="000000" w:themeColor="text1"/>
                <w:sz w:val="24"/>
                <w:szCs w:val="20"/>
                <w:highlight w:val="none"/>
                <w:lang w:val="en-US" w:eastAsia="zh-CN"/>
                <w14:textFill>
                  <w14:solidFill>
                    <w14:schemeClr w14:val="tx1"/>
                  </w14:solidFill>
                </w14:textFill>
              </w:rPr>
              <w:t>下</w:t>
            </w:r>
            <w:r>
              <w:rPr>
                <w:color w:val="000000" w:themeColor="text1"/>
                <w:sz w:val="24"/>
                <w:szCs w:val="20"/>
                <w:highlight w:val="none"/>
                <w14:textFill>
                  <w14:solidFill>
                    <w14:schemeClr w14:val="tx1"/>
                  </w14:solidFill>
                </w14:textFill>
              </w:rPr>
              <w:t>表。</w:t>
            </w:r>
          </w:p>
          <w:p w14:paraId="402E45F6">
            <w:pPr>
              <w:spacing w:line="360" w:lineRule="auto"/>
              <w:jc w:val="center"/>
              <w:rPr>
                <w:b/>
                <w:bCs/>
                <w:color w:val="000000" w:themeColor="text1"/>
                <w:sz w:val="24"/>
                <w:szCs w:val="24"/>
                <w:highlight w:val="none"/>
                <w14:textFill>
                  <w14:solidFill>
                    <w14:schemeClr w14:val="tx1"/>
                  </w14:solidFill>
                </w14:textFill>
              </w:rPr>
            </w:pPr>
            <w:r>
              <w:rPr>
                <w:b/>
                <w:bCs/>
                <w:color w:val="000000" w:themeColor="text1"/>
                <w:sz w:val="24"/>
                <w:szCs w:val="24"/>
                <w:highlight w:val="none"/>
                <w14:textFill>
                  <w14:solidFill>
                    <w14:schemeClr w14:val="tx1"/>
                  </w14:solidFill>
                </w14:textFill>
              </w:rPr>
              <w:t>表</w:t>
            </w:r>
            <w:r>
              <w:rPr>
                <w:rFonts w:hint="eastAsia"/>
                <w:b/>
                <w:bCs/>
                <w:color w:val="000000" w:themeColor="text1"/>
                <w:sz w:val="24"/>
                <w:szCs w:val="24"/>
                <w:highlight w:val="none"/>
                <w:lang w:val="en-US" w:eastAsia="zh-CN"/>
                <w14:textFill>
                  <w14:solidFill>
                    <w14:schemeClr w14:val="tx1"/>
                  </w14:solidFill>
                </w14:textFill>
              </w:rPr>
              <w:t>3.1</w:t>
            </w:r>
            <w:r>
              <w:rPr>
                <w:b/>
                <w:bCs/>
                <w:color w:val="000000" w:themeColor="text1"/>
                <w:sz w:val="24"/>
                <w:szCs w:val="24"/>
                <w:highlight w:val="none"/>
                <w14:textFill>
                  <w14:solidFill>
                    <w14:schemeClr w14:val="tx1"/>
                  </w14:solidFill>
                </w14:textFill>
              </w:rPr>
              <w:t>-</w:t>
            </w:r>
            <w:r>
              <w:rPr>
                <w:rFonts w:hint="eastAsia"/>
                <w:b/>
                <w:bCs/>
                <w:color w:val="000000" w:themeColor="text1"/>
                <w:sz w:val="24"/>
                <w:szCs w:val="24"/>
                <w:highlight w:val="none"/>
                <w:lang w:val="en-US" w:eastAsia="zh-CN"/>
                <w14:textFill>
                  <w14:solidFill>
                    <w14:schemeClr w14:val="tx1"/>
                  </w14:solidFill>
                </w14:textFill>
              </w:rPr>
              <w:t xml:space="preserve">4  </w:t>
            </w:r>
            <w:r>
              <w:rPr>
                <w:b/>
                <w:bCs/>
                <w:color w:val="000000" w:themeColor="text1"/>
                <w:sz w:val="24"/>
                <w:szCs w:val="24"/>
                <w:highlight w:val="none"/>
                <w14:textFill>
                  <w14:solidFill>
                    <w14:schemeClr w14:val="tx1"/>
                  </w14:solidFill>
                </w14:textFill>
              </w:rPr>
              <w:t>日均值监测结果表</w:t>
            </w:r>
          </w:p>
          <w:tbl>
            <w:tblPr>
              <w:tblStyle w:val="30"/>
              <w:tblW w:w="5000" w:type="pct"/>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01"/>
              <w:gridCol w:w="2940"/>
              <w:gridCol w:w="4171"/>
            </w:tblGrid>
            <w:tr w14:paraId="6FFD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3" w:type="pct"/>
                  <w:tcBorders>
                    <w:tl2br w:val="nil"/>
                    <w:tr2bl w:val="nil"/>
                  </w:tcBorders>
                  <w:vAlign w:val="center"/>
                </w:tcPr>
                <w:p w14:paraId="67636CF7">
                  <w:pPr>
                    <w:pStyle w:val="110"/>
                    <w:rPr>
                      <w:rFonts w:eastAsia="Times New Roman"/>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检测点位</w:t>
                  </w:r>
                </w:p>
              </w:tc>
              <w:tc>
                <w:tcPr>
                  <w:tcW w:w="1747" w:type="pct"/>
                  <w:tcBorders>
                    <w:tl2br w:val="nil"/>
                    <w:tr2bl w:val="nil"/>
                  </w:tcBorders>
                  <w:vAlign w:val="center"/>
                </w:tcPr>
                <w:p w14:paraId="7FB7D5C9">
                  <w:pPr>
                    <w:pStyle w:val="110"/>
                    <w:rPr>
                      <w:rFonts w:eastAsia="Times New Roman"/>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采样日期</w:t>
                  </w:r>
                </w:p>
              </w:tc>
              <w:tc>
                <w:tcPr>
                  <w:tcW w:w="2479" w:type="pct"/>
                  <w:tcBorders>
                    <w:tl2br w:val="nil"/>
                    <w:tr2bl w:val="nil"/>
                  </w:tcBorders>
                  <w:vAlign w:val="center"/>
                </w:tcPr>
                <w:p w14:paraId="0C1E27AB">
                  <w:pPr>
                    <w:pStyle w:val="110"/>
                    <w:rPr>
                      <w:rFonts w:eastAsia="Times New Roman"/>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氟化物检测结果（</w:t>
                  </w:r>
                  <w:r>
                    <w:rPr>
                      <w:rFonts w:hint="default" w:ascii="Times New Roman" w:hAnsi="Times New Roman" w:cs="Times New Roman"/>
                      <w:color w:val="000000" w:themeColor="text1"/>
                      <w:highlight w:val="none"/>
                      <w:lang w:val="en-US" w:eastAsia="zh-CN"/>
                      <w14:textFill>
                        <w14:solidFill>
                          <w14:schemeClr w14:val="tx1"/>
                        </w14:solidFill>
                      </w14:textFill>
                    </w:rPr>
                    <w:t>μ</w:t>
                  </w:r>
                  <w:r>
                    <w:rPr>
                      <w:rFonts w:eastAsia="Times New Roman"/>
                      <w:color w:val="000000" w:themeColor="text1"/>
                      <w:highlight w:val="none"/>
                      <w14:textFill>
                        <w14:solidFill>
                          <w14:schemeClr w14:val="tx1"/>
                        </w14:solidFill>
                      </w14:textFill>
                    </w:rPr>
                    <w:t>g/</w:t>
                  </w:r>
                  <w:r>
                    <w:rPr>
                      <w:color w:val="000000" w:themeColor="text1"/>
                      <w:highlight w:val="none"/>
                      <w14:textFill>
                        <w14:solidFill>
                          <w14:schemeClr w14:val="tx1"/>
                        </w14:solidFill>
                      </w14:textFill>
                    </w:rPr>
                    <w:t>m³）</w:t>
                  </w:r>
                </w:p>
              </w:tc>
            </w:tr>
            <w:tr w14:paraId="52FF3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3" w:type="pct"/>
                  <w:vMerge w:val="restart"/>
                  <w:tcBorders>
                    <w:tl2br w:val="nil"/>
                    <w:tr2bl w:val="nil"/>
                  </w:tcBorders>
                  <w:vAlign w:val="center"/>
                </w:tcPr>
                <w:p w14:paraId="41BC1CC9">
                  <w:pPr>
                    <w:pStyle w:val="110"/>
                    <w:rPr>
                      <w:rFonts w:eastAsia="Times New Roman"/>
                      <w:color w:val="000000" w:themeColor="text1"/>
                      <w:highlight w:val="none"/>
                      <w14:textFill>
                        <w14:solidFill>
                          <w14:schemeClr w14:val="tx1"/>
                        </w14:solidFill>
                      </w14:textFill>
                    </w:rPr>
                  </w:pPr>
                  <w:r>
                    <w:rPr>
                      <w:rFonts w:hint="eastAsia" w:eastAsia="宋体"/>
                      <w:color w:val="000000" w:themeColor="text1"/>
                      <w:highlight w:val="none"/>
                      <w:lang w:val="en-US" w:eastAsia="zh-CN"/>
                      <w14:textFill>
                        <w14:solidFill>
                          <w14:schemeClr w14:val="tx1"/>
                        </w14:solidFill>
                      </w14:textFill>
                    </w:rPr>
                    <w:t>G1</w:t>
                  </w:r>
                  <w:r>
                    <w:rPr>
                      <w:color w:val="000000" w:themeColor="text1"/>
                      <w:highlight w:val="none"/>
                      <w14:textFill>
                        <w14:solidFill>
                          <w14:schemeClr w14:val="tx1"/>
                        </w14:solidFill>
                      </w14:textFill>
                    </w:rPr>
                    <w:t>尧沙村</w:t>
                  </w:r>
                </w:p>
              </w:tc>
              <w:tc>
                <w:tcPr>
                  <w:tcW w:w="1747" w:type="pct"/>
                  <w:tcBorders>
                    <w:tl2br w:val="nil"/>
                    <w:tr2bl w:val="nil"/>
                  </w:tcBorders>
                  <w:vAlign w:val="center"/>
                </w:tcPr>
                <w:p w14:paraId="130DDAA2">
                  <w:pPr>
                    <w:pStyle w:val="110"/>
                    <w:rPr>
                      <w:rFonts w:hint="default" w:eastAsia="宋体"/>
                      <w:color w:val="000000" w:themeColor="text1"/>
                      <w:highlight w:val="none"/>
                      <w:lang w:val="en-US" w:eastAsia="zh-CN"/>
                      <w14:textFill>
                        <w14:solidFill>
                          <w14:schemeClr w14:val="tx1"/>
                        </w14:solidFill>
                      </w14:textFill>
                    </w:rPr>
                  </w:pPr>
                  <w:r>
                    <w:rPr>
                      <w:rFonts w:eastAsia="Times New Roman"/>
                      <w:color w:val="000000" w:themeColor="text1"/>
                      <w:highlight w:val="none"/>
                      <w14:textFill>
                        <w14:solidFill>
                          <w14:schemeClr w14:val="tx1"/>
                        </w14:solidFill>
                      </w14:textFill>
                    </w:rPr>
                    <w:t>2023</w:t>
                  </w:r>
                  <w:r>
                    <w:rPr>
                      <w:color w:val="000000" w:themeColor="text1"/>
                      <w:highlight w:val="none"/>
                      <w14:textFill>
                        <w14:solidFill>
                          <w14:schemeClr w14:val="tx1"/>
                        </w14:solidFill>
                      </w14:textFill>
                    </w:rPr>
                    <w:t>年</w:t>
                  </w:r>
                  <w:r>
                    <w:rPr>
                      <w:rFonts w:eastAsia="Times New Roman"/>
                      <w:color w:val="000000" w:themeColor="text1"/>
                      <w:highlight w:val="none"/>
                      <w14:textFill>
                        <w14:solidFill>
                          <w14:schemeClr w14:val="tx1"/>
                        </w14:solidFill>
                      </w14:textFill>
                    </w:rPr>
                    <w:t>11</w:t>
                  </w:r>
                  <w:r>
                    <w:rPr>
                      <w:color w:val="000000" w:themeColor="text1"/>
                      <w:highlight w:val="none"/>
                      <w14:textFill>
                        <w14:solidFill>
                          <w14:schemeClr w14:val="tx1"/>
                        </w14:solidFill>
                      </w14:textFill>
                    </w:rPr>
                    <w:t>月</w:t>
                  </w:r>
                  <w:r>
                    <w:rPr>
                      <w:rFonts w:eastAsia="Times New Roman"/>
                      <w:color w:val="000000" w:themeColor="text1"/>
                      <w:highlight w:val="none"/>
                      <w14:textFill>
                        <w14:solidFill>
                          <w14:schemeClr w14:val="tx1"/>
                        </w14:solidFill>
                      </w14:textFill>
                    </w:rPr>
                    <w:t>6</w:t>
                  </w:r>
                  <w:r>
                    <w:rPr>
                      <w:color w:val="000000" w:themeColor="text1"/>
                      <w:highlight w:val="none"/>
                      <w14:textFill>
                        <w14:solidFill>
                          <w14:schemeClr w14:val="tx1"/>
                        </w14:solidFill>
                      </w14:textFill>
                    </w:rPr>
                    <w:t>日</w:t>
                  </w:r>
                  <w:r>
                    <w:rPr>
                      <w:rFonts w:hint="eastAsia"/>
                      <w:color w:val="000000" w:themeColor="text1"/>
                      <w:highlight w:val="none"/>
                      <w:lang w:val="en-US" w:eastAsia="zh-CN"/>
                      <w14:textFill>
                        <w14:solidFill>
                          <w14:schemeClr w14:val="tx1"/>
                        </w14:solidFill>
                      </w14:textFill>
                    </w:rPr>
                    <w:t>-7日</w:t>
                  </w:r>
                </w:p>
              </w:tc>
              <w:tc>
                <w:tcPr>
                  <w:tcW w:w="2479" w:type="pct"/>
                  <w:tcBorders>
                    <w:tl2br w:val="nil"/>
                    <w:tr2bl w:val="nil"/>
                  </w:tcBorders>
                  <w:shd w:val="clear" w:color="auto" w:fill="auto"/>
                  <w:vAlign w:val="center"/>
                </w:tcPr>
                <w:p w14:paraId="0E9D1AC8">
                  <w:pPr>
                    <w:pStyle w:val="89"/>
                    <w:jc w:val="center"/>
                    <w:rPr>
                      <w:rFonts w:hint="default" w:ascii="Times New Roman" w:hAnsi="Times New Roman" w:eastAsia="宋体" w:cs="Times New Roman"/>
                      <w:color w:val="000000" w:themeColor="text1"/>
                      <w:kern w:val="2"/>
                      <w:sz w:val="21"/>
                      <w:szCs w:val="22"/>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r>
            <w:tr w14:paraId="2E649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3" w:type="pct"/>
                  <w:vMerge w:val="continue"/>
                  <w:tcBorders>
                    <w:tl2br w:val="nil"/>
                    <w:tr2bl w:val="nil"/>
                  </w:tcBorders>
                  <w:vAlign w:val="center"/>
                </w:tcPr>
                <w:p w14:paraId="66918626">
                  <w:pPr>
                    <w:pStyle w:val="110"/>
                    <w:rPr>
                      <w:rFonts w:eastAsia="Times New Roman"/>
                      <w:color w:val="000000" w:themeColor="text1"/>
                      <w:highlight w:val="none"/>
                      <w14:textFill>
                        <w14:solidFill>
                          <w14:schemeClr w14:val="tx1"/>
                        </w14:solidFill>
                      </w14:textFill>
                    </w:rPr>
                  </w:pPr>
                </w:p>
              </w:tc>
              <w:tc>
                <w:tcPr>
                  <w:tcW w:w="1747" w:type="pct"/>
                  <w:tcBorders>
                    <w:tl2br w:val="nil"/>
                    <w:tr2bl w:val="nil"/>
                  </w:tcBorders>
                  <w:vAlign w:val="center"/>
                </w:tcPr>
                <w:p w14:paraId="4630F402">
                  <w:pPr>
                    <w:pStyle w:val="110"/>
                    <w:rPr>
                      <w:rFonts w:eastAsia="Times New Roman"/>
                      <w:color w:val="000000" w:themeColor="text1"/>
                      <w:highlight w:val="none"/>
                      <w14:textFill>
                        <w14:solidFill>
                          <w14:schemeClr w14:val="tx1"/>
                        </w14:solidFill>
                      </w14:textFill>
                    </w:rPr>
                  </w:pPr>
                  <w:r>
                    <w:rPr>
                      <w:rFonts w:eastAsia="Times New Roman"/>
                      <w:color w:val="000000" w:themeColor="text1"/>
                      <w:highlight w:val="none"/>
                      <w14:textFill>
                        <w14:solidFill>
                          <w14:schemeClr w14:val="tx1"/>
                        </w14:solidFill>
                      </w14:textFill>
                    </w:rPr>
                    <w:t>2023</w:t>
                  </w:r>
                  <w:r>
                    <w:rPr>
                      <w:color w:val="000000" w:themeColor="text1"/>
                      <w:highlight w:val="none"/>
                      <w14:textFill>
                        <w14:solidFill>
                          <w14:schemeClr w14:val="tx1"/>
                        </w14:solidFill>
                      </w14:textFill>
                    </w:rPr>
                    <w:t>年</w:t>
                  </w:r>
                  <w:r>
                    <w:rPr>
                      <w:rFonts w:eastAsia="Times New Roman"/>
                      <w:color w:val="000000" w:themeColor="text1"/>
                      <w:highlight w:val="none"/>
                      <w14:textFill>
                        <w14:solidFill>
                          <w14:schemeClr w14:val="tx1"/>
                        </w14:solidFill>
                      </w14:textFill>
                    </w:rPr>
                    <w:t>11</w:t>
                  </w:r>
                  <w:r>
                    <w:rPr>
                      <w:color w:val="000000" w:themeColor="text1"/>
                      <w:highlight w:val="none"/>
                      <w14:textFill>
                        <w14:solidFill>
                          <w14:schemeClr w14:val="tx1"/>
                        </w14:solidFill>
                      </w14:textFill>
                    </w:rPr>
                    <w:t>月</w:t>
                  </w:r>
                  <w:r>
                    <w:rPr>
                      <w:rFonts w:eastAsia="Times New Roman"/>
                      <w:color w:val="000000" w:themeColor="text1"/>
                      <w:highlight w:val="none"/>
                      <w14:textFill>
                        <w14:solidFill>
                          <w14:schemeClr w14:val="tx1"/>
                        </w14:solidFill>
                      </w14:textFill>
                    </w:rPr>
                    <w:t>7</w:t>
                  </w:r>
                  <w:r>
                    <w:rPr>
                      <w:color w:val="000000" w:themeColor="text1"/>
                      <w:highlight w:val="none"/>
                      <w14:textFill>
                        <w14:solidFill>
                          <w14:schemeClr w14:val="tx1"/>
                        </w14:solidFill>
                      </w14:textFill>
                    </w:rPr>
                    <w:t>日</w:t>
                  </w:r>
                  <w:r>
                    <w:rPr>
                      <w:rFonts w:hint="eastAsia"/>
                      <w:color w:val="000000" w:themeColor="text1"/>
                      <w:highlight w:val="none"/>
                      <w:lang w:val="en-US" w:eastAsia="zh-CN"/>
                      <w14:textFill>
                        <w14:solidFill>
                          <w14:schemeClr w14:val="tx1"/>
                        </w14:solidFill>
                      </w14:textFill>
                    </w:rPr>
                    <w:t>-8日</w:t>
                  </w:r>
                </w:p>
              </w:tc>
              <w:tc>
                <w:tcPr>
                  <w:tcW w:w="2479" w:type="pct"/>
                  <w:tcBorders>
                    <w:tl2br w:val="nil"/>
                    <w:tr2bl w:val="nil"/>
                  </w:tcBorders>
                  <w:shd w:val="clear" w:color="auto" w:fill="auto"/>
                  <w:vAlign w:val="center"/>
                </w:tcPr>
                <w:p w14:paraId="29385A57">
                  <w:pPr>
                    <w:pStyle w:val="89"/>
                    <w:jc w:val="center"/>
                    <w:rPr>
                      <w:rFonts w:hint="default" w:ascii="Times New Roman" w:hAnsi="Times New Roman" w:eastAsia="宋体" w:cs="Times New Roman"/>
                      <w:color w:val="000000" w:themeColor="text1"/>
                      <w:kern w:val="2"/>
                      <w:sz w:val="21"/>
                      <w:szCs w:val="22"/>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r>
            <w:tr w14:paraId="49971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3" w:type="pct"/>
                  <w:vMerge w:val="continue"/>
                  <w:tcBorders>
                    <w:tl2br w:val="nil"/>
                    <w:tr2bl w:val="nil"/>
                  </w:tcBorders>
                  <w:vAlign w:val="center"/>
                </w:tcPr>
                <w:p w14:paraId="39BD1991">
                  <w:pPr>
                    <w:pStyle w:val="110"/>
                    <w:rPr>
                      <w:rFonts w:eastAsia="Times New Roman"/>
                      <w:color w:val="000000" w:themeColor="text1"/>
                      <w:highlight w:val="none"/>
                      <w14:textFill>
                        <w14:solidFill>
                          <w14:schemeClr w14:val="tx1"/>
                        </w14:solidFill>
                      </w14:textFill>
                    </w:rPr>
                  </w:pPr>
                </w:p>
              </w:tc>
              <w:tc>
                <w:tcPr>
                  <w:tcW w:w="1747" w:type="pct"/>
                  <w:tcBorders>
                    <w:tl2br w:val="nil"/>
                    <w:tr2bl w:val="nil"/>
                  </w:tcBorders>
                  <w:vAlign w:val="center"/>
                </w:tcPr>
                <w:p w14:paraId="74C39F49">
                  <w:pPr>
                    <w:pStyle w:val="110"/>
                    <w:rPr>
                      <w:rFonts w:eastAsia="Times New Roman"/>
                      <w:color w:val="000000" w:themeColor="text1"/>
                      <w:highlight w:val="none"/>
                      <w14:textFill>
                        <w14:solidFill>
                          <w14:schemeClr w14:val="tx1"/>
                        </w14:solidFill>
                      </w14:textFill>
                    </w:rPr>
                  </w:pPr>
                  <w:r>
                    <w:rPr>
                      <w:rFonts w:eastAsia="Times New Roman"/>
                      <w:color w:val="000000" w:themeColor="text1"/>
                      <w:highlight w:val="none"/>
                      <w14:textFill>
                        <w14:solidFill>
                          <w14:schemeClr w14:val="tx1"/>
                        </w14:solidFill>
                      </w14:textFill>
                    </w:rPr>
                    <w:t>2023</w:t>
                  </w:r>
                  <w:r>
                    <w:rPr>
                      <w:color w:val="000000" w:themeColor="text1"/>
                      <w:highlight w:val="none"/>
                      <w14:textFill>
                        <w14:solidFill>
                          <w14:schemeClr w14:val="tx1"/>
                        </w14:solidFill>
                      </w14:textFill>
                    </w:rPr>
                    <w:t>年</w:t>
                  </w:r>
                  <w:r>
                    <w:rPr>
                      <w:rFonts w:eastAsia="Times New Roman"/>
                      <w:color w:val="000000" w:themeColor="text1"/>
                      <w:highlight w:val="none"/>
                      <w14:textFill>
                        <w14:solidFill>
                          <w14:schemeClr w14:val="tx1"/>
                        </w14:solidFill>
                      </w14:textFill>
                    </w:rPr>
                    <w:t>11</w:t>
                  </w:r>
                  <w:r>
                    <w:rPr>
                      <w:color w:val="000000" w:themeColor="text1"/>
                      <w:highlight w:val="none"/>
                      <w14:textFill>
                        <w14:solidFill>
                          <w14:schemeClr w14:val="tx1"/>
                        </w14:solidFill>
                      </w14:textFill>
                    </w:rPr>
                    <w:t>月</w:t>
                  </w:r>
                  <w:r>
                    <w:rPr>
                      <w:rFonts w:eastAsia="Times New Roman"/>
                      <w:color w:val="000000" w:themeColor="text1"/>
                      <w:highlight w:val="none"/>
                      <w14:textFill>
                        <w14:solidFill>
                          <w14:schemeClr w14:val="tx1"/>
                        </w14:solidFill>
                      </w14:textFill>
                    </w:rPr>
                    <w:t>8</w:t>
                  </w:r>
                  <w:r>
                    <w:rPr>
                      <w:color w:val="000000" w:themeColor="text1"/>
                      <w:highlight w:val="none"/>
                      <w14:textFill>
                        <w14:solidFill>
                          <w14:schemeClr w14:val="tx1"/>
                        </w14:solidFill>
                      </w14:textFill>
                    </w:rPr>
                    <w:t>日</w:t>
                  </w:r>
                  <w:r>
                    <w:rPr>
                      <w:rFonts w:hint="eastAsia"/>
                      <w:color w:val="000000" w:themeColor="text1"/>
                      <w:highlight w:val="none"/>
                      <w:lang w:val="en-US" w:eastAsia="zh-CN"/>
                      <w14:textFill>
                        <w14:solidFill>
                          <w14:schemeClr w14:val="tx1"/>
                        </w14:solidFill>
                      </w14:textFill>
                    </w:rPr>
                    <w:t>-9日</w:t>
                  </w:r>
                </w:p>
              </w:tc>
              <w:tc>
                <w:tcPr>
                  <w:tcW w:w="4171" w:type="dxa"/>
                  <w:tcBorders>
                    <w:tl2br w:val="nil"/>
                    <w:tr2bl w:val="nil"/>
                  </w:tcBorders>
                  <w:vAlign w:val="center"/>
                </w:tcPr>
                <w:p w14:paraId="2EC1C4C3">
                  <w:pPr>
                    <w:pStyle w:val="89"/>
                    <w:jc w:val="center"/>
                    <w:rPr>
                      <w:rFonts w:hint="default" w:eastAsia="宋体"/>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r>
            <w:tr w14:paraId="2E34A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3" w:type="pct"/>
                  <w:vMerge w:val="continue"/>
                  <w:tcBorders>
                    <w:tl2br w:val="nil"/>
                    <w:tr2bl w:val="nil"/>
                  </w:tcBorders>
                  <w:vAlign w:val="center"/>
                </w:tcPr>
                <w:p w14:paraId="3C5A803E">
                  <w:pPr>
                    <w:pStyle w:val="110"/>
                    <w:rPr>
                      <w:rFonts w:eastAsia="Times New Roman"/>
                      <w:color w:val="000000" w:themeColor="text1"/>
                      <w:highlight w:val="none"/>
                      <w14:textFill>
                        <w14:solidFill>
                          <w14:schemeClr w14:val="tx1"/>
                        </w14:solidFill>
                      </w14:textFill>
                    </w:rPr>
                  </w:pPr>
                </w:p>
              </w:tc>
              <w:tc>
                <w:tcPr>
                  <w:tcW w:w="1747" w:type="pct"/>
                  <w:tcBorders>
                    <w:tl2br w:val="nil"/>
                    <w:tr2bl w:val="nil"/>
                  </w:tcBorders>
                  <w:vAlign w:val="center"/>
                </w:tcPr>
                <w:p w14:paraId="7D6A37F3">
                  <w:pPr>
                    <w:pStyle w:val="110"/>
                    <w:rPr>
                      <w:rFonts w:eastAsia="Times New Roman"/>
                      <w:color w:val="000000" w:themeColor="text1"/>
                      <w:highlight w:val="none"/>
                      <w14:textFill>
                        <w14:solidFill>
                          <w14:schemeClr w14:val="tx1"/>
                        </w14:solidFill>
                      </w14:textFill>
                    </w:rPr>
                  </w:pPr>
                  <w:r>
                    <w:rPr>
                      <w:rFonts w:eastAsia="Times New Roman"/>
                      <w:color w:val="000000" w:themeColor="text1"/>
                      <w:highlight w:val="none"/>
                      <w14:textFill>
                        <w14:solidFill>
                          <w14:schemeClr w14:val="tx1"/>
                        </w14:solidFill>
                      </w14:textFill>
                    </w:rPr>
                    <w:t>2023</w:t>
                  </w:r>
                  <w:r>
                    <w:rPr>
                      <w:color w:val="000000" w:themeColor="text1"/>
                      <w:highlight w:val="none"/>
                      <w14:textFill>
                        <w14:solidFill>
                          <w14:schemeClr w14:val="tx1"/>
                        </w14:solidFill>
                      </w14:textFill>
                    </w:rPr>
                    <w:t>年</w:t>
                  </w:r>
                  <w:r>
                    <w:rPr>
                      <w:rFonts w:eastAsia="Times New Roman"/>
                      <w:color w:val="000000" w:themeColor="text1"/>
                      <w:highlight w:val="none"/>
                      <w14:textFill>
                        <w14:solidFill>
                          <w14:schemeClr w14:val="tx1"/>
                        </w14:solidFill>
                      </w14:textFill>
                    </w:rPr>
                    <w:t>11</w:t>
                  </w:r>
                  <w:r>
                    <w:rPr>
                      <w:color w:val="000000" w:themeColor="text1"/>
                      <w:highlight w:val="none"/>
                      <w14:textFill>
                        <w14:solidFill>
                          <w14:schemeClr w14:val="tx1"/>
                        </w14:solidFill>
                      </w14:textFill>
                    </w:rPr>
                    <w:t>月</w:t>
                  </w:r>
                  <w:r>
                    <w:rPr>
                      <w:rFonts w:eastAsia="Times New Roman"/>
                      <w:color w:val="000000" w:themeColor="text1"/>
                      <w:highlight w:val="none"/>
                      <w14:textFill>
                        <w14:solidFill>
                          <w14:schemeClr w14:val="tx1"/>
                        </w14:solidFill>
                      </w14:textFill>
                    </w:rPr>
                    <w:t>9</w:t>
                  </w:r>
                  <w:r>
                    <w:rPr>
                      <w:color w:val="000000" w:themeColor="text1"/>
                      <w:highlight w:val="none"/>
                      <w14:textFill>
                        <w14:solidFill>
                          <w14:schemeClr w14:val="tx1"/>
                        </w14:solidFill>
                      </w14:textFill>
                    </w:rPr>
                    <w:t>日</w:t>
                  </w:r>
                  <w:r>
                    <w:rPr>
                      <w:rFonts w:hint="eastAsia"/>
                      <w:color w:val="000000" w:themeColor="text1"/>
                      <w:highlight w:val="none"/>
                      <w:lang w:val="en-US" w:eastAsia="zh-CN"/>
                      <w14:textFill>
                        <w14:solidFill>
                          <w14:schemeClr w14:val="tx1"/>
                        </w14:solidFill>
                      </w14:textFill>
                    </w:rPr>
                    <w:t>-10日</w:t>
                  </w:r>
                </w:p>
              </w:tc>
              <w:tc>
                <w:tcPr>
                  <w:tcW w:w="4171" w:type="dxa"/>
                  <w:tcBorders>
                    <w:tl2br w:val="nil"/>
                    <w:tr2bl w:val="nil"/>
                  </w:tcBorders>
                  <w:vAlign w:val="center"/>
                </w:tcPr>
                <w:p w14:paraId="560BEE5D">
                  <w:pPr>
                    <w:pStyle w:val="89"/>
                    <w:jc w:val="center"/>
                    <w:rPr>
                      <w:rFonts w:hint="eastAsia" w:eastAsia="宋体"/>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r>
            <w:tr w14:paraId="75A80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3" w:type="pct"/>
                  <w:vMerge w:val="continue"/>
                  <w:tcBorders>
                    <w:tl2br w:val="nil"/>
                    <w:tr2bl w:val="nil"/>
                  </w:tcBorders>
                  <w:vAlign w:val="center"/>
                </w:tcPr>
                <w:p w14:paraId="25053475">
                  <w:pPr>
                    <w:pStyle w:val="110"/>
                    <w:rPr>
                      <w:rFonts w:eastAsia="Times New Roman"/>
                      <w:color w:val="000000" w:themeColor="text1"/>
                      <w:highlight w:val="none"/>
                      <w14:textFill>
                        <w14:solidFill>
                          <w14:schemeClr w14:val="tx1"/>
                        </w14:solidFill>
                      </w14:textFill>
                    </w:rPr>
                  </w:pPr>
                </w:p>
              </w:tc>
              <w:tc>
                <w:tcPr>
                  <w:tcW w:w="1747" w:type="pct"/>
                  <w:tcBorders>
                    <w:tl2br w:val="nil"/>
                    <w:tr2bl w:val="nil"/>
                  </w:tcBorders>
                  <w:vAlign w:val="center"/>
                </w:tcPr>
                <w:p w14:paraId="13AF28BB">
                  <w:pPr>
                    <w:pStyle w:val="110"/>
                    <w:rPr>
                      <w:rFonts w:eastAsia="Times New Roman"/>
                      <w:color w:val="000000" w:themeColor="text1"/>
                      <w:highlight w:val="none"/>
                      <w14:textFill>
                        <w14:solidFill>
                          <w14:schemeClr w14:val="tx1"/>
                        </w14:solidFill>
                      </w14:textFill>
                    </w:rPr>
                  </w:pPr>
                  <w:r>
                    <w:rPr>
                      <w:rFonts w:eastAsia="Times New Roman"/>
                      <w:color w:val="000000" w:themeColor="text1"/>
                      <w:highlight w:val="none"/>
                      <w14:textFill>
                        <w14:solidFill>
                          <w14:schemeClr w14:val="tx1"/>
                        </w14:solidFill>
                      </w14:textFill>
                    </w:rPr>
                    <w:t>2023</w:t>
                  </w:r>
                  <w:r>
                    <w:rPr>
                      <w:color w:val="000000" w:themeColor="text1"/>
                      <w:highlight w:val="none"/>
                      <w14:textFill>
                        <w14:solidFill>
                          <w14:schemeClr w14:val="tx1"/>
                        </w14:solidFill>
                      </w14:textFill>
                    </w:rPr>
                    <w:t>年</w:t>
                  </w:r>
                  <w:r>
                    <w:rPr>
                      <w:rFonts w:eastAsia="Times New Roman"/>
                      <w:color w:val="000000" w:themeColor="text1"/>
                      <w:highlight w:val="none"/>
                      <w14:textFill>
                        <w14:solidFill>
                          <w14:schemeClr w14:val="tx1"/>
                        </w14:solidFill>
                      </w14:textFill>
                    </w:rPr>
                    <w:t>11</w:t>
                  </w:r>
                  <w:r>
                    <w:rPr>
                      <w:color w:val="000000" w:themeColor="text1"/>
                      <w:highlight w:val="none"/>
                      <w14:textFill>
                        <w14:solidFill>
                          <w14:schemeClr w14:val="tx1"/>
                        </w14:solidFill>
                      </w14:textFill>
                    </w:rPr>
                    <w:t>月</w:t>
                  </w:r>
                  <w:r>
                    <w:rPr>
                      <w:rFonts w:eastAsia="Times New Roman"/>
                      <w:color w:val="000000" w:themeColor="text1"/>
                      <w:highlight w:val="none"/>
                      <w14:textFill>
                        <w14:solidFill>
                          <w14:schemeClr w14:val="tx1"/>
                        </w14:solidFill>
                      </w14:textFill>
                    </w:rPr>
                    <w:t>10</w:t>
                  </w:r>
                  <w:r>
                    <w:rPr>
                      <w:color w:val="000000" w:themeColor="text1"/>
                      <w:highlight w:val="none"/>
                      <w14:textFill>
                        <w14:solidFill>
                          <w14:schemeClr w14:val="tx1"/>
                        </w14:solidFill>
                      </w14:textFill>
                    </w:rPr>
                    <w:t>日</w:t>
                  </w:r>
                  <w:r>
                    <w:rPr>
                      <w:rFonts w:hint="eastAsia"/>
                      <w:color w:val="000000" w:themeColor="text1"/>
                      <w:highlight w:val="none"/>
                      <w:lang w:val="en-US" w:eastAsia="zh-CN"/>
                      <w14:textFill>
                        <w14:solidFill>
                          <w14:schemeClr w14:val="tx1"/>
                        </w14:solidFill>
                      </w14:textFill>
                    </w:rPr>
                    <w:t>-11日</w:t>
                  </w:r>
                </w:p>
              </w:tc>
              <w:tc>
                <w:tcPr>
                  <w:tcW w:w="4171" w:type="dxa"/>
                  <w:tcBorders>
                    <w:tl2br w:val="nil"/>
                    <w:tr2bl w:val="nil"/>
                  </w:tcBorders>
                  <w:vAlign w:val="center"/>
                </w:tcPr>
                <w:p w14:paraId="55171DCA">
                  <w:pPr>
                    <w:pStyle w:val="89"/>
                    <w:jc w:val="center"/>
                    <w:rPr>
                      <w:rFonts w:hint="eastAsia" w:eastAsia="宋体"/>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r>
            <w:tr w14:paraId="729CB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3" w:type="pct"/>
                  <w:vMerge w:val="continue"/>
                  <w:tcBorders>
                    <w:tl2br w:val="nil"/>
                    <w:tr2bl w:val="nil"/>
                  </w:tcBorders>
                  <w:vAlign w:val="center"/>
                </w:tcPr>
                <w:p w14:paraId="1CD0D31A">
                  <w:pPr>
                    <w:pStyle w:val="110"/>
                    <w:rPr>
                      <w:rFonts w:eastAsia="Times New Roman"/>
                      <w:color w:val="000000" w:themeColor="text1"/>
                      <w:highlight w:val="none"/>
                      <w14:textFill>
                        <w14:solidFill>
                          <w14:schemeClr w14:val="tx1"/>
                        </w14:solidFill>
                      </w14:textFill>
                    </w:rPr>
                  </w:pPr>
                </w:p>
              </w:tc>
              <w:tc>
                <w:tcPr>
                  <w:tcW w:w="1747" w:type="pct"/>
                  <w:tcBorders>
                    <w:tl2br w:val="nil"/>
                    <w:tr2bl w:val="nil"/>
                  </w:tcBorders>
                  <w:vAlign w:val="center"/>
                </w:tcPr>
                <w:p w14:paraId="0271D0C9">
                  <w:pPr>
                    <w:pStyle w:val="110"/>
                    <w:rPr>
                      <w:rFonts w:eastAsia="Times New Roman"/>
                      <w:color w:val="000000" w:themeColor="text1"/>
                      <w:highlight w:val="none"/>
                      <w14:textFill>
                        <w14:solidFill>
                          <w14:schemeClr w14:val="tx1"/>
                        </w14:solidFill>
                      </w14:textFill>
                    </w:rPr>
                  </w:pPr>
                  <w:r>
                    <w:rPr>
                      <w:rFonts w:eastAsia="Times New Roman"/>
                      <w:color w:val="000000" w:themeColor="text1"/>
                      <w:highlight w:val="none"/>
                      <w14:textFill>
                        <w14:solidFill>
                          <w14:schemeClr w14:val="tx1"/>
                        </w14:solidFill>
                      </w14:textFill>
                    </w:rPr>
                    <w:t>2023</w:t>
                  </w:r>
                  <w:r>
                    <w:rPr>
                      <w:color w:val="000000" w:themeColor="text1"/>
                      <w:highlight w:val="none"/>
                      <w14:textFill>
                        <w14:solidFill>
                          <w14:schemeClr w14:val="tx1"/>
                        </w14:solidFill>
                      </w14:textFill>
                    </w:rPr>
                    <w:t>年</w:t>
                  </w:r>
                  <w:r>
                    <w:rPr>
                      <w:rFonts w:eastAsia="Times New Roman"/>
                      <w:color w:val="000000" w:themeColor="text1"/>
                      <w:highlight w:val="none"/>
                      <w14:textFill>
                        <w14:solidFill>
                          <w14:schemeClr w14:val="tx1"/>
                        </w14:solidFill>
                      </w14:textFill>
                    </w:rPr>
                    <w:t>11</w:t>
                  </w:r>
                  <w:r>
                    <w:rPr>
                      <w:color w:val="000000" w:themeColor="text1"/>
                      <w:highlight w:val="none"/>
                      <w14:textFill>
                        <w14:solidFill>
                          <w14:schemeClr w14:val="tx1"/>
                        </w14:solidFill>
                      </w14:textFill>
                    </w:rPr>
                    <w:t>月</w:t>
                  </w:r>
                  <w:r>
                    <w:rPr>
                      <w:rFonts w:eastAsia="Times New Roman"/>
                      <w:color w:val="000000" w:themeColor="text1"/>
                      <w:highlight w:val="none"/>
                      <w14:textFill>
                        <w14:solidFill>
                          <w14:schemeClr w14:val="tx1"/>
                        </w14:solidFill>
                      </w14:textFill>
                    </w:rPr>
                    <w:t>11</w:t>
                  </w:r>
                  <w:r>
                    <w:rPr>
                      <w:color w:val="000000" w:themeColor="text1"/>
                      <w:highlight w:val="none"/>
                      <w14:textFill>
                        <w14:solidFill>
                          <w14:schemeClr w14:val="tx1"/>
                        </w14:solidFill>
                      </w14:textFill>
                    </w:rPr>
                    <w:t>日</w:t>
                  </w:r>
                  <w:r>
                    <w:rPr>
                      <w:rFonts w:hint="eastAsia"/>
                      <w:color w:val="000000" w:themeColor="text1"/>
                      <w:highlight w:val="none"/>
                      <w:lang w:val="en-US" w:eastAsia="zh-CN"/>
                      <w14:textFill>
                        <w14:solidFill>
                          <w14:schemeClr w14:val="tx1"/>
                        </w14:solidFill>
                      </w14:textFill>
                    </w:rPr>
                    <w:t>-12日</w:t>
                  </w:r>
                </w:p>
              </w:tc>
              <w:tc>
                <w:tcPr>
                  <w:tcW w:w="4171" w:type="dxa"/>
                  <w:tcBorders>
                    <w:tl2br w:val="nil"/>
                    <w:tr2bl w:val="nil"/>
                  </w:tcBorders>
                  <w:vAlign w:val="center"/>
                </w:tcPr>
                <w:p w14:paraId="37BA7F4F">
                  <w:pPr>
                    <w:pStyle w:val="89"/>
                    <w:jc w:val="center"/>
                    <w:rPr>
                      <w:rFonts w:hint="eastAsia" w:eastAsia="宋体"/>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r>
            <w:tr w14:paraId="710B4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3" w:type="pct"/>
                  <w:vMerge w:val="continue"/>
                  <w:tcBorders>
                    <w:tl2br w:val="nil"/>
                    <w:tr2bl w:val="nil"/>
                  </w:tcBorders>
                  <w:vAlign w:val="center"/>
                </w:tcPr>
                <w:p w14:paraId="10A2E8A5">
                  <w:pPr>
                    <w:pStyle w:val="110"/>
                    <w:rPr>
                      <w:rFonts w:eastAsia="Times New Roman"/>
                      <w:color w:val="000000" w:themeColor="text1"/>
                      <w:highlight w:val="none"/>
                      <w14:textFill>
                        <w14:solidFill>
                          <w14:schemeClr w14:val="tx1"/>
                        </w14:solidFill>
                      </w14:textFill>
                    </w:rPr>
                  </w:pPr>
                </w:p>
              </w:tc>
              <w:tc>
                <w:tcPr>
                  <w:tcW w:w="1747" w:type="pct"/>
                  <w:tcBorders>
                    <w:tl2br w:val="nil"/>
                    <w:tr2bl w:val="nil"/>
                  </w:tcBorders>
                  <w:vAlign w:val="center"/>
                </w:tcPr>
                <w:p w14:paraId="103B4917">
                  <w:pPr>
                    <w:pStyle w:val="110"/>
                    <w:rPr>
                      <w:rFonts w:eastAsia="Times New Roman"/>
                      <w:color w:val="000000" w:themeColor="text1"/>
                      <w:highlight w:val="none"/>
                      <w14:textFill>
                        <w14:solidFill>
                          <w14:schemeClr w14:val="tx1"/>
                        </w14:solidFill>
                      </w14:textFill>
                    </w:rPr>
                  </w:pPr>
                  <w:r>
                    <w:rPr>
                      <w:rFonts w:eastAsia="Times New Roman"/>
                      <w:color w:val="000000" w:themeColor="text1"/>
                      <w:highlight w:val="none"/>
                      <w14:textFill>
                        <w14:solidFill>
                          <w14:schemeClr w14:val="tx1"/>
                        </w14:solidFill>
                      </w14:textFill>
                    </w:rPr>
                    <w:t>2023</w:t>
                  </w:r>
                  <w:r>
                    <w:rPr>
                      <w:color w:val="000000" w:themeColor="text1"/>
                      <w:highlight w:val="none"/>
                      <w14:textFill>
                        <w14:solidFill>
                          <w14:schemeClr w14:val="tx1"/>
                        </w14:solidFill>
                      </w14:textFill>
                    </w:rPr>
                    <w:t>年</w:t>
                  </w:r>
                  <w:r>
                    <w:rPr>
                      <w:rFonts w:eastAsia="Times New Roman"/>
                      <w:color w:val="000000" w:themeColor="text1"/>
                      <w:highlight w:val="none"/>
                      <w14:textFill>
                        <w14:solidFill>
                          <w14:schemeClr w14:val="tx1"/>
                        </w14:solidFill>
                      </w14:textFill>
                    </w:rPr>
                    <w:t>11</w:t>
                  </w:r>
                  <w:r>
                    <w:rPr>
                      <w:color w:val="000000" w:themeColor="text1"/>
                      <w:highlight w:val="none"/>
                      <w14:textFill>
                        <w14:solidFill>
                          <w14:schemeClr w14:val="tx1"/>
                        </w14:solidFill>
                      </w14:textFill>
                    </w:rPr>
                    <w:t>月</w:t>
                  </w:r>
                  <w:r>
                    <w:rPr>
                      <w:rFonts w:eastAsia="Times New Roman"/>
                      <w:color w:val="000000" w:themeColor="text1"/>
                      <w:highlight w:val="none"/>
                      <w14:textFill>
                        <w14:solidFill>
                          <w14:schemeClr w14:val="tx1"/>
                        </w14:solidFill>
                      </w14:textFill>
                    </w:rPr>
                    <w:t>12</w:t>
                  </w:r>
                  <w:r>
                    <w:rPr>
                      <w:color w:val="000000" w:themeColor="text1"/>
                      <w:highlight w:val="none"/>
                      <w14:textFill>
                        <w14:solidFill>
                          <w14:schemeClr w14:val="tx1"/>
                        </w14:solidFill>
                      </w14:textFill>
                    </w:rPr>
                    <w:t>日</w:t>
                  </w:r>
                  <w:r>
                    <w:rPr>
                      <w:rFonts w:hint="eastAsia"/>
                      <w:color w:val="000000" w:themeColor="text1"/>
                      <w:highlight w:val="none"/>
                      <w:lang w:val="en-US" w:eastAsia="zh-CN"/>
                      <w14:textFill>
                        <w14:solidFill>
                          <w14:schemeClr w14:val="tx1"/>
                        </w14:solidFill>
                      </w14:textFill>
                    </w:rPr>
                    <w:t>-13日</w:t>
                  </w:r>
                </w:p>
              </w:tc>
              <w:tc>
                <w:tcPr>
                  <w:tcW w:w="4171" w:type="dxa"/>
                  <w:tcBorders>
                    <w:tl2br w:val="nil"/>
                    <w:tr2bl w:val="nil"/>
                  </w:tcBorders>
                  <w:vAlign w:val="center"/>
                </w:tcPr>
                <w:p w14:paraId="5EC5F3FD">
                  <w:pPr>
                    <w:pStyle w:val="89"/>
                    <w:jc w:val="center"/>
                    <w:rPr>
                      <w:rFonts w:hint="eastAsia" w:eastAsia="宋体"/>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r>
            <w:tr w14:paraId="24EC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2520" w:type="pct"/>
                  <w:gridSpan w:val="2"/>
                  <w:tcBorders>
                    <w:tl2br w:val="nil"/>
                    <w:tr2bl w:val="nil"/>
                  </w:tcBorders>
                  <w:vAlign w:val="center"/>
                </w:tcPr>
                <w:p w14:paraId="2B087A7E">
                  <w:pPr>
                    <w:pStyle w:val="110"/>
                    <w:rPr>
                      <w:rFonts w:eastAsia="Times New Roman"/>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标准限值（</w:t>
                  </w:r>
                  <w:r>
                    <w:rPr>
                      <w:rFonts w:hint="default" w:ascii="Times New Roman" w:hAnsi="Times New Roman" w:cs="Times New Roman"/>
                      <w:color w:val="000000" w:themeColor="text1"/>
                      <w:highlight w:val="none"/>
                      <w:lang w:val="en-US" w:eastAsia="zh-CN"/>
                      <w14:textFill>
                        <w14:solidFill>
                          <w14:schemeClr w14:val="tx1"/>
                        </w14:solidFill>
                      </w14:textFill>
                    </w:rPr>
                    <w:t>μ</w:t>
                  </w:r>
                  <w:r>
                    <w:rPr>
                      <w:color w:val="000000" w:themeColor="text1"/>
                      <w:highlight w:val="none"/>
                      <w14:textFill>
                        <w14:solidFill>
                          <w14:schemeClr w14:val="tx1"/>
                        </w14:solidFill>
                      </w14:textFill>
                    </w:rPr>
                    <w:t>g/m³）</w:t>
                  </w:r>
                </w:p>
              </w:tc>
              <w:tc>
                <w:tcPr>
                  <w:tcW w:w="2479" w:type="pct"/>
                  <w:tcBorders>
                    <w:tl2br w:val="nil"/>
                    <w:tr2bl w:val="nil"/>
                  </w:tcBorders>
                  <w:vAlign w:val="center"/>
                </w:tcPr>
                <w:p w14:paraId="1E0CC147">
                  <w:pPr>
                    <w:pStyle w:val="11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7</w:t>
                  </w:r>
                </w:p>
              </w:tc>
            </w:tr>
          </w:tbl>
          <w:p w14:paraId="4C827452">
            <w:pPr>
              <w:spacing w:line="360" w:lineRule="auto"/>
              <w:jc w:val="center"/>
              <w:rPr>
                <w:b/>
                <w:bCs/>
                <w:color w:val="000000" w:themeColor="text1"/>
                <w:sz w:val="24"/>
                <w:szCs w:val="24"/>
                <w:highlight w:val="none"/>
                <w14:textFill>
                  <w14:solidFill>
                    <w14:schemeClr w14:val="tx1"/>
                  </w14:solidFill>
                </w14:textFill>
              </w:rPr>
            </w:pPr>
            <w:r>
              <w:rPr>
                <w:b/>
                <w:bCs/>
                <w:color w:val="000000" w:themeColor="text1"/>
                <w:sz w:val="24"/>
                <w:szCs w:val="24"/>
                <w:highlight w:val="none"/>
                <w14:textFill>
                  <w14:solidFill>
                    <w14:schemeClr w14:val="tx1"/>
                  </w14:solidFill>
                </w14:textFill>
              </w:rPr>
              <w:t>表</w:t>
            </w:r>
            <w:r>
              <w:rPr>
                <w:rFonts w:hint="eastAsia"/>
                <w:b/>
                <w:bCs/>
                <w:color w:val="000000" w:themeColor="text1"/>
                <w:sz w:val="24"/>
                <w:szCs w:val="24"/>
                <w:highlight w:val="none"/>
                <w:lang w:val="en-US" w:eastAsia="zh-CN"/>
                <w14:textFill>
                  <w14:solidFill>
                    <w14:schemeClr w14:val="tx1"/>
                  </w14:solidFill>
                </w14:textFill>
              </w:rPr>
              <w:t xml:space="preserve">3.1-5 </w:t>
            </w:r>
            <w:r>
              <w:rPr>
                <w:b/>
                <w:bCs/>
                <w:color w:val="000000" w:themeColor="text1"/>
                <w:sz w:val="24"/>
                <w:szCs w:val="24"/>
                <w:highlight w:val="none"/>
                <w14:textFill>
                  <w14:solidFill>
                    <w14:schemeClr w14:val="tx1"/>
                  </w14:solidFill>
                </w14:textFill>
              </w:rPr>
              <w:t xml:space="preserve"> 小时均值监测结果表</w:t>
            </w:r>
          </w:p>
          <w:tbl>
            <w:tblPr>
              <w:tblStyle w:val="30"/>
              <w:tblW w:w="8414"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745"/>
              <w:gridCol w:w="1017"/>
              <w:gridCol w:w="1908"/>
              <w:gridCol w:w="892"/>
              <w:gridCol w:w="892"/>
              <w:gridCol w:w="892"/>
              <w:gridCol w:w="894"/>
              <w:gridCol w:w="1174"/>
            </w:tblGrid>
            <w:tr w14:paraId="7CF4B5D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70" w:hRule="atLeast"/>
                <w:jc w:val="center"/>
              </w:trPr>
              <w:tc>
                <w:tcPr>
                  <w:tcW w:w="745" w:type="dxa"/>
                  <w:vMerge w:val="restart"/>
                  <w:tcBorders>
                    <w:tl2br w:val="nil"/>
                    <w:tr2bl w:val="nil"/>
                  </w:tcBorders>
                  <w:vAlign w:val="center"/>
                </w:tcPr>
                <w:p w14:paraId="2744D765">
                  <w:pPr>
                    <w:pStyle w:val="110"/>
                    <w:jc w:val="cente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检测项目</w:t>
                  </w:r>
                </w:p>
              </w:tc>
              <w:tc>
                <w:tcPr>
                  <w:tcW w:w="1017" w:type="dxa"/>
                  <w:vMerge w:val="restart"/>
                  <w:tcBorders>
                    <w:tl2br w:val="nil"/>
                    <w:tr2bl w:val="nil"/>
                  </w:tcBorders>
                  <w:vAlign w:val="center"/>
                </w:tcPr>
                <w:p w14:paraId="0DA1BF42">
                  <w:pPr>
                    <w:pStyle w:val="11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检测点位</w:t>
                  </w:r>
                </w:p>
              </w:tc>
              <w:tc>
                <w:tcPr>
                  <w:tcW w:w="1908" w:type="dxa"/>
                  <w:vMerge w:val="restart"/>
                  <w:tcBorders>
                    <w:tl2br w:val="nil"/>
                    <w:tr2bl w:val="nil"/>
                  </w:tcBorders>
                  <w:vAlign w:val="center"/>
                </w:tcPr>
                <w:p w14:paraId="24266071">
                  <w:pPr>
                    <w:pStyle w:val="11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采样日期</w:t>
                  </w:r>
                </w:p>
              </w:tc>
              <w:tc>
                <w:tcPr>
                  <w:tcW w:w="3570" w:type="dxa"/>
                  <w:gridSpan w:val="4"/>
                  <w:tcBorders>
                    <w:tl2br w:val="nil"/>
                    <w:tr2bl w:val="nil"/>
                  </w:tcBorders>
                  <w:vAlign w:val="center"/>
                </w:tcPr>
                <w:p w14:paraId="0FD4609B">
                  <w:pPr>
                    <w:pStyle w:val="11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检测频次及结果（mg/m³）</w:t>
                  </w:r>
                </w:p>
              </w:tc>
              <w:tc>
                <w:tcPr>
                  <w:tcW w:w="1174" w:type="dxa"/>
                  <w:vMerge w:val="restart"/>
                  <w:tcBorders>
                    <w:tl2br w:val="nil"/>
                    <w:tr2bl w:val="nil"/>
                  </w:tcBorders>
                  <w:vAlign w:val="center"/>
                </w:tcPr>
                <w:p w14:paraId="5CDBC1FE">
                  <w:pPr>
                    <w:pStyle w:val="11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标准限值（mg/m³）</w:t>
                  </w:r>
                </w:p>
              </w:tc>
            </w:tr>
            <w:tr w14:paraId="1AACF0F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745" w:type="dxa"/>
                  <w:vMerge w:val="continue"/>
                  <w:tcBorders>
                    <w:tl2br w:val="nil"/>
                    <w:tr2bl w:val="nil"/>
                  </w:tcBorders>
                  <w:vAlign w:val="center"/>
                </w:tcPr>
                <w:p w14:paraId="6F8AF3E2">
                  <w:pPr>
                    <w:pStyle w:val="110"/>
                    <w:jc w:val="center"/>
                    <w:rPr>
                      <w:color w:val="000000" w:themeColor="text1"/>
                      <w:highlight w:val="none"/>
                      <w14:textFill>
                        <w14:solidFill>
                          <w14:schemeClr w14:val="tx1"/>
                        </w14:solidFill>
                      </w14:textFill>
                    </w:rPr>
                  </w:pPr>
                </w:p>
              </w:tc>
              <w:tc>
                <w:tcPr>
                  <w:tcW w:w="1017" w:type="dxa"/>
                  <w:vMerge w:val="continue"/>
                  <w:tcBorders>
                    <w:tl2br w:val="nil"/>
                    <w:tr2bl w:val="nil"/>
                  </w:tcBorders>
                  <w:vAlign w:val="center"/>
                </w:tcPr>
                <w:p w14:paraId="5AA0CDBC">
                  <w:pPr>
                    <w:pStyle w:val="110"/>
                    <w:jc w:val="center"/>
                    <w:rPr>
                      <w:color w:val="000000" w:themeColor="text1"/>
                      <w:highlight w:val="none"/>
                      <w14:textFill>
                        <w14:solidFill>
                          <w14:schemeClr w14:val="tx1"/>
                        </w14:solidFill>
                      </w14:textFill>
                    </w:rPr>
                  </w:pPr>
                </w:p>
              </w:tc>
              <w:tc>
                <w:tcPr>
                  <w:tcW w:w="1908" w:type="dxa"/>
                  <w:vMerge w:val="continue"/>
                  <w:tcBorders>
                    <w:tl2br w:val="nil"/>
                    <w:tr2bl w:val="nil"/>
                  </w:tcBorders>
                  <w:vAlign w:val="center"/>
                </w:tcPr>
                <w:p w14:paraId="6E7B58F3">
                  <w:pPr>
                    <w:pStyle w:val="110"/>
                    <w:jc w:val="center"/>
                    <w:rPr>
                      <w:color w:val="000000" w:themeColor="text1"/>
                      <w:highlight w:val="none"/>
                      <w14:textFill>
                        <w14:solidFill>
                          <w14:schemeClr w14:val="tx1"/>
                        </w14:solidFill>
                      </w14:textFill>
                    </w:rPr>
                  </w:pPr>
                </w:p>
              </w:tc>
              <w:tc>
                <w:tcPr>
                  <w:tcW w:w="892" w:type="dxa"/>
                  <w:tcBorders>
                    <w:tl2br w:val="nil"/>
                    <w:tr2bl w:val="nil"/>
                  </w:tcBorders>
                  <w:vAlign w:val="center"/>
                </w:tcPr>
                <w:p w14:paraId="2ACAD8E4">
                  <w:pPr>
                    <w:pStyle w:val="11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892" w:type="dxa"/>
                  <w:tcBorders>
                    <w:tl2br w:val="nil"/>
                    <w:tr2bl w:val="nil"/>
                  </w:tcBorders>
                  <w:vAlign w:val="center"/>
                </w:tcPr>
                <w:p w14:paraId="2635C366">
                  <w:pPr>
                    <w:pStyle w:val="11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p>
              </w:tc>
              <w:tc>
                <w:tcPr>
                  <w:tcW w:w="892" w:type="dxa"/>
                  <w:tcBorders>
                    <w:tl2br w:val="nil"/>
                    <w:tr2bl w:val="nil"/>
                  </w:tcBorders>
                  <w:vAlign w:val="center"/>
                </w:tcPr>
                <w:p w14:paraId="3BE44E68">
                  <w:pPr>
                    <w:pStyle w:val="11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w:t>
                  </w:r>
                </w:p>
              </w:tc>
              <w:tc>
                <w:tcPr>
                  <w:tcW w:w="894" w:type="dxa"/>
                  <w:tcBorders>
                    <w:tl2br w:val="nil"/>
                    <w:tr2bl w:val="nil"/>
                  </w:tcBorders>
                  <w:vAlign w:val="center"/>
                </w:tcPr>
                <w:p w14:paraId="737E05AA">
                  <w:pPr>
                    <w:pStyle w:val="11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w:t>
                  </w:r>
                </w:p>
              </w:tc>
              <w:tc>
                <w:tcPr>
                  <w:tcW w:w="1174" w:type="dxa"/>
                  <w:vMerge w:val="continue"/>
                  <w:tcBorders>
                    <w:tl2br w:val="nil"/>
                    <w:tr2bl w:val="nil"/>
                  </w:tcBorders>
                  <w:noWrap/>
                  <w:vAlign w:val="center"/>
                </w:tcPr>
                <w:p w14:paraId="29A7E648">
                  <w:pPr>
                    <w:pStyle w:val="110"/>
                    <w:jc w:val="center"/>
                    <w:rPr>
                      <w:rFonts w:hint="default" w:eastAsia="宋体"/>
                      <w:color w:val="000000" w:themeColor="text1"/>
                      <w:highlight w:val="none"/>
                      <w:lang w:val="en-US" w:eastAsia="zh-CN"/>
                      <w14:textFill>
                        <w14:solidFill>
                          <w14:schemeClr w14:val="tx1"/>
                        </w14:solidFill>
                      </w14:textFill>
                    </w:rPr>
                  </w:pPr>
                </w:p>
              </w:tc>
            </w:tr>
            <w:tr w14:paraId="527701E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745" w:type="dxa"/>
                  <w:vMerge w:val="restart"/>
                  <w:tcBorders>
                    <w:tl2br w:val="nil"/>
                    <w:tr2bl w:val="nil"/>
                  </w:tcBorders>
                  <w:vAlign w:val="center"/>
                </w:tcPr>
                <w:p w14:paraId="40EEFEDD">
                  <w:pPr>
                    <w:pStyle w:val="11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氟化物</w:t>
                  </w:r>
                </w:p>
              </w:tc>
              <w:tc>
                <w:tcPr>
                  <w:tcW w:w="1017" w:type="dxa"/>
                  <w:vMerge w:val="restart"/>
                  <w:tcBorders>
                    <w:tl2br w:val="nil"/>
                    <w:tr2bl w:val="nil"/>
                  </w:tcBorders>
                  <w:vAlign w:val="center"/>
                </w:tcPr>
                <w:p w14:paraId="6BD5475E">
                  <w:pPr>
                    <w:pStyle w:val="110"/>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G1</w:t>
                  </w:r>
                  <w:r>
                    <w:rPr>
                      <w:color w:val="000000" w:themeColor="text1"/>
                      <w:highlight w:val="none"/>
                      <w14:textFill>
                        <w14:solidFill>
                          <w14:schemeClr w14:val="tx1"/>
                        </w14:solidFill>
                      </w14:textFill>
                    </w:rPr>
                    <w:t>尧沙村</w:t>
                  </w:r>
                </w:p>
              </w:tc>
              <w:tc>
                <w:tcPr>
                  <w:tcW w:w="1908" w:type="dxa"/>
                  <w:tcBorders>
                    <w:tl2br w:val="nil"/>
                    <w:tr2bl w:val="nil"/>
                  </w:tcBorders>
                  <w:vAlign w:val="center"/>
                </w:tcPr>
                <w:p w14:paraId="6E911239">
                  <w:pPr>
                    <w:pStyle w:val="11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2023年11月6日</w:t>
                  </w:r>
                </w:p>
              </w:tc>
              <w:tc>
                <w:tcPr>
                  <w:tcW w:w="892" w:type="dxa"/>
                  <w:tcBorders>
                    <w:tl2br w:val="nil"/>
                    <w:tr2bl w:val="nil"/>
                  </w:tcBorders>
                  <w:vAlign w:val="center"/>
                </w:tcPr>
                <w:p w14:paraId="52EF03CF">
                  <w:pPr>
                    <w:pStyle w:val="89"/>
                    <w:jc w:val="center"/>
                    <w:rPr>
                      <w:rFonts w:hint="default" w:eastAsia="宋体"/>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c>
                <w:tcPr>
                  <w:tcW w:w="892" w:type="dxa"/>
                  <w:tcBorders>
                    <w:tl2br w:val="nil"/>
                    <w:tr2bl w:val="nil"/>
                  </w:tcBorders>
                  <w:vAlign w:val="center"/>
                </w:tcPr>
                <w:p w14:paraId="6A454107">
                  <w:pPr>
                    <w:pStyle w:val="89"/>
                    <w:jc w:val="center"/>
                    <w:rPr>
                      <w:rFonts w:hint="default"/>
                      <w:color w:val="000000" w:themeColor="text1"/>
                      <w:highlight w:val="none"/>
                      <w:lang w:val="en-US"/>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c>
                <w:tcPr>
                  <w:tcW w:w="892" w:type="dxa"/>
                  <w:tcBorders>
                    <w:tl2br w:val="nil"/>
                    <w:tr2bl w:val="nil"/>
                  </w:tcBorders>
                  <w:vAlign w:val="center"/>
                </w:tcPr>
                <w:p w14:paraId="5E2C1835">
                  <w:pPr>
                    <w:pStyle w:val="89"/>
                    <w:jc w:val="center"/>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c>
                <w:tcPr>
                  <w:tcW w:w="894" w:type="dxa"/>
                  <w:tcBorders>
                    <w:tl2br w:val="nil"/>
                    <w:tr2bl w:val="nil"/>
                  </w:tcBorders>
                  <w:vAlign w:val="center"/>
                </w:tcPr>
                <w:p w14:paraId="3A85E397">
                  <w:pPr>
                    <w:pStyle w:val="89"/>
                    <w:jc w:val="center"/>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c>
                <w:tcPr>
                  <w:tcW w:w="1174" w:type="dxa"/>
                  <w:tcBorders>
                    <w:tl2br w:val="nil"/>
                    <w:tr2bl w:val="nil"/>
                  </w:tcBorders>
                  <w:noWrap/>
                  <w:vAlign w:val="center"/>
                </w:tcPr>
                <w:p w14:paraId="283E5735">
                  <w:pPr>
                    <w:pStyle w:val="110"/>
                    <w:jc w:val="cente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0.02</w:t>
                  </w:r>
                </w:p>
              </w:tc>
            </w:tr>
            <w:tr w14:paraId="2262B9D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745" w:type="dxa"/>
                  <w:vMerge w:val="continue"/>
                  <w:tcBorders>
                    <w:tl2br w:val="nil"/>
                    <w:tr2bl w:val="nil"/>
                  </w:tcBorders>
                  <w:vAlign w:val="center"/>
                </w:tcPr>
                <w:p w14:paraId="7514285C">
                  <w:pPr>
                    <w:pStyle w:val="110"/>
                    <w:jc w:val="center"/>
                    <w:rPr>
                      <w:color w:val="000000" w:themeColor="text1"/>
                      <w:highlight w:val="none"/>
                      <w14:textFill>
                        <w14:solidFill>
                          <w14:schemeClr w14:val="tx1"/>
                        </w14:solidFill>
                      </w14:textFill>
                    </w:rPr>
                  </w:pPr>
                </w:p>
              </w:tc>
              <w:tc>
                <w:tcPr>
                  <w:tcW w:w="1017" w:type="dxa"/>
                  <w:vMerge w:val="continue"/>
                  <w:tcBorders>
                    <w:tl2br w:val="nil"/>
                    <w:tr2bl w:val="nil"/>
                  </w:tcBorders>
                  <w:vAlign w:val="center"/>
                </w:tcPr>
                <w:p w14:paraId="04D9E1BE">
                  <w:pPr>
                    <w:pStyle w:val="110"/>
                    <w:jc w:val="center"/>
                    <w:rPr>
                      <w:rFonts w:hint="eastAsia"/>
                      <w:color w:val="000000" w:themeColor="text1"/>
                      <w:highlight w:val="none"/>
                      <w:lang w:val="en-US" w:eastAsia="zh-CN"/>
                      <w14:textFill>
                        <w14:solidFill>
                          <w14:schemeClr w14:val="tx1"/>
                        </w14:solidFill>
                      </w14:textFill>
                    </w:rPr>
                  </w:pPr>
                </w:p>
              </w:tc>
              <w:tc>
                <w:tcPr>
                  <w:tcW w:w="1908" w:type="dxa"/>
                  <w:tcBorders>
                    <w:tl2br w:val="nil"/>
                    <w:tr2bl w:val="nil"/>
                  </w:tcBorders>
                  <w:vAlign w:val="center"/>
                </w:tcPr>
                <w:p w14:paraId="0A367567">
                  <w:pPr>
                    <w:pStyle w:val="11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2023年11月</w:t>
                  </w:r>
                  <w:r>
                    <w:rPr>
                      <w:rFonts w:hint="eastAsia"/>
                      <w:color w:val="000000" w:themeColor="text1"/>
                      <w:highlight w:val="none"/>
                      <w:lang w:val="en-US" w:eastAsia="zh-CN"/>
                      <w14:textFill>
                        <w14:solidFill>
                          <w14:schemeClr w14:val="tx1"/>
                        </w14:solidFill>
                      </w14:textFill>
                    </w:rPr>
                    <w:t>7</w:t>
                  </w:r>
                  <w:r>
                    <w:rPr>
                      <w:color w:val="000000" w:themeColor="text1"/>
                      <w:highlight w:val="none"/>
                      <w14:textFill>
                        <w14:solidFill>
                          <w14:schemeClr w14:val="tx1"/>
                        </w14:solidFill>
                      </w14:textFill>
                    </w:rPr>
                    <w:t>日</w:t>
                  </w:r>
                </w:p>
              </w:tc>
              <w:tc>
                <w:tcPr>
                  <w:tcW w:w="892" w:type="dxa"/>
                  <w:tcBorders>
                    <w:tl2br w:val="nil"/>
                    <w:tr2bl w:val="nil"/>
                  </w:tcBorders>
                  <w:vAlign w:val="center"/>
                </w:tcPr>
                <w:p w14:paraId="26E39E62">
                  <w:pPr>
                    <w:pStyle w:val="89"/>
                    <w:jc w:val="center"/>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c>
                <w:tcPr>
                  <w:tcW w:w="892" w:type="dxa"/>
                  <w:tcBorders>
                    <w:tl2br w:val="nil"/>
                    <w:tr2bl w:val="nil"/>
                  </w:tcBorders>
                  <w:vAlign w:val="center"/>
                </w:tcPr>
                <w:p w14:paraId="0705A351">
                  <w:pPr>
                    <w:pStyle w:val="89"/>
                    <w:jc w:val="center"/>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c>
                <w:tcPr>
                  <w:tcW w:w="892" w:type="dxa"/>
                  <w:tcBorders>
                    <w:tl2br w:val="nil"/>
                    <w:tr2bl w:val="nil"/>
                  </w:tcBorders>
                  <w:vAlign w:val="center"/>
                </w:tcPr>
                <w:p w14:paraId="775A5B87">
                  <w:pPr>
                    <w:pStyle w:val="89"/>
                    <w:jc w:val="center"/>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c>
                <w:tcPr>
                  <w:tcW w:w="894" w:type="dxa"/>
                  <w:tcBorders>
                    <w:tl2br w:val="nil"/>
                    <w:tr2bl w:val="nil"/>
                  </w:tcBorders>
                  <w:vAlign w:val="center"/>
                </w:tcPr>
                <w:p w14:paraId="0269A248">
                  <w:pPr>
                    <w:pStyle w:val="89"/>
                    <w:jc w:val="center"/>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c>
                <w:tcPr>
                  <w:tcW w:w="1174" w:type="dxa"/>
                  <w:tcBorders>
                    <w:tl2br w:val="nil"/>
                    <w:tr2bl w:val="nil"/>
                  </w:tcBorders>
                  <w:noWrap/>
                  <w:vAlign w:val="center"/>
                </w:tcPr>
                <w:p w14:paraId="6D048220">
                  <w:pPr>
                    <w:pStyle w:val="110"/>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0.02</w:t>
                  </w:r>
                </w:p>
              </w:tc>
            </w:tr>
            <w:tr w14:paraId="67AC0E9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745" w:type="dxa"/>
                  <w:vMerge w:val="continue"/>
                  <w:tcBorders>
                    <w:tl2br w:val="nil"/>
                    <w:tr2bl w:val="nil"/>
                  </w:tcBorders>
                  <w:vAlign w:val="center"/>
                </w:tcPr>
                <w:p w14:paraId="14DA3E11">
                  <w:pPr>
                    <w:pStyle w:val="110"/>
                    <w:jc w:val="center"/>
                    <w:rPr>
                      <w:color w:val="000000" w:themeColor="text1"/>
                      <w:highlight w:val="none"/>
                      <w14:textFill>
                        <w14:solidFill>
                          <w14:schemeClr w14:val="tx1"/>
                        </w14:solidFill>
                      </w14:textFill>
                    </w:rPr>
                  </w:pPr>
                </w:p>
              </w:tc>
              <w:tc>
                <w:tcPr>
                  <w:tcW w:w="1017" w:type="dxa"/>
                  <w:vMerge w:val="continue"/>
                  <w:tcBorders>
                    <w:tl2br w:val="nil"/>
                    <w:tr2bl w:val="nil"/>
                  </w:tcBorders>
                  <w:vAlign w:val="center"/>
                </w:tcPr>
                <w:p w14:paraId="5D052859">
                  <w:pPr>
                    <w:pStyle w:val="110"/>
                    <w:jc w:val="center"/>
                    <w:rPr>
                      <w:rFonts w:hint="eastAsia"/>
                      <w:color w:val="000000" w:themeColor="text1"/>
                      <w:highlight w:val="none"/>
                      <w:lang w:val="en-US" w:eastAsia="zh-CN"/>
                      <w14:textFill>
                        <w14:solidFill>
                          <w14:schemeClr w14:val="tx1"/>
                        </w14:solidFill>
                      </w14:textFill>
                    </w:rPr>
                  </w:pPr>
                </w:p>
              </w:tc>
              <w:tc>
                <w:tcPr>
                  <w:tcW w:w="1908" w:type="dxa"/>
                  <w:tcBorders>
                    <w:tl2br w:val="nil"/>
                    <w:tr2bl w:val="nil"/>
                  </w:tcBorders>
                  <w:vAlign w:val="center"/>
                </w:tcPr>
                <w:p w14:paraId="75538A00">
                  <w:pPr>
                    <w:pStyle w:val="11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2023年11月</w:t>
                  </w:r>
                  <w:r>
                    <w:rPr>
                      <w:rFonts w:hint="eastAsia"/>
                      <w:color w:val="000000" w:themeColor="text1"/>
                      <w:highlight w:val="none"/>
                      <w:lang w:val="en-US" w:eastAsia="zh-CN"/>
                      <w14:textFill>
                        <w14:solidFill>
                          <w14:schemeClr w14:val="tx1"/>
                        </w14:solidFill>
                      </w14:textFill>
                    </w:rPr>
                    <w:t>8</w:t>
                  </w:r>
                  <w:r>
                    <w:rPr>
                      <w:color w:val="000000" w:themeColor="text1"/>
                      <w:highlight w:val="none"/>
                      <w14:textFill>
                        <w14:solidFill>
                          <w14:schemeClr w14:val="tx1"/>
                        </w14:solidFill>
                      </w14:textFill>
                    </w:rPr>
                    <w:t>日</w:t>
                  </w:r>
                </w:p>
              </w:tc>
              <w:tc>
                <w:tcPr>
                  <w:tcW w:w="892" w:type="dxa"/>
                  <w:tcBorders>
                    <w:tl2br w:val="nil"/>
                    <w:tr2bl w:val="nil"/>
                  </w:tcBorders>
                  <w:vAlign w:val="center"/>
                </w:tcPr>
                <w:p w14:paraId="4C9F1F7A">
                  <w:pPr>
                    <w:pStyle w:val="89"/>
                    <w:jc w:val="center"/>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c>
                <w:tcPr>
                  <w:tcW w:w="892" w:type="dxa"/>
                  <w:tcBorders>
                    <w:tl2br w:val="nil"/>
                    <w:tr2bl w:val="nil"/>
                  </w:tcBorders>
                  <w:vAlign w:val="center"/>
                </w:tcPr>
                <w:p w14:paraId="0BB45502">
                  <w:pPr>
                    <w:pStyle w:val="89"/>
                    <w:jc w:val="center"/>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c>
                <w:tcPr>
                  <w:tcW w:w="892" w:type="dxa"/>
                  <w:tcBorders>
                    <w:tl2br w:val="nil"/>
                    <w:tr2bl w:val="nil"/>
                  </w:tcBorders>
                  <w:vAlign w:val="center"/>
                </w:tcPr>
                <w:p w14:paraId="10EDFE6A">
                  <w:pPr>
                    <w:pStyle w:val="89"/>
                    <w:jc w:val="center"/>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c>
                <w:tcPr>
                  <w:tcW w:w="894" w:type="dxa"/>
                  <w:tcBorders>
                    <w:tl2br w:val="nil"/>
                    <w:tr2bl w:val="nil"/>
                  </w:tcBorders>
                  <w:vAlign w:val="center"/>
                </w:tcPr>
                <w:p w14:paraId="07B2CF68">
                  <w:pPr>
                    <w:pStyle w:val="89"/>
                    <w:jc w:val="center"/>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c>
                <w:tcPr>
                  <w:tcW w:w="1174" w:type="dxa"/>
                  <w:tcBorders>
                    <w:tl2br w:val="nil"/>
                    <w:tr2bl w:val="nil"/>
                  </w:tcBorders>
                  <w:noWrap/>
                  <w:vAlign w:val="center"/>
                </w:tcPr>
                <w:p w14:paraId="6FECAF22">
                  <w:pPr>
                    <w:pStyle w:val="110"/>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0.02</w:t>
                  </w:r>
                </w:p>
              </w:tc>
            </w:tr>
            <w:tr w14:paraId="3CA37E0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745" w:type="dxa"/>
                  <w:vMerge w:val="continue"/>
                  <w:tcBorders>
                    <w:tl2br w:val="nil"/>
                    <w:tr2bl w:val="nil"/>
                  </w:tcBorders>
                  <w:vAlign w:val="center"/>
                </w:tcPr>
                <w:p w14:paraId="4AD5D9C6">
                  <w:pPr>
                    <w:pStyle w:val="110"/>
                    <w:jc w:val="center"/>
                    <w:rPr>
                      <w:color w:val="000000" w:themeColor="text1"/>
                      <w:highlight w:val="none"/>
                      <w14:textFill>
                        <w14:solidFill>
                          <w14:schemeClr w14:val="tx1"/>
                        </w14:solidFill>
                      </w14:textFill>
                    </w:rPr>
                  </w:pPr>
                </w:p>
              </w:tc>
              <w:tc>
                <w:tcPr>
                  <w:tcW w:w="1017" w:type="dxa"/>
                  <w:vMerge w:val="continue"/>
                  <w:tcBorders>
                    <w:tl2br w:val="nil"/>
                    <w:tr2bl w:val="nil"/>
                  </w:tcBorders>
                  <w:vAlign w:val="center"/>
                </w:tcPr>
                <w:p w14:paraId="30A210F2">
                  <w:pPr>
                    <w:pStyle w:val="110"/>
                    <w:jc w:val="center"/>
                    <w:rPr>
                      <w:rFonts w:hint="eastAsia"/>
                      <w:color w:val="000000" w:themeColor="text1"/>
                      <w:highlight w:val="none"/>
                      <w:lang w:val="en-US" w:eastAsia="zh-CN"/>
                      <w14:textFill>
                        <w14:solidFill>
                          <w14:schemeClr w14:val="tx1"/>
                        </w14:solidFill>
                      </w14:textFill>
                    </w:rPr>
                  </w:pPr>
                </w:p>
              </w:tc>
              <w:tc>
                <w:tcPr>
                  <w:tcW w:w="1908" w:type="dxa"/>
                  <w:tcBorders>
                    <w:tl2br w:val="nil"/>
                    <w:tr2bl w:val="nil"/>
                  </w:tcBorders>
                  <w:vAlign w:val="center"/>
                </w:tcPr>
                <w:p w14:paraId="541B76BC">
                  <w:pPr>
                    <w:pStyle w:val="11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2023年11月</w:t>
                  </w:r>
                  <w:r>
                    <w:rPr>
                      <w:rFonts w:hint="eastAsia"/>
                      <w:color w:val="000000" w:themeColor="text1"/>
                      <w:highlight w:val="none"/>
                      <w:lang w:val="en-US" w:eastAsia="zh-CN"/>
                      <w14:textFill>
                        <w14:solidFill>
                          <w14:schemeClr w14:val="tx1"/>
                        </w14:solidFill>
                      </w14:textFill>
                    </w:rPr>
                    <w:t>9</w:t>
                  </w:r>
                  <w:r>
                    <w:rPr>
                      <w:color w:val="000000" w:themeColor="text1"/>
                      <w:highlight w:val="none"/>
                      <w14:textFill>
                        <w14:solidFill>
                          <w14:schemeClr w14:val="tx1"/>
                        </w14:solidFill>
                      </w14:textFill>
                    </w:rPr>
                    <w:t>日</w:t>
                  </w:r>
                </w:p>
              </w:tc>
              <w:tc>
                <w:tcPr>
                  <w:tcW w:w="892" w:type="dxa"/>
                  <w:tcBorders>
                    <w:tl2br w:val="nil"/>
                    <w:tr2bl w:val="nil"/>
                  </w:tcBorders>
                  <w:vAlign w:val="center"/>
                </w:tcPr>
                <w:p w14:paraId="6367FF36">
                  <w:pPr>
                    <w:pStyle w:val="89"/>
                    <w:jc w:val="center"/>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c>
                <w:tcPr>
                  <w:tcW w:w="892" w:type="dxa"/>
                  <w:tcBorders>
                    <w:tl2br w:val="nil"/>
                    <w:tr2bl w:val="nil"/>
                  </w:tcBorders>
                  <w:vAlign w:val="center"/>
                </w:tcPr>
                <w:p w14:paraId="4639638A">
                  <w:pPr>
                    <w:pStyle w:val="89"/>
                    <w:jc w:val="center"/>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c>
                <w:tcPr>
                  <w:tcW w:w="892" w:type="dxa"/>
                  <w:tcBorders>
                    <w:tl2br w:val="nil"/>
                    <w:tr2bl w:val="nil"/>
                  </w:tcBorders>
                  <w:vAlign w:val="center"/>
                </w:tcPr>
                <w:p w14:paraId="1D50F358">
                  <w:pPr>
                    <w:pStyle w:val="89"/>
                    <w:jc w:val="center"/>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c>
                <w:tcPr>
                  <w:tcW w:w="894" w:type="dxa"/>
                  <w:tcBorders>
                    <w:tl2br w:val="nil"/>
                    <w:tr2bl w:val="nil"/>
                  </w:tcBorders>
                  <w:vAlign w:val="center"/>
                </w:tcPr>
                <w:p w14:paraId="33D3512F">
                  <w:pPr>
                    <w:pStyle w:val="89"/>
                    <w:jc w:val="center"/>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c>
                <w:tcPr>
                  <w:tcW w:w="1174" w:type="dxa"/>
                  <w:tcBorders>
                    <w:tl2br w:val="nil"/>
                    <w:tr2bl w:val="nil"/>
                  </w:tcBorders>
                  <w:noWrap/>
                  <w:vAlign w:val="center"/>
                </w:tcPr>
                <w:p w14:paraId="170ACB86">
                  <w:pPr>
                    <w:pStyle w:val="110"/>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0.02</w:t>
                  </w:r>
                </w:p>
              </w:tc>
            </w:tr>
            <w:tr w14:paraId="04C88CC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745" w:type="dxa"/>
                  <w:vMerge w:val="continue"/>
                  <w:tcBorders>
                    <w:tl2br w:val="nil"/>
                    <w:tr2bl w:val="nil"/>
                  </w:tcBorders>
                  <w:vAlign w:val="center"/>
                </w:tcPr>
                <w:p w14:paraId="1B8766A2">
                  <w:pPr>
                    <w:pStyle w:val="110"/>
                    <w:jc w:val="center"/>
                    <w:rPr>
                      <w:color w:val="000000" w:themeColor="text1"/>
                      <w:highlight w:val="none"/>
                      <w14:textFill>
                        <w14:solidFill>
                          <w14:schemeClr w14:val="tx1"/>
                        </w14:solidFill>
                      </w14:textFill>
                    </w:rPr>
                  </w:pPr>
                </w:p>
              </w:tc>
              <w:tc>
                <w:tcPr>
                  <w:tcW w:w="1017" w:type="dxa"/>
                  <w:vMerge w:val="continue"/>
                  <w:tcBorders>
                    <w:tl2br w:val="nil"/>
                    <w:tr2bl w:val="nil"/>
                  </w:tcBorders>
                  <w:vAlign w:val="center"/>
                </w:tcPr>
                <w:p w14:paraId="16AA6AFA">
                  <w:pPr>
                    <w:pStyle w:val="110"/>
                    <w:jc w:val="center"/>
                    <w:rPr>
                      <w:rFonts w:hint="eastAsia"/>
                      <w:color w:val="000000" w:themeColor="text1"/>
                      <w:highlight w:val="none"/>
                      <w:lang w:val="en-US" w:eastAsia="zh-CN"/>
                      <w14:textFill>
                        <w14:solidFill>
                          <w14:schemeClr w14:val="tx1"/>
                        </w14:solidFill>
                      </w14:textFill>
                    </w:rPr>
                  </w:pPr>
                </w:p>
              </w:tc>
              <w:tc>
                <w:tcPr>
                  <w:tcW w:w="1908" w:type="dxa"/>
                  <w:tcBorders>
                    <w:tl2br w:val="nil"/>
                    <w:tr2bl w:val="nil"/>
                  </w:tcBorders>
                  <w:vAlign w:val="center"/>
                </w:tcPr>
                <w:p w14:paraId="6858D2EF">
                  <w:pPr>
                    <w:pStyle w:val="11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2023年11月</w:t>
                  </w:r>
                  <w:r>
                    <w:rPr>
                      <w:rFonts w:hint="eastAsia"/>
                      <w:color w:val="000000" w:themeColor="text1"/>
                      <w:highlight w:val="none"/>
                      <w:lang w:val="en-US" w:eastAsia="zh-CN"/>
                      <w14:textFill>
                        <w14:solidFill>
                          <w14:schemeClr w14:val="tx1"/>
                        </w14:solidFill>
                      </w14:textFill>
                    </w:rPr>
                    <w:t>10</w:t>
                  </w:r>
                  <w:r>
                    <w:rPr>
                      <w:color w:val="000000" w:themeColor="text1"/>
                      <w:highlight w:val="none"/>
                      <w14:textFill>
                        <w14:solidFill>
                          <w14:schemeClr w14:val="tx1"/>
                        </w14:solidFill>
                      </w14:textFill>
                    </w:rPr>
                    <w:t>日</w:t>
                  </w:r>
                </w:p>
              </w:tc>
              <w:tc>
                <w:tcPr>
                  <w:tcW w:w="892" w:type="dxa"/>
                  <w:tcBorders>
                    <w:tl2br w:val="nil"/>
                    <w:tr2bl w:val="nil"/>
                  </w:tcBorders>
                  <w:vAlign w:val="center"/>
                </w:tcPr>
                <w:p w14:paraId="37E8FA21">
                  <w:pPr>
                    <w:pStyle w:val="89"/>
                    <w:jc w:val="center"/>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c>
                <w:tcPr>
                  <w:tcW w:w="892" w:type="dxa"/>
                  <w:tcBorders>
                    <w:tl2br w:val="nil"/>
                    <w:tr2bl w:val="nil"/>
                  </w:tcBorders>
                  <w:vAlign w:val="center"/>
                </w:tcPr>
                <w:p w14:paraId="39BFDE3C">
                  <w:pPr>
                    <w:pStyle w:val="89"/>
                    <w:jc w:val="center"/>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c>
                <w:tcPr>
                  <w:tcW w:w="892" w:type="dxa"/>
                  <w:tcBorders>
                    <w:tl2br w:val="nil"/>
                    <w:tr2bl w:val="nil"/>
                  </w:tcBorders>
                  <w:vAlign w:val="center"/>
                </w:tcPr>
                <w:p w14:paraId="32E758DE">
                  <w:pPr>
                    <w:pStyle w:val="89"/>
                    <w:jc w:val="center"/>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c>
                <w:tcPr>
                  <w:tcW w:w="894" w:type="dxa"/>
                  <w:tcBorders>
                    <w:tl2br w:val="nil"/>
                    <w:tr2bl w:val="nil"/>
                  </w:tcBorders>
                  <w:vAlign w:val="center"/>
                </w:tcPr>
                <w:p w14:paraId="18967EAD">
                  <w:pPr>
                    <w:pStyle w:val="89"/>
                    <w:jc w:val="center"/>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c>
                <w:tcPr>
                  <w:tcW w:w="1174" w:type="dxa"/>
                  <w:tcBorders>
                    <w:tl2br w:val="nil"/>
                    <w:tr2bl w:val="nil"/>
                  </w:tcBorders>
                  <w:noWrap/>
                  <w:vAlign w:val="center"/>
                </w:tcPr>
                <w:p w14:paraId="5870FDD9">
                  <w:pPr>
                    <w:pStyle w:val="110"/>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0.02</w:t>
                  </w:r>
                </w:p>
              </w:tc>
            </w:tr>
            <w:tr w14:paraId="59D6FC4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745" w:type="dxa"/>
                  <w:vMerge w:val="continue"/>
                  <w:tcBorders>
                    <w:tl2br w:val="nil"/>
                    <w:tr2bl w:val="nil"/>
                  </w:tcBorders>
                  <w:vAlign w:val="center"/>
                </w:tcPr>
                <w:p w14:paraId="325D6FAF">
                  <w:pPr>
                    <w:pStyle w:val="110"/>
                    <w:jc w:val="center"/>
                    <w:rPr>
                      <w:color w:val="000000" w:themeColor="text1"/>
                      <w:highlight w:val="none"/>
                      <w14:textFill>
                        <w14:solidFill>
                          <w14:schemeClr w14:val="tx1"/>
                        </w14:solidFill>
                      </w14:textFill>
                    </w:rPr>
                  </w:pPr>
                </w:p>
              </w:tc>
              <w:tc>
                <w:tcPr>
                  <w:tcW w:w="1017" w:type="dxa"/>
                  <w:vMerge w:val="continue"/>
                  <w:tcBorders>
                    <w:tl2br w:val="nil"/>
                    <w:tr2bl w:val="nil"/>
                  </w:tcBorders>
                  <w:vAlign w:val="center"/>
                </w:tcPr>
                <w:p w14:paraId="1F8CF93E">
                  <w:pPr>
                    <w:pStyle w:val="110"/>
                    <w:jc w:val="center"/>
                    <w:rPr>
                      <w:rFonts w:hint="eastAsia"/>
                      <w:color w:val="000000" w:themeColor="text1"/>
                      <w:highlight w:val="none"/>
                      <w:lang w:val="en-US" w:eastAsia="zh-CN"/>
                      <w14:textFill>
                        <w14:solidFill>
                          <w14:schemeClr w14:val="tx1"/>
                        </w14:solidFill>
                      </w14:textFill>
                    </w:rPr>
                  </w:pPr>
                </w:p>
              </w:tc>
              <w:tc>
                <w:tcPr>
                  <w:tcW w:w="1908" w:type="dxa"/>
                  <w:tcBorders>
                    <w:tl2br w:val="nil"/>
                    <w:tr2bl w:val="nil"/>
                  </w:tcBorders>
                  <w:vAlign w:val="center"/>
                </w:tcPr>
                <w:p w14:paraId="2FB090E4">
                  <w:pPr>
                    <w:pStyle w:val="11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2023年11月</w:t>
                  </w:r>
                  <w:r>
                    <w:rPr>
                      <w:rFonts w:hint="eastAsia"/>
                      <w:color w:val="000000" w:themeColor="text1"/>
                      <w:highlight w:val="none"/>
                      <w:lang w:val="en-US" w:eastAsia="zh-CN"/>
                      <w14:textFill>
                        <w14:solidFill>
                          <w14:schemeClr w14:val="tx1"/>
                        </w14:solidFill>
                      </w14:textFill>
                    </w:rPr>
                    <w:t>11</w:t>
                  </w:r>
                  <w:r>
                    <w:rPr>
                      <w:color w:val="000000" w:themeColor="text1"/>
                      <w:highlight w:val="none"/>
                      <w14:textFill>
                        <w14:solidFill>
                          <w14:schemeClr w14:val="tx1"/>
                        </w14:solidFill>
                      </w14:textFill>
                    </w:rPr>
                    <w:t>日</w:t>
                  </w:r>
                </w:p>
              </w:tc>
              <w:tc>
                <w:tcPr>
                  <w:tcW w:w="892" w:type="dxa"/>
                  <w:tcBorders>
                    <w:tl2br w:val="nil"/>
                    <w:tr2bl w:val="nil"/>
                  </w:tcBorders>
                  <w:vAlign w:val="center"/>
                </w:tcPr>
                <w:p w14:paraId="7AA78A3D">
                  <w:pPr>
                    <w:pStyle w:val="89"/>
                    <w:jc w:val="center"/>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c>
                <w:tcPr>
                  <w:tcW w:w="892" w:type="dxa"/>
                  <w:tcBorders>
                    <w:tl2br w:val="nil"/>
                    <w:tr2bl w:val="nil"/>
                  </w:tcBorders>
                  <w:vAlign w:val="center"/>
                </w:tcPr>
                <w:p w14:paraId="7B2EB2BB">
                  <w:pPr>
                    <w:pStyle w:val="89"/>
                    <w:jc w:val="center"/>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c>
                <w:tcPr>
                  <w:tcW w:w="892" w:type="dxa"/>
                  <w:tcBorders>
                    <w:tl2br w:val="nil"/>
                    <w:tr2bl w:val="nil"/>
                  </w:tcBorders>
                  <w:vAlign w:val="center"/>
                </w:tcPr>
                <w:p w14:paraId="600AA972">
                  <w:pPr>
                    <w:pStyle w:val="89"/>
                    <w:jc w:val="center"/>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c>
                <w:tcPr>
                  <w:tcW w:w="894" w:type="dxa"/>
                  <w:tcBorders>
                    <w:tl2br w:val="nil"/>
                    <w:tr2bl w:val="nil"/>
                  </w:tcBorders>
                  <w:vAlign w:val="center"/>
                </w:tcPr>
                <w:p w14:paraId="13A364A4">
                  <w:pPr>
                    <w:pStyle w:val="89"/>
                    <w:jc w:val="center"/>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c>
                <w:tcPr>
                  <w:tcW w:w="1174" w:type="dxa"/>
                  <w:tcBorders>
                    <w:tl2br w:val="nil"/>
                    <w:tr2bl w:val="nil"/>
                  </w:tcBorders>
                  <w:noWrap/>
                  <w:vAlign w:val="center"/>
                </w:tcPr>
                <w:p w14:paraId="6C06E99D">
                  <w:pPr>
                    <w:pStyle w:val="110"/>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0.02</w:t>
                  </w:r>
                </w:p>
              </w:tc>
            </w:tr>
            <w:tr w14:paraId="185CEB2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745" w:type="dxa"/>
                  <w:vMerge w:val="continue"/>
                  <w:tcBorders>
                    <w:tl2br w:val="nil"/>
                    <w:tr2bl w:val="nil"/>
                  </w:tcBorders>
                  <w:vAlign w:val="center"/>
                </w:tcPr>
                <w:p w14:paraId="515B6BD9">
                  <w:pPr>
                    <w:pStyle w:val="110"/>
                    <w:jc w:val="center"/>
                    <w:rPr>
                      <w:color w:val="000000" w:themeColor="text1"/>
                      <w:highlight w:val="none"/>
                      <w14:textFill>
                        <w14:solidFill>
                          <w14:schemeClr w14:val="tx1"/>
                        </w14:solidFill>
                      </w14:textFill>
                    </w:rPr>
                  </w:pPr>
                </w:p>
              </w:tc>
              <w:tc>
                <w:tcPr>
                  <w:tcW w:w="1017" w:type="dxa"/>
                  <w:vMerge w:val="continue"/>
                  <w:tcBorders>
                    <w:tl2br w:val="nil"/>
                    <w:tr2bl w:val="nil"/>
                  </w:tcBorders>
                  <w:vAlign w:val="center"/>
                </w:tcPr>
                <w:p w14:paraId="613CCE6C">
                  <w:pPr>
                    <w:pStyle w:val="110"/>
                    <w:jc w:val="center"/>
                    <w:rPr>
                      <w:rFonts w:hint="eastAsia"/>
                      <w:color w:val="000000" w:themeColor="text1"/>
                      <w:highlight w:val="none"/>
                      <w:lang w:val="en-US" w:eastAsia="zh-CN"/>
                      <w14:textFill>
                        <w14:solidFill>
                          <w14:schemeClr w14:val="tx1"/>
                        </w14:solidFill>
                      </w14:textFill>
                    </w:rPr>
                  </w:pPr>
                </w:p>
              </w:tc>
              <w:tc>
                <w:tcPr>
                  <w:tcW w:w="1908" w:type="dxa"/>
                  <w:tcBorders>
                    <w:tl2br w:val="nil"/>
                    <w:tr2bl w:val="nil"/>
                  </w:tcBorders>
                  <w:vAlign w:val="center"/>
                </w:tcPr>
                <w:p w14:paraId="488F9714">
                  <w:pPr>
                    <w:pStyle w:val="11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2023年11月</w:t>
                  </w:r>
                  <w:r>
                    <w:rPr>
                      <w:rFonts w:hint="eastAsia"/>
                      <w:color w:val="000000" w:themeColor="text1"/>
                      <w:highlight w:val="none"/>
                      <w:lang w:val="en-US" w:eastAsia="zh-CN"/>
                      <w14:textFill>
                        <w14:solidFill>
                          <w14:schemeClr w14:val="tx1"/>
                        </w14:solidFill>
                      </w14:textFill>
                    </w:rPr>
                    <w:t>12</w:t>
                  </w:r>
                  <w:r>
                    <w:rPr>
                      <w:color w:val="000000" w:themeColor="text1"/>
                      <w:highlight w:val="none"/>
                      <w14:textFill>
                        <w14:solidFill>
                          <w14:schemeClr w14:val="tx1"/>
                        </w14:solidFill>
                      </w14:textFill>
                    </w:rPr>
                    <w:t>日</w:t>
                  </w:r>
                </w:p>
              </w:tc>
              <w:tc>
                <w:tcPr>
                  <w:tcW w:w="892" w:type="dxa"/>
                  <w:tcBorders>
                    <w:tl2br w:val="nil"/>
                    <w:tr2bl w:val="nil"/>
                  </w:tcBorders>
                  <w:vAlign w:val="center"/>
                </w:tcPr>
                <w:p w14:paraId="437D86DE">
                  <w:pPr>
                    <w:pStyle w:val="89"/>
                    <w:jc w:val="center"/>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c>
                <w:tcPr>
                  <w:tcW w:w="892" w:type="dxa"/>
                  <w:tcBorders>
                    <w:tl2br w:val="nil"/>
                    <w:tr2bl w:val="nil"/>
                  </w:tcBorders>
                  <w:vAlign w:val="center"/>
                </w:tcPr>
                <w:p w14:paraId="34B374A1">
                  <w:pPr>
                    <w:pStyle w:val="89"/>
                    <w:jc w:val="center"/>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c>
                <w:tcPr>
                  <w:tcW w:w="892" w:type="dxa"/>
                  <w:tcBorders>
                    <w:tl2br w:val="nil"/>
                    <w:tr2bl w:val="nil"/>
                  </w:tcBorders>
                  <w:vAlign w:val="center"/>
                </w:tcPr>
                <w:p w14:paraId="7CCA8B65">
                  <w:pPr>
                    <w:pStyle w:val="89"/>
                    <w:jc w:val="center"/>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c>
                <w:tcPr>
                  <w:tcW w:w="894" w:type="dxa"/>
                  <w:tcBorders>
                    <w:tl2br w:val="nil"/>
                    <w:tr2bl w:val="nil"/>
                  </w:tcBorders>
                  <w:vAlign w:val="center"/>
                </w:tcPr>
                <w:p w14:paraId="4683B46A">
                  <w:pPr>
                    <w:pStyle w:val="89"/>
                    <w:jc w:val="center"/>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c>
                <w:tcPr>
                  <w:tcW w:w="1174" w:type="dxa"/>
                  <w:tcBorders>
                    <w:tl2br w:val="nil"/>
                    <w:tr2bl w:val="nil"/>
                  </w:tcBorders>
                  <w:noWrap/>
                  <w:vAlign w:val="center"/>
                </w:tcPr>
                <w:p w14:paraId="13FDD282">
                  <w:pPr>
                    <w:pStyle w:val="110"/>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0.02</w:t>
                  </w:r>
                </w:p>
              </w:tc>
            </w:tr>
          </w:tbl>
          <w:p w14:paraId="32EDB4A0">
            <w:pPr>
              <w:spacing w:line="360" w:lineRule="auto"/>
              <w:ind w:firstLine="480" w:firstLineChars="200"/>
              <w:rPr>
                <w:rFonts w:hint="eastAsia"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由上表可知，项目所在区域氟化物可满足《环境空气质量标准》（GB3095-20</w:t>
            </w:r>
            <w:r>
              <w:rPr>
                <w:rFonts w:hint="eastAsia" w:cs="Times New Roman"/>
                <w:color w:val="000000" w:themeColor="text1"/>
                <w:kern w:val="2"/>
                <w:sz w:val="24"/>
                <w:szCs w:val="24"/>
                <w:highlight w:val="none"/>
                <w:lang w:val="en-US" w:eastAsia="zh-CN" w:bidi="ar-SA"/>
                <w14:textFill>
                  <w14:solidFill>
                    <w14:schemeClr w14:val="tx1"/>
                  </w14:solidFill>
                </w14:textFill>
              </w:rPr>
              <w:t>26</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r>
              <w:rPr>
                <w:rFonts w:hint="eastAsia" w:cs="Times New Roman"/>
                <w:color w:val="000000" w:themeColor="text1"/>
                <w:kern w:val="2"/>
                <w:sz w:val="24"/>
                <w:szCs w:val="24"/>
                <w:highlight w:val="none"/>
                <w:lang w:val="en-US" w:eastAsia="zh-CN" w:bidi="ar-SA"/>
                <w14:textFill>
                  <w14:solidFill>
                    <w14:schemeClr w14:val="tx1"/>
                  </w14:solidFill>
                </w14:textFill>
              </w:rPr>
              <w:t>中的浓度限值</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。因此项目所在区域环境空气质量较好</w:t>
            </w:r>
            <w:r>
              <w:rPr>
                <w:rFonts w:hint="eastAsia" w:cs="Times New Roman"/>
                <w:color w:val="000000" w:themeColor="text1"/>
                <w:kern w:val="2"/>
                <w:sz w:val="24"/>
                <w:szCs w:val="24"/>
                <w:highlight w:val="none"/>
                <w:lang w:val="en-US" w:eastAsia="zh-CN" w:bidi="ar-SA"/>
                <w14:textFill>
                  <w14:solidFill>
                    <w14:schemeClr w14:val="tx1"/>
                  </w14:solidFill>
                </w14:textFill>
              </w:rPr>
              <w:t>。</w:t>
            </w:r>
          </w:p>
          <w:p w14:paraId="18F45E1C">
            <w:pPr>
              <w:spacing w:line="360" w:lineRule="auto"/>
              <w:ind w:firstLine="480" w:firstLineChars="200"/>
              <w:rPr>
                <w:rFonts w:hint="default" w:cs="宋体"/>
                <w:color w:val="000000" w:themeColor="text1"/>
                <w:sz w:val="24"/>
                <w:szCs w:val="24"/>
                <w:highlight w:val="none"/>
                <w:lang w:val="en-US" w:eastAsia="zh-CN"/>
                <w14:textFill>
                  <w14:solidFill>
                    <w14:schemeClr w14:val="tx1"/>
                  </w14:solidFill>
                </w14:textFill>
              </w:rPr>
            </w:pPr>
            <w:r>
              <w:rPr>
                <w:rFonts w:hint="eastAsia" w:cs="宋体"/>
                <w:color w:val="000000" w:themeColor="text1"/>
                <w:sz w:val="24"/>
                <w:szCs w:val="24"/>
                <w:highlight w:val="none"/>
                <w:lang w:val="en-US" w:eastAsia="zh-CN"/>
                <w14:textFill>
                  <w14:solidFill>
                    <w14:schemeClr w14:val="tx1"/>
                  </w14:solidFill>
                </w14:textFill>
              </w:rPr>
              <w:t>（二）TSP</w:t>
            </w:r>
          </w:p>
          <w:p w14:paraId="6C2ED852">
            <w:pPr>
              <w:pStyle w:val="98"/>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监测时间：2024年9月11日至14日</w:t>
            </w:r>
          </w:p>
          <w:p w14:paraId="01DDE42D">
            <w:pPr>
              <w:pStyle w:val="98"/>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监测单位：安正计量检测有限公司</w:t>
            </w:r>
          </w:p>
          <w:p w14:paraId="1237C7B7">
            <w:pPr>
              <w:pStyle w:val="98"/>
              <w:rPr>
                <w:rFonts w:hint="default" w:eastAsia="宋体"/>
                <w:color w:val="000000" w:themeColor="text1"/>
                <w:highlight w:val="none"/>
                <w:lang w:val="en-US" w:eastAsia="zh-CN"/>
                <w14:textFill>
                  <w14:solidFill>
                    <w14:schemeClr w14:val="tx1"/>
                  </w14:solidFill>
                </w14:textFill>
              </w:rPr>
            </w:pPr>
            <w:r>
              <w:rPr>
                <w:rFonts w:hint="eastAsia" w:cs="Times New Roman"/>
                <w:color w:val="000000" w:themeColor="text1"/>
                <w:kern w:val="2"/>
                <w:sz w:val="24"/>
                <w:szCs w:val="24"/>
                <w:highlight w:val="none"/>
                <w:lang w:val="en-US" w:eastAsia="zh-CN" w:bidi="ar-SA"/>
                <w14:textFill>
                  <w14:solidFill>
                    <w14:schemeClr w14:val="tx1"/>
                  </w14:solidFill>
                </w14:textFill>
              </w:rPr>
              <w:t>（3）</w:t>
            </w:r>
            <w:r>
              <w:rPr>
                <w:rFonts w:hint="eastAsia"/>
                <w:color w:val="000000" w:themeColor="text1"/>
                <w:highlight w:val="none"/>
                <w:lang w:val="en-US" w:eastAsia="zh-CN"/>
                <w14:textFill>
                  <w14:solidFill>
                    <w14:schemeClr w14:val="tx1"/>
                  </w14:solidFill>
                </w14:textFill>
              </w:rPr>
              <w:t>监测点位见下表，见图3.1-1。</w:t>
            </w:r>
          </w:p>
          <w:p w14:paraId="021F2FC3">
            <w:pPr>
              <w:spacing w:line="360" w:lineRule="auto"/>
              <w:jc w:val="center"/>
              <w:rPr>
                <w:b/>
                <w:bCs/>
                <w:color w:val="000000" w:themeColor="text1"/>
                <w:sz w:val="24"/>
                <w:szCs w:val="24"/>
                <w:highlight w:val="none"/>
                <w14:textFill>
                  <w14:solidFill>
                    <w14:schemeClr w14:val="tx1"/>
                  </w14:solidFill>
                </w14:textFill>
              </w:rPr>
            </w:pPr>
            <w:r>
              <w:rPr>
                <w:b/>
                <w:bCs/>
                <w:color w:val="000000" w:themeColor="text1"/>
                <w:sz w:val="24"/>
                <w:szCs w:val="24"/>
                <w:highlight w:val="none"/>
                <w14:textFill>
                  <w14:solidFill>
                    <w14:schemeClr w14:val="tx1"/>
                  </w14:solidFill>
                </w14:textFill>
              </w:rPr>
              <w:t>表</w:t>
            </w:r>
            <w:r>
              <w:rPr>
                <w:rFonts w:hint="eastAsia"/>
                <w:b/>
                <w:bCs/>
                <w:color w:val="000000" w:themeColor="text1"/>
                <w:sz w:val="24"/>
                <w:szCs w:val="24"/>
                <w:highlight w:val="none"/>
                <w:lang w:val="en-US" w:eastAsia="zh-CN"/>
                <w14:textFill>
                  <w14:solidFill>
                    <w14:schemeClr w14:val="tx1"/>
                  </w14:solidFill>
                </w14:textFill>
              </w:rPr>
              <w:t>3.1</w:t>
            </w:r>
            <w:r>
              <w:rPr>
                <w:b/>
                <w:bCs/>
                <w:color w:val="000000" w:themeColor="text1"/>
                <w:sz w:val="24"/>
                <w:szCs w:val="24"/>
                <w:highlight w:val="none"/>
                <w14:textFill>
                  <w14:solidFill>
                    <w14:schemeClr w14:val="tx1"/>
                  </w14:solidFill>
                </w14:textFill>
              </w:rPr>
              <w:t>-</w:t>
            </w:r>
            <w:r>
              <w:rPr>
                <w:rFonts w:hint="eastAsia"/>
                <w:b/>
                <w:bCs/>
                <w:color w:val="000000" w:themeColor="text1"/>
                <w:sz w:val="24"/>
                <w:szCs w:val="24"/>
                <w:highlight w:val="none"/>
                <w:lang w:val="en-US" w:eastAsia="zh-CN"/>
                <w14:textFill>
                  <w14:solidFill>
                    <w14:schemeClr w14:val="tx1"/>
                  </w14:solidFill>
                </w14:textFill>
              </w:rPr>
              <w:t xml:space="preserve">6 </w:t>
            </w:r>
            <w:r>
              <w:rPr>
                <w:b/>
                <w:bCs/>
                <w:color w:val="000000" w:themeColor="text1"/>
                <w:sz w:val="24"/>
                <w:szCs w:val="24"/>
                <w:highlight w:val="none"/>
                <w14:textFill>
                  <w14:solidFill>
                    <w14:schemeClr w14:val="tx1"/>
                  </w14:solidFill>
                </w14:textFill>
              </w:rPr>
              <w:t>大气监测点位表</w:t>
            </w:r>
          </w:p>
          <w:tbl>
            <w:tblPr>
              <w:tblStyle w:val="30"/>
              <w:tblW w:w="5000" w:type="pct"/>
              <w:tblInd w:w="11" w:type="dxa"/>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818"/>
              <w:gridCol w:w="2944"/>
              <w:gridCol w:w="1485"/>
              <w:gridCol w:w="3165"/>
            </w:tblGrid>
            <w:tr w14:paraId="262EBA5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86" w:type="pct"/>
                  <w:tcBorders>
                    <w:tl2br w:val="nil"/>
                    <w:tr2bl w:val="nil"/>
                  </w:tcBorders>
                  <w:noWrap/>
                  <w:vAlign w:val="center"/>
                </w:tcPr>
                <w:p w14:paraId="7BE0CB73">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序号</w:t>
                  </w:r>
                </w:p>
              </w:tc>
              <w:tc>
                <w:tcPr>
                  <w:tcW w:w="1749" w:type="pct"/>
                  <w:tcBorders>
                    <w:tl2br w:val="nil"/>
                    <w:tr2bl w:val="nil"/>
                  </w:tcBorders>
                  <w:vAlign w:val="center"/>
                </w:tcPr>
                <w:p w14:paraId="5C9FB205">
                  <w:pPr>
                    <w:pStyle w:val="110"/>
                    <w:rPr>
                      <w:rFonts w:hint="eastAsia" w:eastAsia="宋体"/>
                      <w:color w:val="000000" w:themeColor="text1"/>
                      <w:highlight w:val="none"/>
                      <w:lang w:val="en-US" w:eastAsia="zh-CN"/>
                      <w14:textFill>
                        <w14:solidFill>
                          <w14:schemeClr w14:val="tx1"/>
                        </w14:solidFill>
                      </w14:textFill>
                    </w:rPr>
                  </w:pPr>
                  <w:r>
                    <w:rPr>
                      <w:color w:val="000000" w:themeColor="text1"/>
                      <w:highlight w:val="none"/>
                      <w14:textFill>
                        <w14:solidFill>
                          <w14:schemeClr w14:val="tx1"/>
                        </w14:solidFill>
                      </w14:textFill>
                    </w:rPr>
                    <w:t>监测点位置</w:t>
                  </w:r>
                </w:p>
              </w:tc>
              <w:tc>
                <w:tcPr>
                  <w:tcW w:w="882" w:type="pct"/>
                  <w:tcBorders>
                    <w:tl2br w:val="nil"/>
                    <w:tr2bl w:val="nil"/>
                  </w:tcBorders>
                  <w:vAlign w:val="center"/>
                </w:tcPr>
                <w:p w14:paraId="22BDA0DD">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监测项目</w:t>
                  </w:r>
                </w:p>
              </w:tc>
              <w:tc>
                <w:tcPr>
                  <w:tcW w:w="1881" w:type="pct"/>
                  <w:tcBorders>
                    <w:tl2br w:val="nil"/>
                    <w:tr2bl w:val="nil"/>
                  </w:tcBorders>
                  <w:vAlign w:val="center"/>
                </w:tcPr>
                <w:p w14:paraId="62C63282">
                  <w:pPr>
                    <w:pStyle w:val="110"/>
                    <w:rPr>
                      <w:rFonts w:hint="default" w:eastAsia="宋体"/>
                      <w:color w:val="000000" w:themeColor="text1"/>
                      <w:highlight w:val="none"/>
                      <w:lang w:val="en-US" w:eastAsia="zh-CN"/>
                      <w14:textFill>
                        <w14:solidFill>
                          <w14:schemeClr w14:val="tx1"/>
                        </w14:solidFill>
                      </w14:textFill>
                    </w:rPr>
                  </w:pPr>
                  <w:r>
                    <w:rPr>
                      <w:color w:val="000000" w:themeColor="text1"/>
                      <w:highlight w:val="none"/>
                      <w14:textFill>
                        <w14:solidFill>
                          <w14:schemeClr w14:val="tx1"/>
                        </w14:solidFill>
                      </w14:textFill>
                    </w:rPr>
                    <w:t>与项目</w:t>
                  </w:r>
                  <w:r>
                    <w:rPr>
                      <w:rFonts w:hint="eastAsia"/>
                      <w:color w:val="000000" w:themeColor="text1"/>
                      <w:highlight w:val="none"/>
                      <w:lang w:val="en-US" w:eastAsia="zh-CN"/>
                      <w14:textFill>
                        <w14:solidFill>
                          <w14:schemeClr w14:val="tx1"/>
                        </w14:solidFill>
                      </w14:textFill>
                    </w:rPr>
                    <w:t>的方位和距离</w:t>
                  </w:r>
                </w:p>
              </w:tc>
            </w:tr>
            <w:tr w14:paraId="59BEF22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86" w:type="pct"/>
                  <w:tcBorders>
                    <w:tl2br w:val="nil"/>
                    <w:tr2bl w:val="nil"/>
                  </w:tcBorders>
                  <w:noWrap/>
                  <w:vAlign w:val="center"/>
                </w:tcPr>
                <w:p w14:paraId="7A0129C4">
                  <w:pPr>
                    <w:pStyle w:val="110"/>
                    <w:rPr>
                      <w:rFonts w:hint="eastAsia" w:eastAsia="宋体"/>
                      <w:color w:val="000000" w:themeColor="text1"/>
                      <w:highlight w:val="none"/>
                      <w:lang w:val="en-US" w:eastAsia="zh-CN"/>
                      <w14:textFill>
                        <w14:solidFill>
                          <w14:schemeClr w14:val="tx1"/>
                        </w14:solidFill>
                      </w14:textFill>
                    </w:rPr>
                  </w:pPr>
                  <w:r>
                    <w:rPr>
                      <w:color w:val="000000" w:themeColor="text1"/>
                      <w:highlight w:val="none"/>
                      <w14:textFill>
                        <w14:solidFill>
                          <w14:schemeClr w14:val="tx1"/>
                        </w14:solidFill>
                      </w14:textFill>
                    </w:rPr>
                    <w:t>G</w:t>
                  </w:r>
                  <w:r>
                    <w:rPr>
                      <w:rFonts w:hint="eastAsia"/>
                      <w:color w:val="000000" w:themeColor="text1"/>
                      <w:highlight w:val="none"/>
                      <w:lang w:val="en-US" w:eastAsia="zh-CN"/>
                      <w14:textFill>
                        <w14:solidFill>
                          <w14:schemeClr w14:val="tx1"/>
                        </w14:solidFill>
                      </w14:textFill>
                    </w:rPr>
                    <w:t>2</w:t>
                  </w:r>
                </w:p>
              </w:tc>
              <w:tc>
                <w:tcPr>
                  <w:tcW w:w="1749" w:type="pct"/>
                  <w:tcBorders>
                    <w:tl2br w:val="nil"/>
                    <w:tr2bl w:val="nil"/>
                  </w:tcBorders>
                  <w:vAlign w:val="center"/>
                </w:tcPr>
                <w:p w14:paraId="130766D1">
                  <w:pPr>
                    <w:pStyle w:val="11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玉田村</w:t>
                  </w:r>
                </w:p>
              </w:tc>
              <w:tc>
                <w:tcPr>
                  <w:tcW w:w="882" w:type="pct"/>
                  <w:tcBorders>
                    <w:tl2br w:val="nil"/>
                    <w:tr2bl w:val="nil"/>
                  </w:tcBorders>
                  <w:vAlign w:val="center"/>
                </w:tcPr>
                <w:p w14:paraId="4BF28FCE">
                  <w:pPr>
                    <w:pStyle w:val="11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TSP</w:t>
                  </w:r>
                </w:p>
              </w:tc>
              <w:tc>
                <w:tcPr>
                  <w:tcW w:w="1881" w:type="pct"/>
                  <w:tcBorders>
                    <w:tl2br w:val="nil"/>
                    <w:tr2bl w:val="nil"/>
                  </w:tcBorders>
                  <w:vAlign w:val="center"/>
                </w:tcPr>
                <w:p w14:paraId="7CCE574A">
                  <w:pPr>
                    <w:pStyle w:val="11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西</w:t>
                  </w:r>
                  <w:r>
                    <w:rPr>
                      <w:color w:val="000000" w:themeColor="text1"/>
                      <w:highlight w:val="none"/>
                      <w14:textFill>
                        <w14:solidFill>
                          <w14:schemeClr w14:val="tx1"/>
                        </w14:solidFill>
                      </w14:textFill>
                    </w:rPr>
                    <w:t>北</w:t>
                  </w:r>
                  <w:r>
                    <w:rPr>
                      <w:rFonts w:hint="eastAsia"/>
                      <w:color w:val="000000" w:themeColor="text1"/>
                      <w:highlight w:val="none"/>
                      <w:lang w:val="en-US" w:eastAsia="zh-CN"/>
                      <w14:textFill>
                        <w14:solidFill>
                          <w14:schemeClr w14:val="tx1"/>
                        </w14:solidFill>
                      </w14:textFill>
                    </w:rPr>
                    <w:t>方向2.2km</w:t>
                  </w:r>
                </w:p>
              </w:tc>
            </w:tr>
          </w:tbl>
          <w:p w14:paraId="1ADD49E4">
            <w:pPr>
              <w:pStyle w:val="98"/>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4</w:t>
            </w:r>
            <w:r>
              <w:rPr>
                <w:color w:val="000000" w:themeColor="text1"/>
                <w:highlight w:val="none"/>
                <w14:textFill>
                  <w14:solidFill>
                    <w14:schemeClr w14:val="tx1"/>
                  </w14:solidFill>
                </w14:textFill>
              </w:rPr>
              <w:t>）评价标准</w:t>
            </w:r>
          </w:p>
          <w:p w14:paraId="4206F1FE">
            <w:pPr>
              <w:pStyle w:val="98"/>
              <w:ind w:firstLine="468"/>
              <w:rPr>
                <w:color w:val="000000" w:themeColor="text1"/>
                <w:szCs w:val="24"/>
                <w:highlight w:val="none"/>
                <w14:textFill>
                  <w14:solidFill>
                    <w14:schemeClr w14:val="tx1"/>
                  </w14:solidFill>
                </w14:textFill>
              </w:rPr>
            </w:pPr>
            <w:r>
              <w:rPr>
                <w:rFonts w:hint="eastAsia"/>
                <w:color w:val="000000" w:themeColor="text1"/>
                <w:spacing w:val="-3"/>
                <w:szCs w:val="24"/>
                <w:highlight w:val="none"/>
                <w:lang w:val="en-US" w:eastAsia="zh-CN"/>
                <w14:textFill>
                  <w14:solidFill>
                    <w14:schemeClr w14:val="tx1"/>
                  </w14:solidFill>
                </w14:textFill>
              </w:rPr>
              <w:t>TSP</w:t>
            </w:r>
            <w:r>
              <w:rPr>
                <w:color w:val="000000" w:themeColor="text1"/>
                <w:spacing w:val="-3"/>
                <w:szCs w:val="24"/>
                <w:highlight w:val="none"/>
                <w14:textFill>
                  <w14:solidFill>
                    <w14:schemeClr w14:val="tx1"/>
                  </w14:solidFill>
                </w14:textFill>
              </w:rPr>
              <w:t>执行《环境空气质量标准》（</w:t>
            </w:r>
            <w:r>
              <w:rPr>
                <w:rFonts w:eastAsia="Times New Roman"/>
                <w:color w:val="000000" w:themeColor="text1"/>
                <w:spacing w:val="-3"/>
                <w:szCs w:val="24"/>
                <w:highlight w:val="none"/>
                <w14:textFill>
                  <w14:solidFill>
                    <w14:schemeClr w14:val="tx1"/>
                  </w14:solidFill>
                </w14:textFill>
              </w:rPr>
              <w:t>GB3095-20</w:t>
            </w:r>
            <w:r>
              <w:rPr>
                <w:rFonts w:hint="eastAsia" w:eastAsia="宋体"/>
                <w:color w:val="000000" w:themeColor="text1"/>
                <w:spacing w:val="-3"/>
                <w:szCs w:val="24"/>
                <w:highlight w:val="none"/>
                <w:lang w:val="en-US" w:eastAsia="zh-CN"/>
                <w14:textFill>
                  <w14:solidFill>
                    <w14:schemeClr w14:val="tx1"/>
                  </w14:solidFill>
                </w14:textFill>
              </w:rPr>
              <w:t>26</w:t>
            </w:r>
            <w:r>
              <w:rPr>
                <w:color w:val="000000" w:themeColor="text1"/>
                <w:spacing w:val="-3"/>
                <w:szCs w:val="24"/>
                <w:highlight w:val="none"/>
                <w14:textFill>
                  <w14:solidFill>
                    <w14:schemeClr w14:val="tx1"/>
                  </w14:solidFill>
                </w14:textFill>
              </w:rPr>
              <w:t>）</w:t>
            </w:r>
            <w:r>
              <w:rPr>
                <w:rFonts w:hint="eastAsia"/>
                <w:color w:val="000000" w:themeColor="text1"/>
                <w:spacing w:val="-3"/>
                <w:szCs w:val="24"/>
                <w:highlight w:val="none"/>
                <w:lang w:val="en-US" w:eastAsia="zh-CN"/>
                <w14:textFill>
                  <w14:solidFill>
                    <w14:schemeClr w14:val="tx1"/>
                  </w14:solidFill>
                </w14:textFill>
              </w:rPr>
              <w:t>中的二级</w:t>
            </w:r>
            <w:r>
              <w:rPr>
                <w:color w:val="000000" w:themeColor="text1"/>
                <w:spacing w:val="-3"/>
                <w:szCs w:val="24"/>
                <w:highlight w:val="none"/>
                <w14:textFill>
                  <w14:solidFill>
                    <w14:schemeClr w14:val="tx1"/>
                  </w14:solidFill>
                </w14:textFill>
              </w:rPr>
              <w:t>标准</w:t>
            </w:r>
            <w:r>
              <w:rPr>
                <w:color w:val="000000" w:themeColor="text1"/>
                <w:spacing w:val="1"/>
                <w:szCs w:val="24"/>
                <w:highlight w:val="none"/>
                <w14:textFill>
                  <w14:solidFill>
                    <w14:schemeClr w14:val="tx1"/>
                  </w14:solidFill>
                </w14:textFill>
              </w:rPr>
              <w:t>。</w:t>
            </w:r>
          </w:p>
          <w:p w14:paraId="4D843994">
            <w:pPr>
              <w:pStyle w:val="98"/>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5</w:t>
            </w:r>
            <w:r>
              <w:rPr>
                <w:color w:val="000000" w:themeColor="text1"/>
                <w:highlight w:val="none"/>
                <w14:textFill>
                  <w14:solidFill>
                    <w14:schemeClr w14:val="tx1"/>
                  </w14:solidFill>
                </w14:textFill>
              </w:rPr>
              <w:t>）监测与评价结果</w:t>
            </w:r>
          </w:p>
          <w:p w14:paraId="772D2652">
            <w:pPr>
              <w:spacing w:line="360" w:lineRule="auto"/>
              <w:ind w:firstLine="480" w:firstLineChars="200"/>
              <w:rPr>
                <w:color w:val="000000" w:themeColor="text1"/>
                <w:sz w:val="24"/>
                <w:szCs w:val="20"/>
                <w:highlight w:val="none"/>
                <w14:textFill>
                  <w14:solidFill>
                    <w14:schemeClr w14:val="tx1"/>
                  </w14:solidFill>
                </w14:textFill>
              </w:rPr>
            </w:pPr>
            <w:r>
              <w:rPr>
                <w:color w:val="000000" w:themeColor="text1"/>
                <w:sz w:val="24"/>
                <w:szCs w:val="20"/>
                <w:highlight w:val="none"/>
                <w14:textFill>
                  <w14:solidFill>
                    <w14:schemeClr w14:val="tx1"/>
                  </w14:solidFill>
                </w14:textFill>
              </w:rPr>
              <w:t>监测结果见</w:t>
            </w:r>
            <w:r>
              <w:rPr>
                <w:rFonts w:hint="eastAsia"/>
                <w:color w:val="000000" w:themeColor="text1"/>
                <w:sz w:val="24"/>
                <w:szCs w:val="20"/>
                <w:highlight w:val="none"/>
                <w:lang w:val="en-US" w:eastAsia="zh-CN"/>
                <w14:textFill>
                  <w14:solidFill>
                    <w14:schemeClr w14:val="tx1"/>
                  </w14:solidFill>
                </w14:textFill>
              </w:rPr>
              <w:t>下</w:t>
            </w:r>
            <w:r>
              <w:rPr>
                <w:color w:val="000000" w:themeColor="text1"/>
                <w:sz w:val="24"/>
                <w:szCs w:val="20"/>
                <w:highlight w:val="none"/>
                <w14:textFill>
                  <w14:solidFill>
                    <w14:schemeClr w14:val="tx1"/>
                  </w14:solidFill>
                </w14:textFill>
              </w:rPr>
              <w:t>表。</w:t>
            </w:r>
          </w:p>
          <w:p w14:paraId="387ED043">
            <w:pPr>
              <w:spacing w:line="360" w:lineRule="auto"/>
              <w:jc w:val="center"/>
              <w:rPr>
                <w:b/>
                <w:bCs/>
                <w:color w:val="000000" w:themeColor="text1"/>
                <w:sz w:val="24"/>
                <w:szCs w:val="24"/>
                <w:highlight w:val="none"/>
                <w14:textFill>
                  <w14:solidFill>
                    <w14:schemeClr w14:val="tx1"/>
                  </w14:solidFill>
                </w14:textFill>
              </w:rPr>
            </w:pPr>
            <w:r>
              <w:rPr>
                <w:b/>
                <w:bCs/>
                <w:color w:val="000000" w:themeColor="text1"/>
                <w:sz w:val="24"/>
                <w:szCs w:val="24"/>
                <w:highlight w:val="none"/>
                <w14:textFill>
                  <w14:solidFill>
                    <w14:schemeClr w14:val="tx1"/>
                  </w14:solidFill>
                </w14:textFill>
              </w:rPr>
              <w:t>表</w:t>
            </w:r>
            <w:r>
              <w:rPr>
                <w:rFonts w:hint="eastAsia"/>
                <w:b/>
                <w:bCs/>
                <w:color w:val="000000" w:themeColor="text1"/>
                <w:sz w:val="24"/>
                <w:szCs w:val="24"/>
                <w:highlight w:val="none"/>
                <w:lang w:val="en-US" w:eastAsia="zh-CN"/>
                <w14:textFill>
                  <w14:solidFill>
                    <w14:schemeClr w14:val="tx1"/>
                  </w14:solidFill>
                </w14:textFill>
              </w:rPr>
              <w:t>3.1</w:t>
            </w:r>
            <w:r>
              <w:rPr>
                <w:b/>
                <w:bCs/>
                <w:color w:val="000000" w:themeColor="text1"/>
                <w:sz w:val="24"/>
                <w:szCs w:val="24"/>
                <w:highlight w:val="none"/>
                <w14:textFill>
                  <w14:solidFill>
                    <w14:schemeClr w14:val="tx1"/>
                  </w14:solidFill>
                </w14:textFill>
              </w:rPr>
              <w:t>-</w:t>
            </w:r>
            <w:r>
              <w:rPr>
                <w:rFonts w:hint="eastAsia"/>
                <w:b/>
                <w:bCs/>
                <w:color w:val="000000" w:themeColor="text1"/>
                <w:sz w:val="24"/>
                <w:szCs w:val="24"/>
                <w:highlight w:val="none"/>
                <w:lang w:val="en-US" w:eastAsia="zh-CN"/>
                <w14:textFill>
                  <w14:solidFill>
                    <w14:schemeClr w14:val="tx1"/>
                  </w14:solidFill>
                </w14:textFill>
              </w:rPr>
              <w:t xml:space="preserve">7  </w:t>
            </w:r>
            <w:r>
              <w:rPr>
                <w:b/>
                <w:bCs/>
                <w:color w:val="000000" w:themeColor="text1"/>
                <w:sz w:val="24"/>
                <w:szCs w:val="24"/>
                <w:highlight w:val="none"/>
                <w14:textFill>
                  <w14:solidFill>
                    <w14:schemeClr w14:val="tx1"/>
                  </w14:solidFill>
                </w14:textFill>
              </w:rPr>
              <w:t>日均值监测结果表</w:t>
            </w:r>
          </w:p>
          <w:tbl>
            <w:tblPr>
              <w:tblStyle w:val="30"/>
              <w:tblW w:w="5000" w:type="pct"/>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01"/>
              <w:gridCol w:w="2940"/>
              <w:gridCol w:w="4171"/>
            </w:tblGrid>
            <w:tr w14:paraId="06A5E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3" w:type="pct"/>
                  <w:tcBorders>
                    <w:tl2br w:val="nil"/>
                    <w:tr2bl w:val="nil"/>
                  </w:tcBorders>
                  <w:vAlign w:val="center"/>
                </w:tcPr>
                <w:p w14:paraId="4FF29926">
                  <w:pPr>
                    <w:pStyle w:val="110"/>
                    <w:rPr>
                      <w:rFonts w:eastAsia="Times New Roman"/>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检测点位</w:t>
                  </w:r>
                </w:p>
              </w:tc>
              <w:tc>
                <w:tcPr>
                  <w:tcW w:w="1747" w:type="pct"/>
                  <w:tcBorders>
                    <w:tl2br w:val="nil"/>
                    <w:tr2bl w:val="nil"/>
                  </w:tcBorders>
                  <w:vAlign w:val="center"/>
                </w:tcPr>
                <w:p w14:paraId="38C19344">
                  <w:pPr>
                    <w:pStyle w:val="110"/>
                    <w:rPr>
                      <w:rFonts w:eastAsia="Times New Roman"/>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采样日期</w:t>
                  </w:r>
                </w:p>
              </w:tc>
              <w:tc>
                <w:tcPr>
                  <w:tcW w:w="2479" w:type="pct"/>
                  <w:tcBorders>
                    <w:tl2br w:val="nil"/>
                    <w:tr2bl w:val="nil"/>
                  </w:tcBorders>
                  <w:vAlign w:val="center"/>
                </w:tcPr>
                <w:p w14:paraId="0404E6DB">
                  <w:pPr>
                    <w:pStyle w:val="110"/>
                    <w:rPr>
                      <w:rFonts w:eastAsia="Times New Roman"/>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氟化物检测结果（</w:t>
                  </w:r>
                  <w:r>
                    <w:rPr>
                      <w:rFonts w:hint="default" w:ascii="Times New Roman" w:hAnsi="Times New Roman" w:cs="Times New Roman"/>
                      <w:color w:val="000000" w:themeColor="text1"/>
                      <w:highlight w:val="none"/>
                      <w:lang w:val="en-US" w:eastAsia="zh-CN"/>
                      <w14:textFill>
                        <w14:solidFill>
                          <w14:schemeClr w14:val="tx1"/>
                        </w14:solidFill>
                      </w14:textFill>
                    </w:rPr>
                    <w:t>μ</w:t>
                  </w:r>
                  <w:r>
                    <w:rPr>
                      <w:rFonts w:eastAsia="Times New Roman"/>
                      <w:color w:val="000000" w:themeColor="text1"/>
                      <w:highlight w:val="none"/>
                      <w14:textFill>
                        <w14:solidFill>
                          <w14:schemeClr w14:val="tx1"/>
                        </w14:solidFill>
                      </w14:textFill>
                    </w:rPr>
                    <w:t>g/</w:t>
                  </w:r>
                  <w:r>
                    <w:rPr>
                      <w:color w:val="000000" w:themeColor="text1"/>
                      <w:highlight w:val="none"/>
                      <w14:textFill>
                        <w14:solidFill>
                          <w14:schemeClr w14:val="tx1"/>
                        </w14:solidFill>
                      </w14:textFill>
                    </w:rPr>
                    <w:t>m³）</w:t>
                  </w:r>
                </w:p>
              </w:tc>
            </w:tr>
            <w:tr w14:paraId="70FC7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3" w:type="pct"/>
                  <w:vMerge w:val="restart"/>
                  <w:tcBorders>
                    <w:tl2br w:val="nil"/>
                    <w:tr2bl w:val="nil"/>
                  </w:tcBorders>
                  <w:vAlign w:val="center"/>
                </w:tcPr>
                <w:p w14:paraId="3EAA3695">
                  <w:pPr>
                    <w:pStyle w:val="110"/>
                    <w:rPr>
                      <w:rFonts w:eastAsia="Times New Roman"/>
                      <w:color w:val="000000" w:themeColor="text1"/>
                      <w:highlight w:val="none"/>
                      <w14:textFill>
                        <w14:solidFill>
                          <w14:schemeClr w14:val="tx1"/>
                        </w14:solidFill>
                      </w14:textFill>
                    </w:rPr>
                  </w:pPr>
                  <w:r>
                    <w:rPr>
                      <w:rFonts w:hint="eastAsia" w:eastAsia="宋体"/>
                      <w:color w:val="000000" w:themeColor="text1"/>
                      <w:highlight w:val="none"/>
                      <w:lang w:val="en-US" w:eastAsia="zh-CN"/>
                      <w14:textFill>
                        <w14:solidFill>
                          <w14:schemeClr w14:val="tx1"/>
                        </w14:solidFill>
                      </w14:textFill>
                    </w:rPr>
                    <w:t>G</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玉田村</w:t>
                  </w:r>
                </w:p>
              </w:tc>
              <w:tc>
                <w:tcPr>
                  <w:tcW w:w="2940" w:type="dxa"/>
                  <w:tcBorders>
                    <w:tl2br w:val="nil"/>
                    <w:tr2bl w:val="nil"/>
                  </w:tcBorders>
                  <w:vAlign w:val="top"/>
                </w:tcPr>
                <w:p w14:paraId="07FA4BE9">
                  <w:pPr>
                    <w:pStyle w:val="110"/>
                    <w:rPr>
                      <w:rFonts w:hint="default" w:eastAsia="宋体"/>
                      <w:color w:val="000000" w:themeColor="text1"/>
                      <w:highlight w:val="none"/>
                      <w:lang w:val="en-US" w:eastAsia="zh-CN"/>
                      <w14:textFill>
                        <w14:solidFill>
                          <w14:schemeClr w14:val="tx1"/>
                        </w14:solidFill>
                      </w14:textFill>
                    </w:rPr>
                  </w:pPr>
                  <w:r>
                    <w:rPr>
                      <w:rFonts w:hint="eastAsia" w:eastAsia="宋体"/>
                      <w:color w:val="000000" w:themeColor="text1"/>
                      <w:highlight w:val="none"/>
                      <w:lang w:val="en-US" w:eastAsia="zh-CN"/>
                      <w14:textFill>
                        <w14:solidFill>
                          <w14:schemeClr w14:val="tx1"/>
                        </w14:solidFill>
                      </w14:textFill>
                    </w:rPr>
                    <w:t>2024年9月11日</w:t>
                  </w:r>
                  <w:r>
                    <w:rPr>
                      <w:rFonts w:hint="eastAsia"/>
                      <w:color w:val="000000" w:themeColor="text1"/>
                      <w:highlight w:val="none"/>
                      <w:lang w:val="en-US" w:eastAsia="zh-CN"/>
                      <w14:textFill>
                        <w14:solidFill>
                          <w14:schemeClr w14:val="tx1"/>
                        </w14:solidFill>
                      </w14:textFill>
                    </w:rPr>
                    <w:t>~</w:t>
                  </w:r>
                  <w:r>
                    <w:rPr>
                      <w:rFonts w:hint="eastAsia" w:eastAsia="宋体"/>
                      <w:color w:val="000000" w:themeColor="text1"/>
                      <w:highlight w:val="none"/>
                      <w:lang w:val="en-US" w:eastAsia="zh-CN"/>
                      <w14:textFill>
                        <w14:solidFill>
                          <w14:schemeClr w14:val="tx1"/>
                        </w14:solidFill>
                      </w14:textFill>
                    </w:rPr>
                    <w:t>12日</w:t>
                  </w:r>
                </w:p>
              </w:tc>
              <w:tc>
                <w:tcPr>
                  <w:tcW w:w="4171" w:type="dxa"/>
                  <w:tcBorders>
                    <w:tl2br w:val="nil"/>
                    <w:tr2bl w:val="nil"/>
                  </w:tcBorders>
                  <w:vAlign w:val="center"/>
                </w:tcPr>
                <w:p w14:paraId="3F773645">
                  <w:pPr>
                    <w:pStyle w:val="89"/>
                    <w:jc w:val="center"/>
                    <w:rPr>
                      <w:rFonts w:hint="default" w:eastAsia="宋体"/>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r>
            <w:tr w14:paraId="3A3E9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3" w:type="pct"/>
                  <w:vMerge w:val="continue"/>
                  <w:tcBorders>
                    <w:tl2br w:val="nil"/>
                    <w:tr2bl w:val="nil"/>
                  </w:tcBorders>
                  <w:vAlign w:val="center"/>
                </w:tcPr>
                <w:p w14:paraId="0DD9B9CA">
                  <w:pPr>
                    <w:pStyle w:val="110"/>
                    <w:rPr>
                      <w:rFonts w:eastAsia="Times New Roman"/>
                      <w:color w:val="000000" w:themeColor="text1"/>
                      <w:highlight w:val="none"/>
                      <w14:textFill>
                        <w14:solidFill>
                          <w14:schemeClr w14:val="tx1"/>
                        </w14:solidFill>
                      </w14:textFill>
                    </w:rPr>
                  </w:pPr>
                </w:p>
              </w:tc>
              <w:tc>
                <w:tcPr>
                  <w:tcW w:w="2940" w:type="dxa"/>
                  <w:tcBorders>
                    <w:tl2br w:val="nil"/>
                    <w:tr2bl w:val="nil"/>
                  </w:tcBorders>
                  <w:vAlign w:val="top"/>
                </w:tcPr>
                <w:p w14:paraId="2F845024">
                  <w:pPr>
                    <w:pStyle w:val="110"/>
                    <w:rPr>
                      <w:rFonts w:hint="eastAsia" w:eastAsia="宋体"/>
                      <w:color w:val="000000" w:themeColor="text1"/>
                      <w:highlight w:val="none"/>
                      <w:lang w:val="en-US" w:eastAsia="zh-CN"/>
                      <w14:textFill>
                        <w14:solidFill>
                          <w14:schemeClr w14:val="tx1"/>
                        </w14:solidFill>
                      </w14:textFill>
                    </w:rPr>
                  </w:pPr>
                  <w:r>
                    <w:rPr>
                      <w:rFonts w:hint="eastAsia" w:eastAsia="宋体"/>
                      <w:color w:val="000000" w:themeColor="text1"/>
                      <w:highlight w:val="none"/>
                      <w:lang w:val="en-US" w:eastAsia="zh-CN"/>
                      <w14:textFill>
                        <w14:solidFill>
                          <w14:schemeClr w14:val="tx1"/>
                        </w14:solidFill>
                      </w14:textFill>
                    </w:rPr>
                    <w:t>2024年9月1</w:t>
                  </w:r>
                  <w:r>
                    <w:rPr>
                      <w:rFonts w:hint="eastAsia"/>
                      <w:color w:val="000000" w:themeColor="text1"/>
                      <w:highlight w:val="none"/>
                      <w:lang w:val="en-US" w:eastAsia="zh-CN"/>
                      <w14:textFill>
                        <w14:solidFill>
                          <w14:schemeClr w14:val="tx1"/>
                        </w14:solidFill>
                      </w14:textFill>
                    </w:rPr>
                    <w:t>2</w:t>
                  </w:r>
                  <w:r>
                    <w:rPr>
                      <w:rFonts w:hint="eastAsia" w:eastAsia="宋体"/>
                      <w:color w:val="000000" w:themeColor="text1"/>
                      <w:highlight w:val="none"/>
                      <w:lang w:val="en-US" w:eastAsia="zh-CN"/>
                      <w14:textFill>
                        <w14:solidFill>
                          <w14:schemeClr w14:val="tx1"/>
                        </w14:solidFill>
                      </w14:textFill>
                    </w:rPr>
                    <w:t>日</w:t>
                  </w:r>
                  <w:r>
                    <w:rPr>
                      <w:rFonts w:hint="eastAsia"/>
                      <w:color w:val="000000" w:themeColor="text1"/>
                      <w:highlight w:val="none"/>
                      <w:lang w:val="en-US" w:eastAsia="zh-CN"/>
                      <w14:textFill>
                        <w14:solidFill>
                          <w14:schemeClr w14:val="tx1"/>
                        </w14:solidFill>
                      </w14:textFill>
                    </w:rPr>
                    <w:t>~</w:t>
                  </w:r>
                  <w:r>
                    <w:rPr>
                      <w:rFonts w:hint="eastAsia" w:eastAsia="宋体"/>
                      <w:color w:val="000000" w:themeColor="text1"/>
                      <w:highlight w:val="none"/>
                      <w:lang w:val="en-US" w:eastAsia="zh-CN"/>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3</w:t>
                  </w:r>
                  <w:r>
                    <w:rPr>
                      <w:rFonts w:hint="eastAsia" w:eastAsia="宋体"/>
                      <w:color w:val="000000" w:themeColor="text1"/>
                      <w:highlight w:val="none"/>
                      <w:lang w:val="en-US" w:eastAsia="zh-CN"/>
                      <w14:textFill>
                        <w14:solidFill>
                          <w14:schemeClr w14:val="tx1"/>
                        </w14:solidFill>
                      </w14:textFill>
                    </w:rPr>
                    <w:t>日</w:t>
                  </w:r>
                </w:p>
              </w:tc>
              <w:tc>
                <w:tcPr>
                  <w:tcW w:w="4171" w:type="dxa"/>
                  <w:tcBorders>
                    <w:tl2br w:val="nil"/>
                    <w:tr2bl w:val="nil"/>
                  </w:tcBorders>
                  <w:vAlign w:val="center"/>
                </w:tcPr>
                <w:p w14:paraId="65E689D1">
                  <w:pPr>
                    <w:pStyle w:val="89"/>
                    <w:jc w:val="center"/>
                    <w:rPr>
                      <w:rFonts w:hint="default" w:eastAsia="宋体"/>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r>
            <w:tr w14:paraId="38F1F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3" w:type="pct"/>
                  <w:vMerge w:val="continue"/>
                  <w:tcBorders>
                    <w:tl2br w:val="nil"/>
                    <w:tr2bl w:val="nil"/>
                  </w:tcBorders>
                  <w:vAlign w:val="center"/>
                </w:tcPr>
                <w:p w14:paraId="017FC545">
                  <w:pPr>
                    <w:pStyle w:val="110"/>
                    <w:rPr>
                      <w:rFonts w:eastAsia="Times New Roman"/>
                      <w:color w:val="000000" w:themeColor="text1"/>
                      <w:highlight w:val="none"/>
                      <w14:textFill>
                        <w14:solidFill>
                          <w14:schemeClr w14:val="tx1"/>
                        </w14:solidFill>
                      </w14:textFill>
                    </w:rPr>
                  </w:pPr>
                </w:p>
              </w:tc>
              <w:tc>
                <w:tcPr>
                  <w:tcW w:w="2940" w:type="dxa"/>
                  <w:tcBorders>
                    <w:tl2br w:val="nil"/>
                    <w:tr2bl w:val="nil"/>
                  </w:tcBorders>
                  <w:vAlign w:val="top"/>
                </w:tcPr>
                <w:p w14:paraId="6098D552">
                  <w:pPr>
                    <w:pStyle w:val="110"/>
                    <w:rPr>
                      <w:rFonts w:hint="eastAsia" w:eastAsia="宋体"/>
                      <w:color w:val="000000" w:themeColor="text1"/>
                      <w:highlight w:val="none"/>
                      <w:lang w:val="en-US" w:eastAsia="zh-CN"/>
                      <w14:textFill>
                        <w14:solidFill>
                          <w14:schemeClr w14:val="tx1"/>
                        </w14:solidFill>
                      </w14:textFill>
                    </w:rPr>
                  </w:pPr>
                  <w:r>
                    <w:rPr>
                      <w:rFonts w:hint="eastAsia" w:eastAsia="宋体"/>
                      <w:color w:val="000000" w:themeColor="text1"/>
                      <w:highlight w:val="none"/>
                      <w:lang w:val="en-US" w:eastAsia="zh-CN"/>
                      <w14:textFill>
                        <w14:solidFill>
                          <w14:schemeClr w14:val="tx1"/>
                        </w14:solidFill>
                      </w14:textFill>
                    </w:rPr>
                    <w:t>2024年9月1</w:t>
                  </w:r>
                  <w:r>
                    <w:rPr>
                      <w:rFonts w:hint="eastAsia"/>
                      <w:color w:val="000000" w:themeColor="text1"/>
                      <w:highlight w:val="none"/>
                      <w:lang w:val="en-US" w:eastAsia="zh-CN"/>
                      <w14:textFill>
                        <w14:solidFill>
                          <w14:schemeClr w14:val="tx1"/>
                        </w14:solidFill>
                      </w14:textFill>
                    </w:rPr>
                    <w:t>3</w:t>
                  </w:r>
                  <w:r>
                    <w:rPr>
                      <w:rFonts w:hint="eastAsia" w:eastAsia="宋体"/>
                      <w:color w:val="000000" w:themeColor="text1"/>
                      <w:highlight w:val="none"/>
                      <w:lang w:val="en-US" w:eastAsia="zh-CN"/>
                      <w14:textFill>
                        <w14:solidFill>
                          <w14:schemeClr w14:val="tx1"/>
                        </w14:solidFill>
                      </w14:textFill>
                    </w:rPr>
                    <w:t>日</w:t>
                  </w:r>
                  <w:r>
                    <w:rPr>
                      <w:rFonts w:hint="eastAsia"/>
                      <w:color w:val="000000" w:themeColor="text1"/>
                      <w:highlight w:val="none"/>
                      <w:lang w:val="en-US" w:eastAsia="zh-CN"/>
                      <w14:textFill>
                        <w14:solidFill>
                          <w14:schemeClr w14:val="tx1"/>
                        </w14:solidFill>
                      </w14:textFill>
                    </w:rPr>
                    <w:t>~</w:t>
                  </w:r>
                  <w:r>
                    <w:rPr>
                      <w:rFonts w:hint="eastAsia" w:eastAsia="宋体"/>
                      <w:color w:val="000000" w:themeColor="text1"/>
                      <w:highlight w:val="none"/>
                      <w:lang w:val="en-US" w:eastAsia="zh-CN"/>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4</w:t>
                  </w:r>
                  <w:r>
                    <w:rPr>
                      <w:rFonts w:hint="eastAsia" w:eastAsia="宋体"/>
                      <w:color w:val="000000" w:themeColor="text1"/>
                      <w:highlight w:val="none"/>
                      <w:lang w:val="en-US" w:eastAsia="zh-CN"/>
                      <w14:textFill>
                        <w14:solidFill>
                          <w14:schemeClr w14:val="tx1"/>
                        </w14:solidFill>
                      </w14:textFill>
                    </w:rPr>
                    <w:t>日</w:t>
                  </w:r>
                </w:p>
              </w:tc>
              <w:tc>
                <w:tcPr>
                  <w:tcW w:w="4171" w:type="dxa"/>
                  <w:tcBorders>
                    <w:tl2br w:val="nil"/>
                    <w:tr2bl w:val="nil"/>
                  </w:tcBorders>
                  <w:vAlign w:val="center"/>
                </w:tcPr>
                <w:p w14:paraId="6241C98C">
                  <w:pPr>
                    <w:pStyle w:val="89"/>
                    <w:jc w:val="center"/>
                    <w:rPr>
                      <w:rFonts w:hint="default" w:eastAsia="宋体"/>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r>
            <w:tr w14:paraId="62D2A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2520" w:type="pct"/>
                  <w:gridSpan w:val="2"/>
                  <w:tcBorders>
                    <w:tl2br w:val="nil"/>
                    <w:tr2bl w:val="nil"/>
                  </w:tcBorders>
                  <w:vAlign w:val="center"/>
                </w:tcPr>
                <w:p w14:paraId="6D6CE763">
                  <w:pPr>
                    <w:pStyle w:val="110"/>
                    <w:rPr>
                      <w:rFonts w:eastAsia="Times New Roman"/>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标准限值（</w:t>
                  </w:r>
                  <w:r>
                    <w:rPr>
                      <w:rFonts w:hint="default" w:ascii="Times New Roman" w:hAnsi="Times New Roman" w:cs="Times New Roman"/>
                      <w:color w:val="000000" w:themeColor="text1"/>
                      <w:highlight w:val="none"/>
                      <w:lang w:val="en-US" w:eastAsia="zh-CN"/>
                      <w14:textFill>
                        <w14:solidFill>
                          <w14:schemeClr w14:val="tx1"/>
                        </w14:solidFill>
                      </w14:textFill>
                    </w:rPr>
                    <w:t>μ</w:t>
                  </w:r>
                  <w:r>
                    <w:rPr>
                      <w:color w:val="000000" w:themeColor="text1"/>
                      <w:highlight w:val="none"/>
                      <w14:textFill>
                        <w14:solidFill>
                          <w14:schemeClr w14:val="tx1"/>
                        </w14:solidFill>
                      </w14:textFill>
                    </w:rPr>
                    <w:t>g/m³）</w:t>
                  </w:r>
                </w:p>
              </w:tc>
              <w:tc>
                <w:tcPr>
                  <w:tcW w:w="2479" w:type="pct"/>
                  <w:tcBorders>
                    <w:tl2br w:val="nil"/>
                    <w:tr2bl w:val="nil"/>
                  </w:tcBorders>
                  <w:vAlign w:val="center"/>
                </w:tcPr>
                <w:p w14:paraId="03225F25">
                  <w:pPr>
                    <w:pStyle w:val="11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300</w:t>
                  </w:r>
                </w:p>
              </w:tc>
            </w:tr>
          </w:tbl>
          <w:p w14:paraId="407A9920">
            <w:pPr>
              <w:spacing w:line="360" w:lineRule="auto"/>
              <w:ind w:firstLine="480" w:firstLineChars="200"/>
              <w:rPr>
                <w:rFonts w:hint="default"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由上表可知，项目所在区域</w:t>
            </w:r>
            <w:r>
              <w:rPr>
                <w:rFonts w:hint="eastAsia" w:cs="Times New Roman"/>
                <w:color w:val="000000" w:themeColor="text1"/>
                <w:kern w:val="2"/>
                <w:sz w:val="24"/>
                <w:szCs w:val="24"/>
                <w:highlight w:val="none"/>
                <w:lang w:val="en-US" w:eastAsia="zh-CN" w:bidi="ar-SA"/>
                <w14:textFill>
                  <w14:solidFill>
                    <w14:schemeClr w14:val="tx1"/>
                  </w14:solidFill>
                </w14:textFill>
              </w:rPr>
              <w:t>TSP</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可满足《环境空气质量标准》（GB3095-20</w:t>
            </w:r>
            <w:r>
              <w:rPr>
                <w:rFonts w:hint="eastAsia" w:cs="Times New Roman"/>
                <w:color w:val="000000" w:themeColor="text1"/>
                <w:kern w:val="2"/>
                <w:sz w:val="24"/>
                <w:szCs w:val="24"/>
                <w:highlight w:val="none"/>
                <w:lang w:val="en-US" w:eastAsia="zh-CN" w:bidi="ar-SA"/>
                <w14:textFill>
                  <w14:solidFill>
                    <w14:schemeClr w14:val="tx1"/>
                  </w14:solidFill>
                </w14:textFill>
              </w:rPr>
              <w:t>26</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r>
              <w:rPr>
                <w:rFonts w:hint="eastAsia" w:cs="Times New Roman"/>
                <w:color w:val="000000" w:themeColor="text1"/>
                <w:kern w:val="2"/>
                <w:sz w:val="24"/>
                <w:szCs w:val="24"/>
                <w:highlight w:val="none"/>
                <w:lang w:val="en-US" w:eastAsia="zh-CN" w:bidi="ar-SA"/>
                <w14:textFill>
                  <w14:solidFill>
                    <w14:schemeClr w14:val="tx1"/>
                  </w14:solidFill>
                </w14:textFill>
              </w:rPr>
              <w:t>中的二级浓度限值</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。因此项目所在区域环境空气质量较好</w:t>
            </w:r>
            <w:r>
              <w:rPr>
                <w:rFonts w:hint="eastAsia" w:cs="Times New Roman"/>
                <w:color w:val="000000" w:themeColor="text1"/>
                <w:kern w:val="2"/>
                <w:sz w:val="24"/>
                <w:szCs w:val="24"/>
                <w:highlight w:val="none"/>
                <w:lang w:val="en-US" w:eastAsia="zh-CN" w:bidi="ar-SA"/>
                <w14:textFill>
                  <w14:solidFill>
                    <w14:schemeClr w14:val="tx1"/>
                  </w14:solidFill>
                </w14:textFill>
              </w:rPr>
              <w:t>。</w:t>
            </w:r>
          </w:p>
          <w:p w14:paraId="04623665">
            <w:pPr>
              <w:pStyle w:val="37"/>
              <w:rPr>
                <w:color w:val="000000" w:themeColor="text1"/>
                <w:sz w:val="24"/>
                <w:szCs w:val="21"/>
                <w:highlight w:val="none"/>
                <w14:textFill>
                  <w14:solidFill>
                    <w14:schemeClr w14:val="tx1"/>
                  </w14:solidFill>
                </w14:textFill>
              </w:rPr>
            </w:pPr>
            <w:r>
              <w:rPr>
                <w:color w:val="000000" w:themeColor="text1"/>
                <w:sz w:val="24"/>
                <w:szCs w:val="21"/>
                <w:highlight w:val="none"/>
                <w14:textFill>
                  <w14:solidFill>
                    <w14:schemeClr w14:val="tx1"/>
                  </w14:solidFill>
                </w14:textFill>
              </w:rPr>
              <w:t>3.2</w:t>
            </w:r>
            <w:r>
              <w:rPr>
                <w:rFonts w:hint="eastAsia"/>
                <w:color w:val="000000" w:themeColor="text1"/>
                <w:sz w:val="24"/>
                <w:szCs w:val="21"/>
                <w:highlight w:val="none"/>
                <w14:textFill>
                  <w14:solidFill>
                    <w14:schemeClr w14:val="tx1"/>
                  </w14:solidFill>
                </w14:textFill>
              </w:rPr>
              <w:t>地表水环境质量现状</w:t>
            </w:r>
          </w:p>
          <w:p w14:paraId="2B4AEFA7">
            <w:pPr>
              <w:spacing w:line="360" w:lineRule="auto"/>
              <w:ind w:firstLine="480" w:firstLineChars="200"/>
              <w:rPr>
                <w:rFonts w:hint="default" w:cs="宋体"/>
                <w:color w:val="000000" w:themeColor="text1"/>
                <w:sz w:val="24"/>
                <w:szCs w:val="24"/>
                <w:highlight w:val="none"/>
                <w:lang w:val="en-US" w:eastAsia="zh-CN"/>
                <w14:textFill>
                  <w14:solidFill>
                    <w14:schemeClr w14:val="tx1"/>
                  </w14:solidFill>
                </w14:textFill>
              </w:rPr>
            </w:pPr>
            <w:r>
              <w:rPr>
                <w:rFonts w:hint="eastAsia" w:cs="宋体"/>
                <w:color w:val="000000" w:themeColor="text1"/>
                <w:sz w:val="24"/>
                <w:szCs w:val="24"/>
                <w:highlight w:val="none"/>
                <w:lang w:eastAsia="zh-CN"/>
                <w14:textFill>
                  <w14:solidFill>
                    <w14:schemeClr w14:val="tx1"/>
                  </w14:solidFill>
                </w14:textFill>
              </w:rPr>
              <w:t>（</w:t>
            </w:r>
            <w:r>
              <w:rPr>
                <w:rFonts w:hint="eastAsia" w:cs="宋体"/>
                <w:color w:val="000000" w:themeColor="text1"/>
                <w:sz w:val="24"/>
                <w:szCs w:val="24"/>
                <w:highlight w:val="none"/>
                <w:lang w:val="en-US" w:eastAsia="zh-CN"/>
                <w14:textFill>
                  <w14:solidFill>
                    <w14:schemeClr w14:val="tx1"/>
                  </w14:solidFill>
                </w14:textFill>
              </w:rPr>
              <w:t>1</w:t>
            </w:r>
            <w:r>
              <w:rPr>
                <w:rFonts w:hint="eastAsia" w:cs="宋体"/>
                <w:color w:val="000000" w:themeColor="text1"/>
                <w:sz w:val="24"/>
                <w:szCs w:val="24"/>
                <w:highlight w:val="none"/>
                <w:lang w:eastAsia="zh-CN"/>
                <w14:textFill>
                  <w14:solidFill>
                    <w14:schemeClr w14:val="tx1"/>
                  </w14:solidFill>
                </w14:textFill>
              </w:rPr>
              <w:t>）</w:t>
            </w:r>
            <w:r>
              <w:rPr>
                <w:rFonts w:hint="eastAsia" w:cs="宋体"/>
                <w:color w:val="000000" w:themeColor="text1"/>
                <w:sz w:val="24"/>
                <w:szCs w:val="24"/>
                <w:highlight w:val="none"/>
                <w:lang w:val="en-US" w:eastAsia="zh-CN"/>
                <w14:textFill>
                  <w14:solidFill>
                    <w14:schemeClr w14:val="tx1"/>
                  </w14:solidFill>
                </w14:textFill>
              </w:rPr>
              <w:t>水环境功能区划</w:t>
            </w:r>
          </w:p>
          <w:p w14:paraId="3B16761F">
            <w:pPr>
              <w:spacing w:line="360" w:lineRule="auto"/>
              <w:ind w:firstLine="480" w:firstLineChars="200"/>
              <w:rPr>
                <w:rFonts w:hint="eastAsia" w:cs="宋体"/>
                <w:color w:val="000000" w:themeColor="text1"/>
                <w:sz w:val="24"/>
                <w:szCs w:val="24"/>
                <w:highlight w:val="none"/>
                <w:lang w:eastAsia="zh-CN"/>
                <w14:textFill>
                  <w14:solidFill>
                    <w14:schemeClr w14:val="tx1"/>
                  </w14:solidFill>
                </w14:textFill>
              </w:rPr>
            </w:pPr>
            <w:r>
              <w:rPr>
                <w:rFonts w:hint="eastAsia" w:cs="宋体"/>
                <w:color w:val="000000" w:themeColor="text1"/>
                <w:sz w:val="24"/>
                <w:szCs w:val="24"/>
                <w:highlight w:val="none"/>
                <w:lang w:eastAsia="zh-CN"/>
                <w14:textFill>
                  <w14:solidFill>
                    <w14:schemeClr w14:val="tx1"/>
                  </w14:solidFill>
                </w14:textFill>
              </w:rPr>
              <w:t>本项目附近的水域为东侧约1</w:t>
            </w:r>
            <w:r>
              <w:rPr>
                <w:rFonts w:hint="eastAsia" w:cs="宋体"/>
                <w:color w:val="000000" w:themeColor="text1"/>
                <w:sz w:val="24"/>
                <w:szCs w:val="24"/>
                <w:highlight w:val="none"/>
                <w:lang w:val="en-US" w:eastAsia="zh-CN"/>
                <w14:textFill>
                  <w14:solidFill>
                    <w14:schemeClr w14:val="tx1"/>
                  </w14:solidFill>
                </w14:textFill>
              </w:rPr>
              <w:t>14</w:t>
            </w:r>
            <w:r>
              <w:rPr>
                <w:rFonts w:hint="eastAsia" w:cs="宋体"/>
                <w:color w:val="000000" w:themeColor="text1"/>
                <w:sz w:val="24"/>
                <w:szCs w:val="24"/>
                <w:highlight w:val="none"/>
                <w:lang w:eastAsia="zh-CN"/>
                <w14:textFill>
                  <w14:solidFill>
                    <w14:schemeClr w14:val="tx1"/>
                  </w14:solidFill>
                </w14:textFill>
              </w:rPr>
              <w:t>0m处的大樟溪，根据福州市人民政府榕政综[2019]316号批准《福州市水功能区划》，项目区域</w:t>
            </w:r>
            <w:r>
              <w:rPr>
                <w:rFonts w:hint="eastAsia" w:cs="宋体"/>
                <w:color w:val="000000" w:themeColor="text1"/>
                <w:sz w:val="24"/>
                <w:szCs w:val="24"/>
                <w:highlight w:val="none"/>
                <w:lang w:val="en-US" w:eastAsia="zh-CN"/>
                <w14:textFill>
                  <w14:solidFill>
                    <w14:schemeClr w14:val="tx1"/>
                  </w14:solidFill>
                </w14:textFill>
              </w:rPr>
              <w:t>周边</w:t>
            </w:r>
            <w:r>
              <w:rPr>
                <w:rFonts w:hint="eastAsia" w:cs="宋体"/>
                <w:color w:val="000000" w:themeColor="text1"/>
                <w:sz w:val="24"/>
                <w:szCs w:val="24"/>
                <w:highlight w:val="none"/>
                <w:lang w:eastAsia="zh-CN"/>
                <w14:textFill>
                  <w14:solidFill>
                    <w14:schemeClr w14:val="tx1"/>
                  </w14:solidFill>
                </w14:textFill>
              </w:rPr>
              <w:t>大樟溪水体功能为渔业用水、农业用水，水环境质量执行《地表水环境质量标准》（GB3838-2002）中的Ⅲ类标准。</w:t>
            </w:r>
          </w:p>
          <w:p w14:paraId="51292547">
            <w:pPr>
              <w:spacing w:line="360" w:lineRule="auto"/>
              <w:ind w:firstLine="480" w:firstLineChars="200"/>
              <w:rPr>
                <w:rFonts w:hint="eastAsia" w:eastAsia="宋体" w:cs="宋体"/>
                <w:color w:val="000000" w:themeColor="text1"/>
                <w:sz w:val="24"/>
                <w:szCs w:val="24"/>
                <w:highlight w:val="none"/>
                <w:lang w:eastAsia="zh-CN"/>
                <w14:textFill>
                  <w14:solidFill>
                    <w14:schemeClr w14:val="tx1"/>
                  </w14:solidFill>
                </w14:textFill>
              </w:rPr>
            </w:pPr>
            <w:r>
              <w:rPr>
                <w:rFonts w:hint="eastAsia" w:cs="宋体"/>
                <w:color w:val="000000" w:themeColor="text1"/>
                <w:sz w:val="24"/>
                <w:szCs w:val="24"/>
                <w:highlight w:val="none"/>
                <w:lang w:eastAsia="zh-CN"/>
                <w14:textFill>
                  <w14:solidFill>
                    <w14:schemeClr w14:val="tx1"/>
                  </w14:solidFill>
                </w14:textFill>
              </w:rPr>
              <w:t>（</w:t>
            </w:r>
            <w:r>
              <w:rPr>
                <w:rFonts w:hint="eastAsia" w:cs="宋体"/>
                <w:color w:val="000000" w:themeColor="text1"/>
                <w:sz w:val="24"/>
                <w:szCs w:val="24"/>
                <w:highlight w:val="none"/>
                <w:lang w:val="en-US" w:eastAsia="zh-CN"/>
                <w14:textFill>
                  <w14:solidFill>
                    <w14:schemeClr w14:val="tx1"/>
                  </w14:solidFill>
                </w14:textFill>
              </w:rPr>
              <w:t>2</w:t>
            </w:r>
            <w:r>
              <w:rPr>
                <w:rFonts w:hint="eastAsia" w:cs="宋体"/>
                <w:color w:val="000000" w:themeColor="text1"/>
                <w:sz w:val="24"/>
                <w:szCs w:val="24"/>
                <w:highlight w:val="none"/>
                <w:lang w:eastAsia="zh-CN"/>
                <w14:textFill>
                  <w14:solidFill>
                    <w14:schemeClr w14:val="tx1"/>
                  </w14:solidFill>
                </w14:textFill>
              </w:rPr>
              <w:t>）地表水环境质量现状</w:t>
            </w:r>
          </w:p>
          <w:p w14:paraId="728E32E8">
            <w:pPr>
              <w:spacing w:line="360" w:lineRule="auto"/>
              <w:ind w:firstLine="480" w:firstLineChars="200"/>
              <w:rPr>
                <w:rFonts w:hint="eastAsia" w:eastAsia="宋体" w:cs="宋体"/>
                <w:color w:val="000000" w:themeColor="text1"/>
                <w:sz w:val="24"/>
                <w:szCs w:val="24"/>
                <w:highlight w:val="none"/>
                <w:lang w:eastAsia="zh-CN"/>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为了解项目地表水水质环境质量现状，根据福州市人民政府网站发布的《2024年福州市环境状况公报》</w:t>
            </w:r>
            <w:r>
              <w:rPr>
                <w:rFonts w:hint="eastAsia" w:cs="宋体"/>
                <w:color w:val="000000" w:themeColor="text1"/>
                <w:sz w:val="24"/>
                <w:szCs w:val="24"/>
                <w:highlight w:val="none"/>
                <w:lang w:eastAsia="zh-CN"/>
                <w14:textFill>
                  <w14:solidFill>
                    <w14:schemeClr w14:val="tx1"/>
                  </w14:solidFill>
                </w14:textFill>
              </w:rPr>
              <w:t>，</w:t>
            </w:r>
            <w:r>
              <w:rPr>
                <w:rFonts w:hint="eastAsia" w:cs="宋体"/>
                <w:color w:val="000000" w:themeColor="text1"/>
                <w:sz w:val="24"/>
                <w:szCs w:val="24"/>
                <w:highlight w:val="none"/>
                <w14:textFill>
                  <w14:solidFill>
                    <w14:schemeClr w14:val="tx1"/>
                  </w14:solidFill>
                </w14:textFill>
              </w:rPr>
              <w:t>2024年，福州市主要流域总体水质为优的水平。主要流域国省控断面和小流域省控断面优良水质比例、集中式饮用水水源地水质达标率保持100%，闽江干流4个国控断面“十四五”以来首次实现优质水比例100%</w:t>
            </w:r>
            <w:r>
              <w:rPr>
                <w:rFonts w:hint="eastAsia" w:cs="宋体"/>
                <w:color w:val="000000" w:themeColor="text1"/>
                <w:sz w:val="24"/>
                <w:szCs w:val="24"/>
                <w:highlight w:val="none"/>
                <w:lang w:eastAsia="zh-CN"/>
                <w14:textFill>
                  <w14:solidFill>
                    <w14:schemeClr w14:val="tx1"/>
                  </w14:solidFill>
                </w14:textFill>
              </w:rPr>
              <w:t>。由此可知大樟溪水质可达到《地表水环境质量标准》（GB3838-2002）Ⅲ类</w:t>
            </w:r>
            <w:r>
              <w:rPr>
                <w:rFonts w:hint="eastAsia" w:cs="宋体"/>
                <w:color w:val="000000" w:themeColor="text1"/>
                <w:sz w:val="24"/>
                <w:szCs w:val="24"/>
                <w:highlight w:val="none"/>
                <w:lang w:val="en-US" w:eastAsia="zh-CN"/>
                <w14:textFill>
                  <w14:solidFill>
                    <w14:schemeClr w14:val="tx1"/>
                  </w14:solidFill>
                </w14:textFill>
              </w:rPr>
              <w:t>水质</w:t>
            </w:r>
            <w:r>
              <w:rPr>
                <w:rFonts w:hint="eastAsia" w:cs="宋体"/>
                <w:color w:val="000000" w:themeColor="text1"/>
                <w:sz w:val="24"/>
                <w:szCs w:val="24"/>
                <w:highlight w:val="none"/>
                <w:lang w:eastAsia="zh-CN"/>
                <w14:textFill>
                  <w14:solidFill>
                    <w14:schemeClr w14:val="tx1"/>
                  </w14:solidFill>
                </w14:textFill>
              </w:rPr>
              <w:t>标准。</w:t>
            </w:r>
          </w:p>
          <w:p w14:paraId="0D1AD6A3">
            <w:pPr>
              <w:spacing w:line="360" w:lineRule="auto"/>
              <w:ind w:firstLine="480" w:firstLineChars="200"/>
              <w:rPr>
                <w:rFonts w:hint="eastAsia" w:cs="宋体"/>
                <w:color w:val="000000" w:themeColor="text1"/>
                <w:sz w:val="24"/>
                <w:szCs w:val="24"/>
                <w:highlight w:val="none"/>
                <w:lang w:eastAsia="zh-CN"/>
                <w14:textFill>
                  <w14:solidFill>
                    <w14:schemeClr w14:val="tx1"/>
                  </w14:solidFill>
                </w14:textFill>
              </w:rPr>
            </w:pPr>
            <w:r>
              <w:rPr>
                <w:rFonts w:hint="eastAsia" w:cs="宋体"/>
                <w:color w:val="000000" w:themeColor="text1"/>
                <w:sz w:val="24"/>
                <w:szCs w:val="24"/>
                <w:highlight w:val="none"/>
                <w:lang w:eastAsia="zh-CN"/>
                <w14:textFill>
                  <w14:solidFill>
                    <w14:schemeClr w14:val="tx1"/>
                  </w14:solidFill>
                </w14:textFill>
              </w:rPr>
              <w:t>（</w:t>
            </w:r>
            <w:r>
              <w:rPr>
                <w:rFonts w:hint="eastAsia" w:cs="宋体"/>
                <w:color w:val="000000" w:themeColor="text1"/>
                <w:sz w:val="24"/>
                <w:szCs w:val="24"/>
                <w:highlight w:val="none"/>
                <w:lang w:val="en-US" w:eastAsia="zh-CN"/>
                <w14:textFill>
                  <w14:solidFill>
                    <w14:schemeClr w14:val="tx1"/>
                  </w14:solidFill>
                </w14:textFill>
              </w:rPr>
              <w:t>3</w:t>
            </w:r>
            <w:r>
              <w:rPr>
                <w:rFonts w:hint="eastAsia" w:cs="宋体"/>
                <w:color w:val="000000" w:themeColor="text1"/>
                <w:sz w:val="24"/>
                <w:szCs w:val="24"/>
                <w:highlight w:val="none"/>
                <w:lang w:eastAsia="zh-CN"/>
                <w14:textFill>
                  <w14:solidFill>
                    <w14:schemeClr w14:val="tx1"/>
                  </w14:solidFill>
                </w14:textFill>
              </w:rPr>
              <w:t>）引用资料的有效性分析</w:t>
            </w:r>
          </w:p>
          <w:p w14:paraId="4CF272B2">
            <w:pPr>
              <w:spacing w:line="360" w:lineRule="auto"/>
              <w:ind w:firstLine="480" w:firstLineChars="200"/>
              <w:rPr>
                <w:rFonts w:hint="eastAsia"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根据《建设项目环境影响报告表编制技术指南(污染影响类)(试行)》(环办环评</w:t>
            </w:r>
            <w:r>
              <w:rPr>
                <w:rFonts w:hint="eastAsia"/>
                <w:color w:val="000000" w:themeColor="text1"/>
                <w:sz w:val="24"/>
                <w:szCs w:val="24"/>
                <w:highlight w:val="none"/>
                <w:lang w:eastAsia="zh-CN"/>
                <w14:textFill>
                  <w14:solidFill>
                    <w14:schemeClr w14:val="tx1"/>
                  </w14:solidFill>
                </w14:textFill>
              </w:rPr>
              <w:t>〔20</w:t>
            </w:r>
            <w:r>
              <w:rPr>
                <w:rFonts w:hint="eastAsia"/>
                <w:color w:val="000000" w:themeColor="text1"/>
                <w:sz w:val="24"/>
                <w:szCs w:val="24"/>
                <w:highlight w:val="none"/>
                <w:lang w:val="en-US" w:eastAsia="zh-CN"/>
                <w14:textFill>
                  <w14:solidFill>
                    <w14:schemeClr w14:val="tx1"/>
                  </w14:solidFill>
                </w14:textFill>
              </w:rPr>
              <w:t>20</w:t>
            </w:r>
            <w:r>
              <w:rPr>
                <w:rFonts w:hint="eastAsia"/>
                <w:color w:val="000000" w:themeColor="text1"/>
                <w:sz w:val="24"/>
                <w:szCs w:val="24"/>
                <w:highlight w:val="none"/>
                <w:lang w:eastAsia="zh-CN"/>
                <w14:textFill>
                  <w14:solidFill>
                    <w14:schemeClr w14:val="tx1"/>
                  </w14:solidFill>
                </w14:textFill>
              </w:rPr>
              <w:t>〕</w:t>
            </w:r>
            <w:r>
              <w:rPr>
                <w:rFonts w:hint="eastAsia" w:cs="宋体"/>
                <w:color w:val="000000" w:themeColor="text1"/>
                <w:sz w:val="24"/>
                <w:szCs w:val="24"/>
                <w:highlight w:val="none"/>
                <w14:textFill>
                  <w14:solidFill>
                    <w14:schemeClr w14:val="tx1"/>
                  </w14:solidFill>
                </w14:textFill>
              </w:rPr>
              <w:t>33号)的要求</w:t>
            </w:r>
            <w:r>
              <w:rPr>
                <w:rFonts w:hint="eastAsia" w:cs="宋体"/>
                <w:color w:val="000000" w:themeColor="text1"/>
                <w:sz w:val="24"/>
                <w:szCs w:val="24"/>
                <w:highlight w:val="none"/>
                <w:lang w:eastAsia="zh-CN"/>
                <w14:textFill>
                  <w14:solidFill>
                    <w14:schemeClr w14:val="tx1"/>
                  </w14:solidFill>
                </w14:textFill>
              </w:rPr>
              <w:t>：</w:t>
            </w:r>
            <w:r>
              <w:rPr>
                <w:rFonts w:hint="eastAsia" w:cs="宋体"/>
                <w:color w:val="000000" w:themeColor="text1"/>
                <w:sz w:val="24"/>
                <w:szCs w:val="24"/>
                <w:highlight w:val="none"/>
                <w14:textFill>
                  <w14:solidFill>
                    <w14:schemeClr w14:val="tx1"/>
                  </w14:solidFill>
                </w14:textFill>
              </w:rPr>
              <w:t>“地表水环境区域环境质量现状引用与建设项目距离近的有效数据，包括近3年的规划环境影响评价的监测数据，所在流域控制单元内国家、地方控制断面监测数据，生态环境主管部门发布的水环境质量数据或地表水达标情况的结论”，本次评价选取福州市人民政府发布的近3年内的水环境质量状况，符合《建设项目环境影响报告表编制技术指南(污染影响类)(试行)》(环办环评</w:t>
            </w:r>
            <w:r>
              <w:rPr>
                <w:rFonts w:hint="eastAsia"/>
                <w:color w:val="000000" w:themeColor="text1"/>
                <w:sz w:val="24"/>
                <w:szCs w:val="24"/>
                <w:highlight w:val="none"/>
                <w:lang w:eastAsia="zh-CN"/>
                <w14:textFill>
                  <w14:solidFill>
                    <w14:schemeClr w14:val="tx1"/>
                  </w14:solidFill>
                </w14:textFill>
              </w:rPr>
              <w:t>〔20</w:t>
            </w:r>
            <w:r>
              <w:rPr>
                <w:rFonts w:hint="eastAsia"/>
                <w:color w:val="000000" w:themeColor="text1"/>
                <w:sz w:val="24"/>
                <w:szCs w:val="24"/>
                <w:highlight w:val="none"/>
                <w:lang w:val="en-US" w:eastAsia="zh-CN"/>
                <w14:textFill>
                  <w14:solidFill>
                    <w14:schemeClr w14:val="tx1"/>
                  </w14:solidFill>
                </w14:textFill>
              </w:rPr>
              <w:t>20</w:t>
            </w:r>
            <w:r>
              <w:rPr>
                <w:rFonts w:hint="eastAsia"/>
                <w:color w:val="000000" w:themeColor="text1"/>
                <w:sz w:val="24"/>
                <w:szCs w:val="24"/>
                <w:highlight w:val="none"/>
                <w:lang w:eastAsia="zh-CN"/>
                <w14:textFill>
                  <w14:solidFill>
                    <w14:schemeClr w14:val="tx1"/>
                  </w14:solidFill>
                </w14:textFill>
              </w:rPr>
              <w:t>〕</w:t>
            </w:r>
            <w:r>
              <w:rPr>
                <w:rFonts w:hint="eastAsia" w:cs="宋体"/>
                <w:color w:val="000000" w:themeColor="text1"/>
                <w:sz w:val="24"/>
                <w:szCs w:val="24"/>
                <w:highlight w:val="none"/>
                <w14:textFill>
                  <w14:solidFill>
                    <w14:schemeClr w14:val="tx1"/>
                  </w14:solidFill>
                </w14:textFill>
              </w:rPr>
              <w:t>33号)的要求。</w:t>
            </w:r>
          </w:p>
          <w:p w14:paraId="3A48C124">
            <w:pPr>
              <w:spacing w:line="360" w:lineRule="auto"/>
              <w:jc w:val="center"/>
              <w:rPr>
                <w:color w:val="000000" w:themeColor="text1"/>
                <w:sz w:val="24"/>
                <w:szCs w:val="32"/>
                <w:highlight w:val="none"/>
                <w14:textFill>
                  <w14:solidFill>
                    <w14:schemeClr w14:val="tx1"/>
                  </w14:solidFill>
                </w14:textFill>
              </w:rPr>
            </w:pPr>
            <w:r>
              <w:rPr>
                <w:color w:val="000000" w:themeColor="text1"/>
                <w:sz w:val="24"/>
                <w:szCs w:val="32"/>
                <w:highlight w:val="none"/>
                <w14:textFill>
                  <w14:solidFill>
                    <w14:schemeClr w14:val="tx1"/>
                  </w14:solidFill>
                </w14:textFill>
              </w:rPr>
              <w:drawing>
                <wp:inline distT="0" distB="0" distL="114300" distR="114300">
                  <wp:extent cx="5362575" cy="3388995"/>
                  <wp:effectExtent l="0" t="0" r="9525" b="1905"/>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14"/>
                          <a:srcRect r="5466"/>
                          <a:stretch>
                            <a:fillRect/>
                          </a:stretch>
                        </pic:blipFill>
                        <pic:spPr>
                          <a:xfrm>
                            <a:off x="0" y="0"/>
                            <a:ext cx="5362575" cy="3388995"/>
                          </a:xfrm>
                          <a:prstGeom prst="rect">
                            <a:avLst/>
                          </a:prstGeom>
                          <a:noFill/>
                          <a:ln>
                            <a:noFill/>
                          </a:ln>
                        </pic:spPr>
                      </pic:pic>
                    </a:graphicData>
                  </a:graphic>
                </wp:inline>
              </w:drawing>
            </w:r>
          </w:p>
          <w:p w14:paraId="237797CB">
            <w:pPr>
              <w:spacing w:line="360" w:lineRule="auto"/>
              <w:jc w:val="center"/>
              <w:rPr>
                <w:rFonts w:hint="eastAsia"/>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图</w:t>
            </w:r>
            <w:r>
              <w:rPr>
                <w:rFonts w:hint="eastAsia"/>
                <w:b/>
                <w:bCs/>
                <w:color w:val="000000" w:themeColor="text1"/>
                <w:sz w:val="24"/>
                <w:szCs w:val="24"/>
                <w:highlight w:val="none"/>
                <w:lang w:val="en-US" w:eastAsia="zh-CN"/>
                <w14:textFill>
                  <w14:solidFill>
                    <w14:schemeClr w14:val="tx1"/>
                  </w14:solidFill>
                </w14:textFill>
              </w:rPr>
              <w:t>3.2-1 《2024年福州市环境状况公报》</w:t>
            </w:r>
            <w:r>
              <w:rPr>
                <w:rFonts w:hint="eastAsia"/>
                <w:b/>
                <w:bCs/>
                <w:color w:val="000000" w:themeColor="text1"/>
                <w:sz w:val="24"/>
                <w:szCs w:val="24"/>
                <w:highlight w:val="none"/>
                <w14:textFill>
                  <w14:solidFill>
                    <w14:schemeClr w14:val="tx1"/>
                  </w14:solidFill>
                </w14:textFill>
              </w:rPr>
              <w:t>截图</w:t>
            </w:r>
          </w:p>
          <w:p w14:paraId="73B04D35">
            <w:pPr>
              <w:pStyle w:val="37"/>
              <w:rPr>
                <w:color w:val="000000" w:themeColor="text1"/>
                <w:sz w:val="24"/>
                <w:szCs w:val="21"/>
                <w:highlight w:val="none"/>
                <w14:textFill>
                  <w14:solidFill>
                    <w14:schemeClr w14:val="tx1"/>
                  </w14:solidFill>
                </w14:textFill>
              </w:rPr>
            </w:pPr>
            <w:r>
              <w:rPr>
                <w:color w:val="000000" w:themeColor="text1"/>
                <w:sz w:val="24"/>
                <w:szCs w:val="21"/>
                <w:highlight w:val="none"/>
                <w14:textFill>
                  <w14:solidFill>
                    <w14:schemeClr w14:val="tx1"/>
                  </w14:solidFill>
                </w14:textFill>
              </w:rPr>
              <w:t>3.</w:t>
            </w:r>
            <w:r>
              <w:rPr>
                <w:rFonts w:hint="eastAsia"/>
                <w:color w:val="000000" w:themeColor="text1"/>
                <w:sz w:val="24"/>
                <w:szCs w:val="21"/>
                <w:highlight w:val="none"/>
                <w:lang w:val="en-US" w:eastAsia="zh-CN"/>
                <w14:textFill>
                  <w14:solidFill>
                    <w14:schemeClr w14:val="tx1"/>
                  </w14:solidFill>
                </w14:textFill>
              </w:rPr>
              <w:t>3</w:t>
            </w:r>
            <w:r>
              <w:rPr>
                <w:color w:val="000000" w:themeColor="text1"/>
                <w:sz w:val="24"/>
                <w:szCs w:val="21"/>
                <w:highlight w:val="none"/>
                <w14:textFill>
                  <w14:solidFill>
                    <w14:schemeClr w14:val="tx1"/>
                  </w14:solidFill>
                </w14:textFill>
              </w:rPr>
              <w:t xml:space="preserve"> 声环境质量现状</w:t>
            </w:r>
          </w:p>
          <w:p w14:paraId="0E4E581F">
            <w:pPr>
              <w:spacing w:line="360" w:lineRule="auto"/>
              <w:ind w:firstLine="480" w:firstLineChars="200"/>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本项目位于福建省福州市高新区南屿镇窗厦村尧溪路3号1#楼一层，项目周边以工业生产为主，项目所在区域声环境为3类功能区，声环境执行《声环境质量标准》（GB3096-2008）中的3类标准。村庄声环境执行《声环境质量标准》（GB3096-2008）中的2类标准，执行详见下表。</w:t>
            </w:r>
          </w:p>
          <w:p w14:paraId="57A37F17">
            <w:pPr>
              <w:spacing w:line="360" w:lineRule="auto"/>
              <w:jc w:val="center"/>
              <w:rPr>
                <w:b/>
                <w:bCs/>
                <w:color w:val="000000" w:themeColor="text1"/>
                <w:sz w:val="24"/>
                <w:szCs w:val="24"/>
                <w:highlight w:val="none"/>
                <w14:textFill>
                  <w14:solidFill>
                    <w14:schemeClr w14:val="tx1"/>
                  </w14:solidFill>
                </w14:textFill>
              </w:rPr>
            </w:pPr>
            <w:r>
              <w:rPr>
                <w:b/>
                <w:bCs/>
                <w:color w:val="000000" w:themeColor="text1"/>
                <w:sz w:val="24"/>
                <w:szCs w:val="24"/>
                <w:highlight w:val="none"/>
                <w14:textFill>
                  <w14:solidFill>
                    <w14:schemeClr w14:val="tx1"/>
                  </w14:solidFill>
                </w14:textFill>
              </w:rPr>
              <w:t>表3</w:t>
            </w:r>
            <w:r>
              <w:rPr>
                <w:rFonts w:hint="eastAsia"/>
                <w:b/>
                <w:bCs/>
                <w:color w:val="000000" w:themeColor="text1"/>
                <w:sz w:val="24"/>
                <w:szCs w:val="24"/>
                <w:highlight w:val="none"/>
                <w:lang w:val="en-US" w:eastAsia="zh-CN"/>
                <w14:textFill>
                  <w14:solidFill>
                    <w14:schemeClr w14:val="tx1"/>
                  </w14:solidFill>
                </w14:textFill>
              </w:rPr>
              <w:t xml:space="preserve">.3-1  </w:t>
            </w:r>
            <w:r>
              <w:rPr>
                <w:b/>
                <w:bCs/>
                <w:color w:val="000000" w:themeColor="text1"/>
                <w:sz w:val="24"/>
                <w:szCs w:val="24"/>
                <w:highlight w:val="none"/>
                <w14:textFill>
                  <w14:solidFill>
                    <w14:schemeClr w14:val="tx1"/>
                  </w14:solidFill>
                </w14:textFill>
              </w:rPr>
              <w:t>声环境质量标准单位：dB（A）</w:t>
            </w:r>
          </w:p>
          <w:tbl>
            <w:tblPr>
              <w:tblStyle w:val="30"/>
              <w:tblW w:w="5000" w:type="pct"/>
              <w:tblInd w:w="11" w:type="dxa"/>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3746"/>
              <w:gridCol w:w="2284"/>
              <w:gridCol w:w="2382"/>
            </w:tblGrid>
            <w:tr w14:paraId="6C1A002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2226" w:type="pct"/>
                  <w:tcBorders>
                    <w:tl2br w:val="nil"/>
                    <w:tr2bl w:val="nil"/>
                  </w:tcBorders>
                  <w:noWrap/>
                  <w:vAlign w:val="center"/>
                </w:tcPr>
                <w:p w14:paraId="192A3641">
                  <w:pPr>
                    <w:pStyle w:val="110"/>
                    <w:rPr>
                      <w:rFonts w:hint="default" w:eastAsia="宋体"/>
                      <w:color w:val="000000" w:themeColor="text1"/>
                      <w:highlight w:val="none"/>
                      <w:lang w:val="en-US" w:eastAsia="zh-CN"/>
                      <w14:textFill>
                        <w14:solidFill>
                          <w14:schemeClr w14:val="tx1"/>
                        </w14:solidFill>
                      </w14:textFill>
                    </w:rPr>
                  </w:pPr>
                  <w:r>
                    <w:rPr>
                      <w:rFonts w:hint="default" w:eastAsia="宋体"/>
                      <w:color w:val="000000" w:themeColor="text1"/>
                      <w:highlight w:val="none"/>
                      <w:lang w:val="en-US" w:eastAsia="zh-CN"/>
                      <w14:textFill>
                        <w14:solidFill>
                          <w14:schemeClr w14:val="tx1"/>
                        </w14:solidFill>
                      </w14:textFill>
                    </w:rPr>
                    <w:t>声环境功能区类别</w:t>
                  </w:r>
                </w:p>
              </w:tc>
              <w:tc>
                <w:tcPr>
                  <w:tcW w:w="1357" w:type="pct"/>
                  <w:tcBorders>
                    <w:tl2br w:val="nil"/>
                    <w:tr2bl w:val="nil"/>
                  </w:tcBorders>
                  <w:vAlign w:val="center"/>
                </w:tcPr>
                <w:p w14:paraId="61BEDA86">
                  <w:pPr>
                    <w:pStyle w:val="11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昼间</w:t>
                  </w:r>
                </w:p>
              </w:tc>
              <w:tc>
                <w:tcPr>
                  <w:tcW w:w="1415" w:type="pct"/>
                  <w:tcBorders>
                    <w:tl2br w:val="nil"/>
                    <w:tr2bl w:val="nil"/>
                  </w:tcBorders>
                  <w:vAlign w:val="center"/>
                </w:tcPr>
                <w:p w14:paraId="191FD8F0">
                  <w:pPr>
                    <w:pStyle w:val="110"/>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夜间</w:t>
                  </w:r>
                </w:p>
              </w:tc>
            </w:tr>
            <w:tr w14:paraId="4BEA3CB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2226" w:type="pct"/>
                  <w:tcBorders>
                    <w:tl2br w:val="nil"/>
                    <w:tr2bl w:val="nil"/>
                  </w:tcBorders>
                  <w:noWrap/>
                  <w:vAlign w:val="center"/>
                </w:tcPr>
                <w:p w14:paraId="72E3BD5E">
                  <w:pPr>
                    <w:pStyle w:val="11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2类</w:t>
                  </w:r>
                </w:p>
              </w:tc>
              <w:tc>
                <w:tcPr>
                  <w:tcW w:w="1357" w:type="pct"/>
                  <w:tcBorders>
                    <w:tl2br w:val="nil"/>
                    <w:tr2bl w:val="nil"/>
                  </w:tcBorders>
                  <w:vAlign w:val="center"/>
                </w:tcPr>
                <w:p w14:paraId="35822BA6">
                  <w:pPr>
                    <w:pStyle w:val="11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60</w:t>
                  </w:r>
                </w:p>
              </w:tc>
              <w:tc>
                <w:tcPr>
                  <w:tcW w:w="1415" w:type="pct"/>
                  <w:tcBorders>
                    <w:tl2br w:val="nil"/>
                    <w:tr2bl w:val="nil"/>
                  </w:tcBorders>
                  <w:vAlign w:val="center"/>
                </w:tcPr>
                <w:p w14:paraId="3BBEC953">
                  <w:pPr>
                    <w:pStyle w:val="11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50</w:t>
                  </w:r>
                </w:p>
              </w:tc>
            </w:tr>
            <w:tr w14:paraId="3FC4E93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2226" w:type="pct"/>
                  <w:tcBorders>
                    <w:tl2br w:val="nil"/>
                    <w:tr2bl w:val="nil"/>
                  </w:tcBorders>
                  <w:noWrap/>
                  <w:vAlign w:val="center"/>
                </w:tcPr>
                <w:p w14:paraId="39CFDD50">
                  <w:pPr>
                    <w:pStyle w:val="11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3类</w:t>
                  </w:r>
                </w:p>
              </w:tc>
              <w:tc>
                <w:tcPr>
                  <w:tcW w:w="1357" w:type="pct"/>
                  <w:tcBorders>
                    <w:tl2br w:val="nil"/>
                    <w:tr2bl w:val="nil"/>
                  </w:tcBorders>
                  <w:vAlign w:val="center"/>
                </w:tcPr>
                <w:p w14:paraId="383F3C2D">
                  <w:pPr>
                    <w:pStyle w:val="11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65</w:t>
                  </w:r>
                </w:p>
              </w:tc>
              <w:tc>
                <w:tcPr>
                  <w:tcW w:w="1415" w:type="pct"/>
                  <w:tcBorders>
                    <w:tl2br w:val="nil"/>
                    <w:tr2bl w:val="nil"/>
                  </w:tcBorders>
                  <w:vAlign w:val="center"/>
                </w:tcPr>
                <w:p w14:paraId="6A342F7B">
                  <w:pPr>
                    <w:pStyle w:val="11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55</w:t>
                  </w:r>
                </w:p>
              </w:tc>
            </w:tr>
          </w:tbl>
          <w:p w14:paraId="76A9E1C6">
            <w:pPr>
              <w:spacing w:line="360" w:lineRule="auto"/>
              <w:ind w:firstLine="480" w:firstLineChars="200"/>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根据</w:t>
            </w:r>
            <w:r>
              <w:rPr>
                <w:rFonts w:hint="eastAsia"/>
                <w:color w:val="000000" w:themeColor="text1"/>
                <w:sz w:val="24"/>
                <w:highlight w:val="none"/>
                <w14:textFill>
                  <w14:solidFill>
                    <w14:schemeClr w14:val="tx1"/>
                  </w14:solidFill>
                </w14:textFill>
              </w:rPr>
              <w:t>生态环境部环境工程评估中心“《建设项目环境影响报告表》内容、格式及编制技术指南常见问题解答”：“厂界外周边50米范围内存在声环境保护目标的建设项目，应监测声环境质量现状，监测点位为声环境保护目标处。厂界外周边50米范围内无声环境保护目标的建设项目，不再要求提供声环境质量现状监测数据。”</w:t>
            </w:r>
            <w:r>
              <w:rPr>
                <w:bCs/>
                <w:color w:val="000000" w:themeColor="text1"/>
                <w:sz w:val="24"/>
                <w:szCs w:val="32"/>
                <w:highlight w:val="none"/>
                <w14:textFill>
                  <w14:solidFill>
                    <w14:schemeClr w14:val="tx1"/>
                  </w14:solidFill>
                </w14:textFill>
              </w:rPr>
              <w:t>本项目厂界外50m范围内不存在声环境保护目标，不进行声环境质量现状监测。</w:t>
            </w:r>
          </w:p>
          <w:p w14:paraId="39EE47AD">
            <w:pPr>
              <w:pStyle w:val="37"/>
              <w:rPr>
                <w:color w:val="000000" w:themeColor="text1"/>
                <w:sz w:val="24"/>
                <w:szCs w:val="21"/>
                <w:highlight w:val="none"/>
                <w14:textFill>
                  <w14:solidFill>
                    <w14:schemeClr w14:val="tx1"/>
                  </w14:solidFill>
                </w14:textFill>
              </w:rPr>
            </w:pPr>
            <w:r>
              <w:rPr>
                <w:color w:val="000000" w:themeColor="text1"/>
                <w:sz w:val="24"/>
                <w:szCs w:val="21"/>
                <w:highlight w:val="none"/>
                <w14:textFill>
                  <w14:solidFill>
                    <w14:schemeClr w14:val="tx1"/>
                  </w14:solidFill>
                </w14:textFill>
              </w:rPr>
              <w:t>3.</w:t>
            </w:r>
            <w:r>
              <w:rPr>
                <w:rFonts w:hint="eastAsia"/>
                <w:color w:val="000000" w:themeColor="text1"/>
                <w:sz w:val="24"/>
                <w:szCs w:val="21"/>
                <w:highlight w:val="none"/>
                <w:lang w:val="en-US" w:eastAsia="zh-CN"/>
                <w14:textFill>
                  <w14:solidFill>
                    <w14:schemeClr w14:val="tx1"/>
                  </w14:solidFill>
                </w14:textFill>
              </w:rPr>
              <w:t>4</w:t>
            </w:r>
            <w:r>
              <w:rPr>
                <w:color w:val="000000" w:themeColor="text1"/>
                <w:sz w:val="24"/>
                <w:szCs w:val="21"/>
                <w:highlight w:val="none"/>
                <w14:textFill>
                  <w14:solidFill>
                    <w14:schemeClr w14:val="tx1"/>
                  </w14:solidFill>
                </w14:textFill>
              </w:rPr>
              <w:t xml:space="preserve"> </w:t>
            </w:r>
            <w:r>
              <w:rPr>
                <w:rFonts w:hint="eastAsia"/>
                <w:color w:val="000000" w:themeColor="text1"/>
                <w:sz w:val="24"/>
                <w:szCs w:val="21"/>
                <w:highlight w:val="none"/>
                <w:lang w:val="en-US" w:eastAsia="zh-CN"/>
                <w14:textFill>
                  <w14:solidFill>
                    <w14:schemeClr w14:val="tx1"/>
                  </w14:solidFill>
                </w14:textFill>
              </w:rPr>
              <w:t>地下水、土壤</w:t>
            </w:r>
            <w:r>
              <w:rPr>
                <w:color w:val="000000" w:themeColor="text1"/>
                <w:sz w:val="24"/>
                <w:szCs w:val="21"/>
                <w:highlight w:val="none"/>
                <w14:textFill>
                  <w14:solidFill>
                    <w14:schemeClr w14:val="tx1"/>
                  </w14:solidFill>
                </w14:textFill>
              </w:rPr>
              <w:t>环境质量现状</w:t>
            </w:r>
          </w:p>
          <w:p w14:paraId="5AF7A745">
            <w:pPr>
              <w:spacing w:line="360" w:lineRule="auto"/>
              <w:ind w:firstLine="480" w:firstLineChars="200"/>
              <w:rPr>
                <w:rFonts w:hint="eastAsia"/>
                <w:bCs/>
                <w:color w:val="000000" w:themeColor="text1"/>
                <w:sz w:val="24"/>
                <w:szCs w:val="32"/>
                <w:highlight w:val="none"/>
                <w14:textFill>
                  <w14:solidFill>
                    <w14:schemeClr w14:val="tx1"/>
                  </w14:solidFill>
                </w14:textFill>
              </w:rPr>
            </w:pPr>
            <w:r>
              <w:rPr>
                <w:rFonts w:hint="eastAsia"/>
                <w:bCs/>
                <w:color w:val="000000" w:themeColor="text1"/>
                <w:sz w:val="24"/>
                <w:szCs w:val="32"/>
                <w:highlight w:val="none"/>
                <w14:textFill>
                  <w14:solidFill>
                    <w14:schemeClr w14:val="tx1"/>
                  </w14:solidFill>
                </w14:textFill>
              </w:rPr>
              <w:t>根据《建设项目环境影响报告表编制技术指南(污染影响类)(试行)》(环办环评</w:t>
            </w:r>
            <w:r>
              <w:rPr>
                <w:rFonts w:hint="eastAsia"/>
                <w:color w:val="000000" w:themeColor="text1"/>
                <w:sz w:val="24"/>
                <w:szCs w:val="24"/>
                <w:highlight w:val="none"/>
                <w:lang w:eastAsia="zh-CN"/>
                <w14:textFill>
                  <w14:solidFill>
                    <w14:schemeClr w14:val="tx1"/>
                  </w14:solidFill>
                </w14:textFill>
              </w:rPr>
              <w:t>〔20</w:t>
            </w:r>
            <w:r>
              <w:rPr>
                <w:rFonts w:hint="eastAsia"/>
                <w:color w:val="000000" w:themeColor="text1"/>
                <w:sz w:val="24"/>
                <w:szCs w:val="24"/>
                <w:highlight w:val="none"/>
                <w:lang w:val="en-US" w:eastAsia="zh-CN"/>
                <w14:textFill>
                  <w14:solidFill>
                    <w14:schemeClr w14:val="tx1"/>
                  </w14:solidFill>
                </w14:textFill>
              </w:rPr>
              <w:t>20</w:t>
            </w:r>
            <w:r>
              <w:rPr>
                <w:rFonts w:hint="eastAsia"/>
                <w:color w:val="000000" w:themeColor="text1"/>
                <w:sz w:val="24"/>
                <w:szCs w:val="24"/>
                <w:highlight w:val="none"/>
                <w:lang w:eastAsia="zh-CN"/>
                <w14:textFill>
                  <w14:solidFill>
                    <w14:schemeClr w14:val="tx1"/>
                  </w14:solidFill>
                </w14:textFill>
              </w:rPr>
              <w:t>〕</w:t>
            </w:r>
            <w:r>
              <w:rPr>
                <w:rFonts w:hint="eastAsia"/>
                <w:bCs/>
                <w:color w:val="000000" w:themeColor="text1"/>
                <w:sz w:val="24"/>
                <w:szCs w:val="32"/>
                <w:highlight w:val="none"/>
                <w14:textFill>
                  <w14:solidFill>
                    <w14:schemeClr w14:val="tx1"/>
                  </w14:solidFill>
                </w14:textFill>
              </w:rPr>
              <w:t>33 号)规定，“原则上不开展环境质量现状调查。建设项目存在土壤、地下水环境污染途径的，应结合污染源、保护目标分布情况开展现状调查以留作背景值。</w:t>
            </w:r>
          </w:p>
          <w:p w14:paraId="353101FD">
            <w:pPr>
              <w:spacing w:line="360" w:lineRule="auto"/>
              <w:ind w:firstLine="480" w:firstLineChars="200"/>
              <w:rPr>
                <w:bCs/>
                <w:color w:val="000000" w:themeColor="text1"/>
                <w:sz w:val="24"/>
                <w:szCs w:val="32"/>
                <w:highlight w:val="none"/>
                <w14:textFill>
                  <w14:solidFill>
                    <w14:schemeClr w14:val="tx1"/>
                  </w14:solidFill>
                </w14:textFill>
              </w:rPr>
            </w:pPr>
            <w:r>
              <w:rPr>
                <w:rFonts w:hint="eastAsia"/>
                <w:bCs/>
                <w:color w:val="000000" w:themeColor="text1"/>
                <w:sz w:val="24"/>
                <w:szCs w:val="32"/>
                <w:highlight w:val="none"/>
                <w14:textFill>
                  <w14:solidFill>
                    <w14:schemeClr w14:val="tx1"/>
                  </w14:solidFill>
                </w14:textFill>
              </w:rPr>
              <w:t>根据现场勘查，周边以工业企业为主</w:t>
            </w:r>
            <w:r>
              <w:rPr>
                <w:rFonts w:hint="eastAsia"/>
                <w:bCs/>
                <w:color w:val="000000" w:themeColor="text1"/>
                <w:sz w:val="24"/>
                <w:szCs w:val="32"/>
                <w:highlight w:val="none"/>
                <w:lang w:eastAsia="zh-CN"/>
                <w14:textFill>
                  <w14:solidFill>
                    <w14:schemeClr w14:val="tx1"/>
                  </w14:solidFill>
                </w14:textFill>
              </w:rPr>
              <w:t>；</w:t>
            </w:r>
            <w:r>
              <w:rPr>
                <w:rFonts w:hint="eastAsia"/>
                <w:bCs/>
                <w:color w:val="000000" w:themeColor="text1"/>
                <w:sz w:val="24"/>
                <w:szCs w:val="32"/>
                <w:highlight w:val="none"/>
                <w14:textFill>
                  <w14:solidFill>
                    <w14:schemeClr w14:val="tx1"/>
                  </w14:solidFill>
                </w14:textFill>
              </w:rPr>
              <w:t>项目周边地下水、土壤环境相对不敏感，采取有效的防渗措施后，项目对地下水、土壤环境影响很小，基本不存在</w:t>
            </w:r>
            <w:r>
              <w:rPr>
                <w:rFonts w:hint="eastAsia"/>
                <w:bCs/>
                <w:color w:val="000000" w:themeColor="text1"/>
                <w:sz w:val="24"/>
                <w:szCs w:val="32"/>
                <w:highlight w:val="none"/>
                <w:lang w:eastAsia="zh-CN"/>
                <w14:textFill>
                  <w14:solidFill>
                    <w14:schemeClr w14:val="tx1"/>
                  </w14:solidFill>
                </w14:textFill>
              </w:rPr>
              <w:t>土壤</w:t>
            </w:r>
            <w:r>
              <w:rPr>
                <w:rFonts w:hint="eastAsia"/>
                <w:bCs/>
                <w:color w:val="000000" w:themeColor="text1"/>
                <w:sz w:val="24"/>
                <w:szCs w:val="32"/>
                <w:highlight w:val="none"/>
                <w14:textFill>
                  <w14:solidFill>
                    <w14:schemeClr w14:val="tx1"/>
                  </w14:solidFill>
                </w14:textFill>
              </w:rPr>
              <w:t>、地下水环境污染途径，因此，本评价不对项目地下水、土壤环境质量进行补充监测。</w:t>
            </w:r>
          </w:p>
          <w:p w14:paraId="73C28103">
            <w:pPr>
              <w:pStyle w:val="37"/>
              <w:rPr>
                <w:color w:val="000000" w:themeColor="text1"/>
                <w:sz w:val="24"/>
                <w:szCs w:val="21"/>
                <w:highlight w:val="none"/>
                <w14:textFill>
                  <w14:solidFill>
                    <w14:schemeClr w14:val="tx1"/>
                  </w14:solidFill>
                </w14:textFill>
              </w:rPr>
            </w:pPr>
            <w:r>
              <w:rPr>
                <w:color w:val="000000" w:themeColor="text1"/>
                <w:sz w:val="24"/>
                <w:szCs w:val="21"/>
                <w:highlight w:val="none"/>
                <w14:textFill>
                  <w14:solidFill>
                    <w14:schemeClr w14:val="tx1"/>
                  </w14:solidFill>
                </w14:textFill>
              </w:rPr>
              <w:t>3.</w:t>
            </w:r>
            <w:r>
              <w:rPr>
                <w:rFonts w:hint="eastAsia"/>
                <w:color w:val="000000" w:themeColor="text1"/>
                <w:sz w:val="24"/>
                <w:szCs w:val="21"/>
                <w:highlight w:val="none"/>
                <w:lang w:val="en-US" w:eastAsia="zh-CN"/>
                <w14:textFill>
                  <w14:solidFill>
                    <w14:schemeClr w14:val="tx1"/>
                  </w14:solidFill>
                </w14:textFill>
              </w:rPr>
              <w:t>5</w:t>
            </w:r>
            <w:r>
              <w:rPr>
                <w:color w:val="000000" w:themeColor="text1"/>
                <w:sz w:val="24"/>
                <w:szCs w:val="21"/>
                <w:highlight w:val="none"/>
                <w14:textFill>
                  <w14:solidFill>
                    <w14:schemeClr w14:val="tx1"/>
                  </w14:solidFill>
                </w14:textFill>
              </w:rPr>
              <w:t xml:space="preserve"> </w:t>
            </w:r>
            <w:r>
              <w:rPr>
                <w:rFonts w:hint="eastAsia"/>
                <w:color w:val="000000" w:themeColor="text1"/>
                <w:sz w:val="24"/>
                <w:szCs w:val="21"/>
                <w:highlight w:val="none"/>
                <w:lang w:val="en-US" w:eastAsia="zh-CN"/>
                <w14:textFill>
                  <w14:solidFill>
                    <w14:schemeClr w14:val="tx1"/>
                  </w14:solidFill>
                </w14:textFill>
              </w:rPr>
              <w:t>生态</w:t>
            </w:r>
            <w:r>
              <w:rPr>
                <w:color w:val="000000" w:themeColor="text1"/>
                <w:sz w:val="24"/>
                <w:szCs w:val="21"/>
                <w:highlight w:val="none"/>
                <w14:textFill>
                  <w14:solidFill>
                    <w14:schemeClr w14:val="tx1"/>
                  </w14:solidFill>
                </w14:textFill>
              </w:rPr>
              <w:t>环境</w:t>
            </w:r>
            <w:r>
              <w:rPr>
                <w:rFonts w:hint="eastAsia"/>
                <w:color w:val="000000" w:themeColor="text1"/>
                <w:sz w:val="24"/>
                <w:szCs w:val="21"/>
                <w:highlight w:val="none"/>
                <w:lang w:val="en-US" w:eastAsia="zh-CN"/>
                <w14:textFill>
                  <w14:solidFill>
                    <w14:schemeClr w14:val="tx1"/>
                  </w14:solidFill>
                </w14:textFill>
              </w:rPr>
              <w:t>现状调查</w:t>
            </w:r>
          </w:p>
          <w:p w14:paraId="2ED4AFDB">
            <w:pPr>
              <w:spacing w:line="360" w:lineRule="auto"/>
              <w:ind w:firstLine="480" w:firstLineChars="200"/>
              <w:rPr>
                <w:rFonts w:hint="eastAsia"/>
                <w:bCs/>
                <w:color w:val="000000" w:themeColor="text1"/>
                <w:sz w:val="24"/>
                <w:szCs w:val="32"/>
                <w:highlight w:val="none"/>
                <w14:textFill>
                  <w14:solidFill>
                    <w14:schemeClr w14:val="tx1"/>
                  </w14:solidFill>
                </w14:textFill>
              </w:rPr>
            </w:pPr>
            <w:r>
              <w:rPr>
                <w:rFonts w:hint="eastAsia"/>
                <w:bCs/>
                <w:color w:val="000000" w:themeColor="text1"/>
                <w:sz w:val="24"/>
                <w:szCs w:val="32"/>
                <w:highlight w:val="none"/>
                <w14:textFill>
                  <w14:solidFill>
                    <w14:schemeClr w14:val="tx1"/>
                  </w14:solidFill>
                </w14:textFill>
              </w:rPr>
              <w:t>本项目租用位于福州市高新区南屿镇窗厦村尧溪路3号</w:t>
            </w:r>
            <w:r>
              <w:rPr>
                <w:rFonts w:hint="eastAsia"/>
                <w:bCs/>
                <w:color w:val="000000" w:themeColor="text1"/>
                <w:sz w:val="24"/>
                <w:szCs w:val="32"/>
                <w:highlight w:val="none"/>
                <w:lang w:val="en-US" w:eastAsia="zh-CN"/>
                <w14:textFill>
                  <w14:solidFill>
                    <w14:schemeClr w14:val="tx1"/>
                  </w14:solidFill>
                </w14:textFill>
              </w:rPr>
              <w:t>1</w:t>
            </w:r>
            <w:r>
              <w:rPr>
                <w:rFonts w:hint="eastAsia"/>
                <w:bCs/>
                <w:color w:val="000000" w:themeColor="text1"/>
                <w:sz w:val="24"/>
                <w:szCs w:val="32"/>
                <w:highlight w:val="none"/>
                <w14:textFill>
                  <w14:solidFill>
                    <w14:schemeClr w14:val="tx1"/>
                  </w14:solidFill>
                </w14:textFill>
              </w:rPr>
              <w:t>#厂房</w:t>
            </w:r>
            <w:r>
              <w:rPr>
                <w:rFonts w:hint="eastAsia"/>
                <w:bCs/>
                <w:color w:val="000000" w:themeColor="text1"/>
                <w:sz w:val="24"/>
                <w:szCs w:val="32"/>
                <w:highlight w:val="none"/>
                <w:lang w:val="en-US" w:eastAsia="zh-CN"/>
                <w14:textFill>
                  <w14:solidFill>
                    <w14:schemeClr w14:val="tx1"/>
                  </w14:solidFill>
                </w14:textFill>
              </w:rPr>
              <w:t>1</w:t>
            </w:r>
            <w:r>
              <w:rPr>
                <w:rFonts w:hint="eastAsia"/>
                <w:bCs/>
                <w:color w:val="000000" w:themeColor="text1"/>
                <w:sz w:val="24"/>
                <w:szCs w:val="32"/>
                <w:highlight w:val="none"/>
                <w14:textFill>
                  <w14:solidFill>
                    <w14:schemeClr w14:val="tx1"/>
                  </w14:solidFill>
                </w14:textFill>
              </w:rPr>
              <w:t>层的工业厂房，项目厂房主体均已建成；根据调查，项目用地周边为城市道路、其他企业及居住用地等，项目评价区域主要植被为草坪、行道树等景观树种，主要动物为常见的蛙类、鸟类和昆虫类等，评价区域内无珍稀濒危物种、自然保护区、风景名胜区等生态敏感目标，调查区域也未发现国家重点保护的野生动植物等，因此，本环评不对生态环境现状进行评价。</w:t>
            </w:r>
          </w:p>
        </w:tc>
      </w:tr>
      <w:tr w14:paraId="231BF5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2" w:type="dxa"/>
          <w:trHeight w:val="5155" w:hRule="atLeast"/>
          <w:jc w:val="center"/>
        </w:trPr>
        <w:tc>
          <w:tcPr>
            <w:tcW w:w="423" w:type="dxa"/>
            <w:tcMar>
              <w:left w:w="28" w:type="dxa"/>
              <w:right w:w="28" w:type="dxa"/>
            </w:tcMar>
            <w:vAlign w:val="center"/>
          </w:tcPr>
          <w:p w14:paraId="1B6E7101">
            <w:pPr>
              <w:pStyle w:val="26"/>
              <w:adjustRightInd w:val="0"/>
              <w:snapToGrid w:val="0"/>
              <w:spacing w:before="0" w:beforeAutospacing="0" w:after="0" w:afterAutospacing="0"/>
              <w:jc w:val="center"/>
              <w:rPr>
                <w:rFonts w:cs="宋体"/>
                <w:bCs/>
                <w:color w:val="000000" w:themeColor="text1"/>
                <w:kern w:val="2"/>
                <w:sz w:val="21"/>
                <w:szCs w:val="21"/>
                <w:highlight w:val="none"/>
                <w14:textFill>
                  <w14:solidFill>
                    <w14:schemeClr w14:val="tx1"/>
                  </w14:solidFill>
                </w14:textFill>
              </w:rPr>
            </w:pPr>
            <w:r>
              <w:rPr>
                <w:rFonts w:hint="eastAsia" w:cs="宋体"/>
                <w:bCs/>
                <w:color w:val="000000" w:themeColor="text1"/>
                <w:kern w:val="2"/>
                <w:sz w:val="21"/>
                <w:szCs w:val="21"/>
                <w:highlight w:val="none"/>
                <w14:textFill>
                  <w14:solidFill>
                    <w14:schemeClr w14:val="tx1"/>
                  </w14:solidFill>
                </w14:textFill>
              </w:rPr>
              <w:t>环境保护目标</w:t>
            </w:r>
          </w:p>
        </w:tc>
        <w:tc>
          <w:tcPr>
            <w:tcW w:w="8606" w:type="dxa"/>
            <w:vAlign w:val="center"/>
          </w:tcPr>
          <w:p w14:paraId="76F202EF">
            <w:pPr>
              <w:pStyle w:val="37"/>
              <w:rPr>
                <w:color w:val="000000" w:themeColor="text1"/>
                <w:sz w:val="24"/>
                <w:szCs w:val="21"/>
                <w:highlight w:val="none"/>
                <w14:textFill>
                  <w14:solidFill>
                    <w14:schemeClr w14:val="tx1"/>
                  </w14:solidFill>
                </w14:textFill>
              </w:rPr>
            </w:pPr>
            <w:r>
              <w:rPr>
                <w:color w:val="000000" w:themeColor="text1"/>
                <w:sz w:val="24"/>
                <w:szCs w:val="21"/>
                <w:highlight w:val="none"/>
                <w14:textFill>
                  <w14:solidFill>
                    <w14:schemeClr w14:val="tx1"/>
                  </w14:solidFill>
                </w14:textFill>
              </w:rPr>
              <w:t xml:space="preserve">3.6 </w:t>
            </w:r>
            <w:r>
              <w:rPr>
                <w:rFonts w:hint="eastAsia"/>
                <w:color w:val="000000" w:themeColor="text1"/>
                <w:sz w:val="24"/>
                <w:szCs w:val="21"/>
                <w:highlight w:val="none"/>
                <w14:textFill>
                  <w14:solidFill>
                    <w14:schemeClr w14:val="tx1"/>
                  </w14:solidFill>
                </w14:textFill>
              </w:rPr>
              <w:t>环境保护目标</w:t>
            </w:r>
          </w:p>
          <w:p w14:paraId="3D678748">
            <w:pPr>
              <w:spacing w:line="360" w:lineRule="auto"/>
              <w:ind w:firstLine="480" w:firstLineChars="200"/>
              <w:rPr>
                <w:rFonts w:hint="default" w:eastAsia="宋体" w:cs="宋体"/>
                <w:color w:val="000000" w:themeColor="text1"/>
                <w:sz w:val="24"/>
                <w:szCs w:val="24"/>
                <w:highlight w:val="none"/>
                <w:lang w:val="en-US" w:eastAsia="zh-CN"/>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根据</w:t>
            </w:r>
            <w:r>
              <w:rPr>
                <w:rFonts w:hint="eastAsia" w:cs="宋体"/>
                <w:color w:val="000000" w:themeColor="text1"/>
                <w:sz w:val="24"/>
                <w:szCs w:val="24"/>
                <w:highlight w:val="none"/>
                <w:lang w:eastAsia="zh-CN"/>
                <w14:textFill>
                  <w14:solidFill>
                    <w14:schemeClr w14:val="tx1"/>
                  </w14:solidFill>
                </w14:textFill>
              </w:rPr>
              <w:t>现场勘查</w:t>
            </w:r>
            <w:r>
              <w:rPr>
                <w:rFonts w:hint="eastAsia" w:cs="宋体"/>
                <w:color w:val="000000" w:themeColor="text1"/>
                <w:sz w:val="24"/>
                <w:szCs w:val="24"/>
                <w:highlight w:val="none"/>
                <w14:textFill>
                  <w14:solidFill>
                    <w14:schemeClr w14:val="tx1"/>
                  </w14:solidFill>
                </w14:textFill>
              </w:rPr>
              <w:t>，</w:t>
            </w:r>
            <w:r>
              <w:rPr>
                <w:rFonts w:hint="eastAsia" w:cs="宋体"/>
                <w:color w:val="000000" w:themeColor="text1"/>
                <w:sz w:val="24"/>
                <w:szCs w:val="24"/>
                <w:highlight w:val="none"/>
                <w:lang w:val="en-US" w:eastAsia="zh-CN"/>
                <w14:textFill>
                  <w14:solidFill>
                    <w14:schemeClr w14:val="tx1"/>
                  </w14:solidFill>
                </w14:textFill>
              </w:rPr>
              <w:t>项目北侧为尧溪路，东侧约20m为信创产业园3号楼，楼里主要是福州华创职培基地等产业孵化基地，南侧为至期光子现有工程，西侧为甬莞高速。</w:t>
            </w:r>
            <w:r>
              <w:rPr>
                <w:rFonts w:hint="eastAsia" w:cs="宋体"/>
                <w:color w:val="000000" w:themeColor="text1"/>
                <w:sz w:val="24"/>
                <w:szCs w:val="24"/>
                <w:highlight w:val="none"/>
                <w14:textFill>
                  <w14:solidFill>
                    <w14:schemeClr w14:val="tx1"/>
                  </w14:solidFill>
                </w14:textFill>
              </w:rPr>
              <w:t>项目</w:t>
            </w:r>
            <w:r>
              <w:rPr>
                <w:rFonts w:hint="eastAsia"/>
                <w:color w:val="000000" w:themeColor="text1"/>
                <w:sz w:val="24"/>
                <w:szCs w:val="24"/>
                <w:highlight w:val="none"/>
                <w:lang w:val="en-US" w:eastAsia="zh-CN"/>
                <w14:textFill>
                  <w14:solidFill>
                    <w14:schemeClr w14:val="tx1"/>
                  </w14:solidFill>
                </w14:textFill>
              </w:rPr>
              <w:t>周边</w:t>
            </w:r>
            <w:r>
              <w:rPr>
                <w:rFonts w:hint="eastAsia" w:cs="宋体"/>
                <w:color w:val="000000" w:themeColor="text1"/>
                <w:sz w:val="24"/>
                <w:szCs w:val="24"/>
                <w:highlight w:val="none"/>
                <w14:textFill>
                  <w14:solidFill>
                    <w14:schemeClr w14:val="tx1"/>
                  </w14:solidFill>
                </w14:textFill>
              </w:rPr>
              <w:t>涉及的环境保护目标见</w:t>
            </w:r>
            <w:r>
              <w:rPr>
                <w:rFonts w:hint="eastAsia" w:cs="宋体"/>
                <w:color w:val="000000" w:themeColor="text1"/>
                <w:sz w:val="24"/>
                <w:szCs w:val="24"/>
                <w:highlight w:val="none"/>
                <w:lang w:val="en-US" w:eastAsia="zh-CN"/>
                <w14:textFill>
                  <w14:solidFill>
                    <w14:schemeClr w14:val="tx1"/>
                  </w14:solidFill>
                </w14:textFill>
              </w:rPr>
              <w:t>下</w:t>
            </w:r>
            <w:r>
              <w:rPr>
                <w:rFonts w:hint="eastAsia" w:cs="宋体"/>
                <w:color w:val="000000" w:themeColor="text1"/>
                <w:sz w:val="24"/>
                <w:szCs w:val="24"/>
                <w:highlight w:val="none"/>
                <w14:textFill>
                  <w14:solidFill>
                    <w14:schemeClr w14:val="tx1"/>
                  </w14:solidFill>
                </w14:textFill>
              </w:rPr>
              <w:t>表</w:t>
            </w:r>
            <w:r>
              <w:rPr>
                <w:rFonts w:hint="eastAsia" w:cs="宋体"/>
                <w:color w:val="000000" w:themeColor="text1"/>
                <w:sz w:val="24"/>
                <w:szCs w:val="24"/>
                <w:highlight w:val="none"/>
                <w:lang w:eastAsia="zh-CN"/>
                <w14:textFill>
                  <w14:solidFill>
                    <w14:schemeClr w14:val="tx1"/>
                  </w14:solidFill>
                </w14:textFill>
              </w:rPr>
              <w:t>，</w:t>
            </w:r>
            <w:r>
              <w:rPr>
                <w:rFonts w:hint="eastAsia" w:cs="宋体"/>
                <w:color w:val="000000" w:themeColor="text1"/>
                <w:sz w:val="24"/>
                <w:szCs w:val="24"/>
                <w:highlight w:val="none"/>
                <w:lang w:val="en-US" w:eastAsia="zh-CN"/>
                <w14:textFill>
                  <w14:solidFill>
                    <w14:schemeClr w14:val="tx1"/>
                  </w14:solidFill>
                </w14:textFill>
              </w:rPr>
              <w:t>环保目标图见附图5。</w:t>
            </w:r>
          </w:p>
          <w:p w14:paraId="47BDA3C2">
            <w:pPr>
              <w:spacing w:line="360" w:lineRule="auto"/>
              <w:jc w:val="center"/>
              <w:rPr>
                <w:b/>
                <w:color w:val="000000" w:themeColor="text1"/>
                <w:sz w:val="24"/>
                <w:szCs w:val="24"/>
                <w:highlight w:val="none"/>
                <w14:textFill>
                  <w14:solidFill>
                    <w14:schemeClr w14:val="tx1"/>
                  </w14:solidFill>
                </w14:textFill>
              </w:rPr>
            </w:pPr>
            <w:r>
              <w:rPr>
                <w:rFonts w:hint="eastAsia" w:cs="宋体"/>
                <w:b/>
                <w:color w:val="000000" w:themeColor="text1"/>
                <w:sz w:val="24"/>
                <w:szCs w:val="24"/>
                <w:highlight w:val="none"/>
                <w14:textFill>
                  <w14:solidFill>
                    <w14:schemeClr w14:val="tx1"/>
                  </w14:solidFill>
                </w14:textFill>
              </w:rPr>
              <w:t>表</w:t>
            </w:r>
            <w:r>
              <w:rPr>
                <w:b/>
                <w:color w:val="000000" w:themeColor="text1"/>
                <w:sz w:val="24"/>
                <w:szCs w:val="24"/>
                <w:highlight w:val="none"/>
                <w14:textFill>
                  <w14:solidFill>
                    <w14:schemeClr w14:val="tx1"/>
                  </w14:solidFill>
                </w14:textFill>
              </w:rPr>
              <w:t>3</w:t>
            </w:r>
            <w:r>
              <w:rPr>
                <w:rFonts w:hint="eastAsia"/>
                <w:b/>
                <w:color w:val="000000" w:themeColor="text1"/>
                <w:sz w:val="24"/>
                <w:szCs w:val="24"/>
                <w:highlight w:val="none"/>
                <w:lang w:val="en-US" w:eastAsia="zh-CN"/>
                <w14:textFill>
                  <w14:solidFill>
                    <w14:schemeClr w14:val="tx1"/>
                  </w14:solidFill>
                </w14:textFill>
              </w:rPr>
              <w:t>.6</w:t>
            </w:r>
            <w:r>
              <w:rPr>
                <w:b/>
                <w:color w:val="000000" w:themeColor="text1"/>
                <w:sz w:val="24"/>
                <w:szCs w:val="24"/>
                <w:highlight w:val="none"/>
                <w14:textFill>
                  <w14:solidFill>
                    <w14:schemeClr w14:val="tx1"/>
                  </w14:solidFill>
                </w14:textFill>
              </w:rPr>
              <w:t>-</w:t>
            </w:r>
            <w:r>
              <w:rPr>
                <w:rFonts w:hint="eastAsia"/>
                <w:b/>
                <w:color w:val="000000" w:themeColor="text1"/>
                <w:sz w:val="24"/>
                <w:szCs w:val="24"/>
                <w:highlight w:val="none"/>
                <w:lang w:val="en-US" w:eastAsia="zh-CN"/>
                <w14:textFill>
                  <w14:solidFill>
                    <w14:schemeClr w14:val="tx1"/>
                  </w14:solidFill>
                </w14:textFill>
              </w:rPr>
              <w:t>1</w:t>
            </w:r>
            <w:r>
              <w:rPr>
                <w:b/>
                <w:color w:val="000000" w:themeColor="text1"/>
                <w:sz w:val="24"/>
                <w:szCs w:val="24"/>
                <w:highlight w:val="none"/>
                <w14:textFill>
                  <w14:solidFill>
                    <w14:schemeClr w14:val="tx1"/>
                  </w14:solidFill>
                </w14:textFill>
              </w:rPr>
              <w:t xml:space="preserve">  </w:t>
            </w:r>
            <w:r>
              <w:rPr>
                <w:rFonts w:hint="eastAsia"/>
                <w:b/>
                <w:color w:val="000000" w:themeColor="text1"/>
                <w:sz w:val="24"/>
                <w:szCs w:val="24"/>
                <w:highlight w:val="none"/>
                <w14:textFill>
                  <w14:solidFill>
                    <w14:schemeClr w14:val="tx1"/>
                  </w14:solidFill>
                </w14:textFill>
              </w:rPr>
              <w:t>本项目环境保护目标</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221"/>
              <w:gridCol w:w="990"/>
              <w:gridCol w:w="1607"/>
              <w:gridCol w:w="1633"/>
              <w:gridCol w:w="2929"/>
            </w:tblGrid>
            <w:tr w14:paraId="09355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trPr>
              <w:tc>
                <w:tcPr>
                  <w:tcW w:w="1221" w:type="dxa"/>
                  <w:shd w:val="clear" w:color="auto" w:fill="auto"/>
                  <w:vAlign w:val="center"/>
                </w:tcPr>
                <w:p w14:paraId="514011B5">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环境要素</w:t>
                  </w:r>
                </w:p>
              </w:tc>
              <w:tc>
                <w:tcPr>
                  <w:tcW w:w="990" w:type="dxa"/>
                  <w:shd w:val="clear" w:color="auto" w:fill="auto"/>
                  <w:vAlign w:val="center"/>
                </w:tcPr>
                <w:p w14:paraId="21F42A7E">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名称</w:t>
                  </w:r>
                </w:p>
              </w:tc>
              <w:tc>
                <w:tcPr>
                  <w:tcW w:w="1607" w:type="dxa"/>
                  <w:shd w:val="clear" w:color="auto" w:fill="auto"/>
                  <w:vAlign w:val="center"/>
                </w:tcPr>
                <w:p w14:paraId="68BA9488">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与项目厂界的方位和最近距离</w:t>
                  </w:r>
                </w:p>
              </w:tc>
              <w:tc>
                <w:tcPr>
                  <w:tcW w:w="1633" w:type="dxa"/>
                  <w:shd w:val="clear" w:color="auto" w:fill="auto"/>
                  <w:vAlign w:val="center"/>
                </w:tcPr>
                <w:p w14:paraId="58E1071D">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保护对象</w:t>
                  </w:r>
                </w:p>
              </w:tc>
              <w:tc>
                <w:tcPr>
                  <w:tcW w:w="2929" w:type="dxa"/>
                  <w:shd w:val="clear" w:color="auto" w:fill="auto"/>
                  <w:vAlign w:val="center"/>
                </w:tcPr>
                <w:p w14:paraId="4BDAB7FB">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环境保护要求</w:t>
                  </w:r>
                </w:p>
              </w:tc>
            </w:tr>
            <w:tr w14:paraId="04DD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trPr>
              <w:tc>
                <w:tcPr>
                  <w:tcW w:w="1221" w:type="dxa"/>
                  <w:vMerge w:val="restart"/>
                  <w:shd w:val="clear" w:color="auto" w:fill="auto"/>
                  <w:vAlign w:val="center"/>
                </w:tcPr>
                <w:p w14:paraId="18264E98">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环境空气</w:t>
                  </w:r>
                </w:p>
              </w:tc>
              <w:tc>
                <w:tcPr>
                  <w:tcW w:w="990" w:type="dxa"/>
                  <w:shd w:val="clear" w:color="auto" w:fill="auto"/>
                  <w:vAlign w:val="center"/>
                </w:tcPr>
                <w:p w14:paraId="2EF79E7D">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南湖公寓</w:t>
                  </w:r>
                </w:p>
              </w:tc>
              <w:tc>
                <w:tcPr>
                  <w:tcW w:w="1607" w:type="dxa"/>
                  <w:shd w:val="clear" w:color="auto" w:fill="auto"/>
                  <w:vAlign w:val="center"/>
                </w:tcPr>
                <w:p w14:paraId="33634A1A">
                  <w:pPr>
                    <w:jc w:val="center"/>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西侧，220m</w:t>
                  </w:r>
                </w:p>
              </w:tc>
              <w:tc>
                <w:tcPr>
                  <w:tcW w:w="1633" w:type="dxa"/>
                  <w:shd w:val="clear" w:color="auto" w:fill="auto"/>
                  <w:vAlign w:val="center"/>
                </w:tcPr>
                <w:p w14:paraId="031E94B3">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居民，约3500人</w:t>
                  </w:r>
                </w:p>
              </w:tc>
              <w:tc>
                <w:tcPr>
                  <w:tcW w:w="2929" w:type="dxa"/>
                  <w:vMerge w:val="restart"/>
                  <w:shd w:val="clear" w:color="auto" w:fill="auto"/>
                  <w:vAlign w:val="center"/>
                </w:tcPr>
                <w:p w14:paraId="473B54EB">
                  <w:pPr>
                    <w:jc w:val="center"/>
                    <w:rPr>
                      <w:rFonts w:hint="eastAsia"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《环境空气质量标准》</w:t>
                  </w:r>
                  <w:r>
                    <w:rPr>
                      <w:rFonts w:hint="eastAsia"/>
                      <w:color w:val="000000" w:themeColor="text1"/>
                      <w:sz w:val="21"/>
                      <w:szCs w:val="21"/>
                      <w:highlight w:val="none"/>
                      <w:lang w:eastAsia="zh-CN"/>
                      <w14:textFill>
                        <w14:solidFill>
                          <w14:schemeClr w14:val="tx1"/>
                        </w14:solidFill>
                      </w14:textFill>
                    </w:rPr>
                    <w:t>（</w:t>
                  </w:r>
                  <w:r>
                    <w:rPr>
                      <w:color w:val="000000" w:themeColor="text1"/>
                      <w:sz w:val="21"/>
                      <w:szCs w:val="21"/>
                      <w:highlight w:val="none"/>
                      <w14:textFill>
                        <w14:solidFill>
                          <w14:schemeClr w14:val="tx1"/>
                        </w14:solidFill>
                      </w14:textFill>
                    </w:rPr>
                    <w:t>GB3095-20</w:t>
                  </w:r>
                  <w:r>
                    <w:rPr>
                      <w:rFonts w:hint="eastAsia"/>
                      <w:color w:val="000000" w:themeColor="text1"/>
                      <w:sz w:val="21"/>
                      <w:szCs w:val="21"/>
                      <w:highlight w:val="none"/>
                      <w:lang w:val="en-US" w:eastAsia="zh-CN"/>
                      <w14:textFill>
                        <w14:solidFill>
                          <w14:schemeClr w14:val="tx1"/>
                        </w14:solidFill>
                      </w14:textFill>
                    </w:rPr>
                    <w:t>26</w:t>
                  </w:r>
                  <w:r>
                    <w:rPr>
                      <w:rFonts w:hint="eastAsia"/>
                      <w:color w:val="000000" w:themeColor="text1"/>
                      <w:sz w:val="21"/>
                      <w:szCs w:val="21"/>
                      <w:highlight w:val="none"/>
                      <w14:textFill>
                        <w14:solidFill>
                          <w14:schemeClr w14:val="tx1"/>
                        </w14:solidFill>
                      </w14:textFill>
                    </w:rPr>
                    <w:t>）中的二级标准</w:t>
                  </w:r>
                </w:p>
              </w:tc>
            </w:tr>
            <w:tr w14:paraId="71E73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trPr>
              <w:tc>
                <w:tcPr>
                  <w:tcW w:w="1221" w:type="dxa"/>
                  <w:vMerge w:val="continue"/>
                  <w:shd w:val="clear" w:color="auto" w:fill="auto"/>
                  <w:vAlign w:val="center"/>
                </w:tcPr>
                <w:p w14:paraId="47620F82">
                  <w:pPr>
                    <w:jc w:val="center"/>
                    <w:rPr>
                      <w:rFonts w:hint="eastAsia"/>
                      <w:color w:val="000000" w:themeColor="text1"/>
                      <w:sz w:val="21"/>
                      <w:szCs w:val="21"/>
                      <w:highlight w:val="none"/>
                      <w:lang w:val="en-US" w:eastAsia="zh-CN"/>
                      <w14:textFill>
                        <w14:solidFill>
                          <w14:schemeClr w14:val="tx1"/>
                        </w14:solidFill>
                      </w14:textFill>
                    </w:rPr>
                  </w:pPr>
                </w:p>
              </w:tc>
              <w:tc>
                <w:tcPr>
                  <w:tcW w:w="990" w:type="dxa"/>
                  <w:shd w:val="clear" w:color="auto" w:fill="auto"/>
                  <w:vAlign w:val="center"/>
                </w:tcPr>
                <w:p w14:paraId="12593E4E">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阳光城丽景湾</w:t>
                  </w:r>
                </w:p>
              </w:tc>
              <w:tc>
                <w:tcPr>
                  <w:tcW w:w="1607" w:type="dxa"/>
                  <w:shd w:val="clear" w:color="auto" w:fill="auto"/>
                  <w:vAlign w:val="center"/>
                </w:tcPr>
                <w:p w14:paraId="0601F7B5">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东南侧，390m</w:t>
                  </w:r>
                </w:p>
              </w:tc>
              <w:tc>
                <w:tcPr>
                  <w:tcW w:w="1633" w:type="dxa"/>
                  <w:shd w:val="clear" w:color="auto" w:fill="auto"/>
                  <w:vAlign w:val="center"/>
                </w:tcPr>
                <w:p w14:paraId="32312BD2">
                  <w:pPr>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居民，约2000人</w:t>
                  </w:r>
                </w:p>
              </w:tc>
              <w:tc>
                <w:tcPr>
                  <w:tcW w:w="2929" w:type="dxa"/>
                  <w:vMerge w:val="continue"/>
                  <w:shd w:val="clear" w:color="auto" w:fill="auto"/>
                  <w:vAlign w:val="center"/>
                </w:tcPr>
                <w:p w14:paraId="30472573">
                  <w:pPr>
                    <w:jc w:val="center"/>
                    <w:rPr>
                      <w:rFonts w:hint="eastAsia"/>
                      <w:color w:val="000000" w:themeColor="text1"/>
                      <w:sz w:val="21"/>
                      <w:szCs w:val="21"/>
                      <w:highlight w:val="none"/>
                      <w14:textFill>
                        <w14:solidFill>
                          <w14:schemeClr w14:val="tx1"/>
                        </w14:solidFill>
                      </w14:textFill>
                    </w:rPr>
                  </w:pPr>
                </w:p>
              </w:tc>
            </w:tr>
            <w:tr w14:paraId="219BF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trPr>
              <w:tc>
                <w:tcPr>
                  <w:tcW w:w="1221" w:type="dxa"/>
                  <w:shd w:val="clear" w:color="auto" w:fill="auto"/>
                  <w:vAlign w:val="center"/>
                </w:tcPr>
                <w:p w14:paraId="3AC1F611">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地表水</w:t>
                  </w:r>
                </w:p>
              </w:tc>
              <w:tc>
                <w:tcPr>
                  <w:tcW w:w="990" w:type="dxa"/>
                  <w:shd w:val="clear" w:color="auto" w:fill="auto"/>
                  <w:vAlign w:val="center"/>
                </w:tcPr>
                <w:p w14:paraId="4C9C0293">
                  <w:pPr>
                    <w:jc w:val="center"/>
                    <w:rPr>
                      <w:rFonts w:hint="default" w:eastAsia="宋体"/>
                      <w:color w:val="000000" w:themeColor="text1"/>
                      <w:sz w:val="21"/>
                      <w:szCs w:val="21"/>
                      <w:highlight w:val="none"/>
                      <w:lang w:val="en-US" w:eastAsia="zh-CN"/>
                      <w14:textFill>
                        <w14:solidFill>
                          <w14:schemeClr w14:val="tx1"/>
                        </w14:solidFill>
                      </w14:textFill>
                    </w:rPr>
                  </w:pPr>
                  <w:r>
                    <w:rPr>
                      <w:rFonts w:hint="default" w:eastAsia="宋体"/>
                      <w:color w:val="000000" w:themeColor="text1"/>
                      <w:sz w:val="21"/>
                      <w:szCs w:val="21"/>
                      <w:highlight w:val="none"/>
                      <w:lang w:val="en-US" w:eastAsia="zh-CN"/>
                      <w14:textFill>
                        <w14:solidFill>
                          <w14:schemeClr w14:val="tx1"/>
                        </w14:solidFill>
                      </w14:textFill>
                    </w:rPr>
                    <w:t>大樟溪</w:t>
                  </w:r>
                </w:p>
              </w:tc>
              <w:tc>
                <w:tcPr>
                  <w:tcW w:w="1607" w:type="dxa"/>
                  <w:shd w:val="clear" w:color="auto" w:fill="auto"/>
                  <w:vAlign w:val="center"/>
                </w:tcPr>
                <w:p w14:paraId="41422902">
                  <w:pPr>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东</w:t>
                  </w:r>
                  <w:r>
                    <w:rPr>
                      <w:rFonts w:hint="eastAsia"/>
                      <w:color w:val="000000" w:themeColor="text1"/>
                      <w:sz w:val="21"/>
                      <w:szCs w:val="21"/>
                      <w:highlight w:val="none"/>
                      <w:lang w:val="en-US" w:eastAsia="zh-CN"/>
                      <w14:textFill>
                        <w14:solidFill>
                          <w14:schemeClr w14:val="tx1"/>
                        </w14:solidFill>
                      </w14:textFill>
                    </w:rPr>
                    <w:t>侧，1140m</w:t>
                  </w:r>
                </w:p>
              </w:tc>
              <w:tc>
                <w:tcPr>
                  <w:tcW w:w="1633" w:type="dxa"/>
                  <w:shd w:val="clear" w:color="auto" w:fill="auto"/>
                  <w:vAlign w:val="center"/>
                </w:tcPr>
                <w:p w14:paraId="0F6A0E8D">
                  <w:pPr>
                    <w:jc w:val="center"/>
                    <w:rPr>
                      <w:rFonts w:hint="default"/>
                      <w:color w:val="000000" w:themeColor="text1"/>
                      <w:sz w:val="21"/>
                      <w:szCs w:val="21"/>
                      <w:highlight w:val="none"/>
                      <w:lang w:val="en-US"/>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大樟溪水质</w:t>
                  </w:r>
                </w:p>
              </w:tc>
              <w:tc>
                <w:tcPr>
                  <w:tcW w:w="2929" w:type="dxa"/>
                  <w:shd w:val="clear" w:color="auto" w:fill="auto"/>
                  <w:vAlign w:val="center"/>
                </w:tcPr>
                <w:p w14:paraId="7BC97574">
                  <w:pPr>
                    <w:jc w:val="cente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《地表水环境质量标准》(GB3838-2002)</w:t>
                  </w:r>
                  <w:r>
                    <w:rPr>
                      <w:rFonts w:hint="eastAsia"/>
                      <w:color w:val="000000" w:themeColor="text1"/>
                      <w:sz w:val="21"/>
                      <w:szCs w:val="21"/>
                      <w:highlight w:val="none"/>
                      <w:lang w:val="en-US" w:eastAsia="zh-CN"/>
                      <w14:textFill>
                        <w14:solidFill>
                          <w14:schemeClr w14:val="tx1"/>
                        </w14:solidFill>
                      </w14:textFill>
                    </w:rPr>
                    <w:t>Ⅲ</w:t>
                  </w:r>
                  <w:r>
                    <w:rPr>
                      <w:rFonts w:hint="eastAsia"/>
                      <w:color w:val="000000" w:themeColor="text1"/>
                      <w:sz w:val="21"/>
                      <w:szCs w:val="21"/>
                      <w:highlight w:val="none"/>
                      <w:lang w:eastAsia="zh-CN"/>
                      <w14:textFill>
                        <w14:solidFill>
                          <w14:schemeClr w14:val="tx1"/>
                        </w14:solidFill>
                      </w14:textFill>
                    </w:rPr>
                    <w:t>类标准</w:t>
                  </w:r>
                </w:p>
              </w:tc>
            </w:tr>
            <w:tr w14:paraId="48D9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trPr>
              <w:tc>
                <w:tcPr>
                  <w:tcW w:w="1221" w:type="dxa"/>
                  <w:shd w:val="clear" w:color="auto" w:fill="auto"/>
                  <w:vAlign w:val="center"/>
                </w:tcPr>
                <w:p w14:paraId="30FD69E3">
                  <w:pPr>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声环境</w:t>
                  </w:r>
                </w:p>
              </w:tc>
              <w:tc>
                <w:tcPr>
                  <w:tcW w:w="7159" w:type="dxa"/>
                  <w:gridSpan w:val="4"/>
                  <w:shd w:val="clear" w:color="auto" w:fill="auto"/>
                  <w:vAlign w:val="center"/>
                </w:tcPr>
                <w:p w14:paraId="19E753BA">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项目厂界外</w:t>
                  </w:r>
                  <w:r>
                    <w:rPr>
                      <w:rFonts w:hint="eastAsia"/>
                      <w:color w:val="000000" w:themeColor="text1"/>
                      <w:sz w:val="21"/>
                      <w:szCs w:val="21"/>
                      <w:highlight w:val="none"/>
                      <w:lang w:eastAsia="zh-CN"/>
                      <w14:textFill>
                        <w14:solidFill>
                          <w14:schemeClr w14:val="tx1"/>
                        </w14:solidFill>
                      </w14:textFill>
                    </w:rPr>
                    <w:t>50m范围内</w:t>
                  </w:r>
                  <w:r>
                    <w:rPr>
                      <w:rFonts w:hint="eastAsia"/>
                      <w:color w:val="000000" w:themeColor="text1"/>
                      <w:sz w:val="21"/>
                      <w:szCs w:val="21"/>
                      <w:highlight w:val="none"/>
                      <w:lang w:val="en-US" w:eastAsia="zh-CN"/>
                      <w14:textFill>
                        <w14:solidFill>
                          <w14:schemeClr w14:val="tx1"/>
                        </w14:solidFill>
                      </w14:textFill>
                    </w:rPr>
                    <w:t>声环境保护目标。</w:t>
                  </w:r>
                </w:p>
              </w:tc>
            </w:tr>
            <w:tr w14:paraId="4FFEB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trPr>
              <w:tc>
                <w:tcPr>
                  <w:tcW w:w="1221" w:type="dxa"/>
                  <w:shd w:val="clear" w:color="auto" w:fill="auto"/>
                  <w:vAlign w:val="center"/>
                </w:tcPr>
                <w:p w14:paraId="54DCA2C2">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地下水环境</w:t>
                  </w:r>
                </w:p>
              </w:tc>
              <w:tc>
                <w:tcPr>
                  <w:tcW w:w="7159" w:type="dxa"/>
                  <w:gridSpan w:val="4"/>
                  <w:shd w:val="clear" w:color="auto" w:fill="auto"/>
                  <w:vAlign w:val="center"/>
                </w:tcPr>
                <w:p w14:paraId="0A03F486">
                  <w:pPr>
                    <w:jc w:val="center"/>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项目厂界外500m范围内无特殊地下水资源。</w:t>
                  </w:r>
                </w:p>
              </w:tc>
            </w:tr>
            <w:tr w14:paraId="469C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trPr>
              <w:tc>
                <w:tcPr>
                  <w:tcW w:w="1221" w:type="dxa"/>
                  <w:shd w:val="clear" w:color="auto" w:fill="auto"/>
                  <w:vAlign w:val="center"/>
                </w:tcPr>
                <w:p w14:paraId="4C8AAD2C">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生态环境</w:t>
                  </w:r>
                </w:p>
              </w:tc>
              <w:tc>
                <w:tcPr>
                  <w:tcW w:w="7159" w:type="dxa"/>
                  <w:gridSpan w:val="4"/>
                  <w:shd w:val="clear" w:color="auto" w:fill="auto"/>
                  <w:vAlign w:val="center"/>
                </w:tcPr>
                <w:p w14:paraId="2A7929E5">
                  <w:pPr>
                    <w:jc w:val="center"/>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本项目不属于产业园区外建设项目新增用地的</w:t>
                  </w:r>
                  <w:r>
                    <w:rPr>
                      <w:rFonts w:hint="eastAsia"/>
                      <w:color w:val="000000" w:themeColor="text1"/>
                      <w:sz w:val="21"/>
                      <w:szCs w:val="21"/>
                      <w:highlight w:val="none"/>
                      <w:lang w:val="en-US" w:eastAsia="zh-CN"/>
                      <w14:textFill>
                        <w14:solidFill>
                          <w14:schemeClr w14:val="tx1"/>
                        </w14:solidFill>
                      </w14:textFill>
                    </w:rPr>
                    <w:t>项目</w:t>
                  </w:r>
                  <w:r>
                    <w:rPr>
                      <w:rFonts w:hint="eastAsia"/>
                      <w:color w:val="000000" w:themeColor="text1"/>
                      <w:sz w:val="21"/>
                      <w:szCs w:val="21"/>
                      <w:highlight w:val="none"/>
                      <w:lang w:eastAsia="zh-CN"/>
                      <w14:textFill>
                        <w14:solidFill>
                          <w14:schemeClr w14:val="tx1"/>
                        </w14:solidFill>
                      </w14:textFill>
                    </w:rPr>
                    <w:t>。</w:t>
                  </w:r>
                </w:p>
              </w:tc>
            </w:tr>
          </w:tbl>
          <w:p w14:paraId="18BDAE28">
            <w:pPr>
              <w:spacing w:line="360" w:lineRule="auto"/>
              <w:rPr>
                <w:rFonts w:cs="宋体"/>
                <w:color w:val="000000" w:themeColor="text1"/>
                <w:sz w:val="24"/>
                <w:highlight w:val="none"/>
                <w14:textFill>
                  <w14:solidFill>
                    <w14:schemeClr w14:val="tx1"/>
                  </w14:solidFill>
                </w14:textFill>
              </w:rPr>
            </w:pPr>
          </w:p>
        </w:tc>
      </w:tr>
      <w:tr w14:paraId="359F1C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2" w:type="dxa"/>
          <w:trHeight w:val="596" w:hRule="atLeast"/>
          <w:jc w:val="center"/>
        </w:trPr>
        <w:tc>
          <w:tcPr>
            <w:tcW w:w="423" w:type="dxa"/>
            <w:tcMar>
              <w:left w:w="28" w:type="dxa"/>
              <w:right w:w="28" w:type="dxa"/>
            </w:tcMar>
            <w:vAlign w:val="center"/>
          </w:tcPr>
          <w:p w14:paraId="02AF2CAE">
            <w:pPr>
              <w:adjustRightInd w:val="0"/>
              <w:snapToGrid w:val="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污染</w:t>
            </w:r>
          </w:p>
          <w:p w14:paraId="1551BA99">
            <w:pPr>
              <w:adjustRightInd w:val="0"/>
              <w:snapToGrid w:val="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物排</w:t>
            </w:r>
          </w:p>
          <w:p w14:paraId="7B703993">
            <w:pPr>
              <w:adjustRightInd w:val="0"/>
              <w:snapToGrid w:val="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放控</w:t>
            </w:r>
          </w:p>
          <w:p w14:paraId="1B5DC3E0">
            <w:pPr>
              <w:adjustRightInd w:val="0"/>
              <w:snapToGrid w:val="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制标</w:t>
            </w:r>
          </w:p>
          <w:p w14:paraId="77302B6F">
            <w:pPr>
              <w:adjustRightInd w:val="0"/>
              <w:snapToGrid w:val="0"/>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准</w:t>
            </w:r>
          </w:p>
        </w:tc>
        <w:tc>
          <w:tcPr>
            <w:tcW w:w="8606" w:type="dxa"/>
            <w:vAlign w:val="center"/>
          </w:tcPr>
          <w:p w14:paraId="0DFF30F9">
            <w:pPr>
              <w:pStyle w:val="37"/>
              <w:rPr>
                <w:color w:val="000000" w:themeColor="text1"/>
                <w:sz w:val="24"/>
                <w:szCs w:val="21"/>
                <w:highlight w:val="none"/>
                <w14:textFill>
                  <w14:solidFill>
                    <w14:schemeClr w14:val="tx1"/>
                  </w14:solidFill>
                </w14:textFill>
              </w:rPr>
            </w:pPr>
            <w:r>
              <w:rPr>
                <w:color w:val="000000" w:themeColor="text1"/>
                <w:sz w:val="24"/>
                <w:szCs w:val="21"/>
                <w:highlight w:val="none"/>
                <w14:textFill>
                  <w14:solidFill>
                    <w14:schemeClr w14:val="tx1"/>
                  </w14:solidFill>
                </w14:textFill>
              </w:rPr>
              <w:t xml:space="preserve">3.7 </w:t>
            </w:r>
            <w:r>
              <w:rPr>
                <w:rFonts w:hint="eastAsia"/>
                <w:color w:val="000000" w:themeColor="text1"/>
                <w:sz w:val="24"/>
                <w:szCs w:val="21"/>
                <w:highlight w:val="none"/>
                <w14:textFill>
                  <w14:solidFill>
                    <w14:schemeClr w14:val="tx1"/>
                  </w14:solidFill>
                </w14:textFill>
              </w:rPr>
              <w:t>大气污染物排放标准</w:t>
            </w:r>
          </w:p>
          <w:p w14:paraId="10DC6547">
            <w:pPr>
              <w:spacing w:line="360" w:lineRule="auto"/>
              <w:ind w:firstLine="480" w:firstLineChars="200"/>
              <w:rPr>
                <w:rFonts w:hint="eastAsia" w:cs="宋体"/>
                <w:bCs/>
                <w:color w:val="000000" w:themeColor="text1"/>
                <w:sz w:val="24"/>
                <w:szCs w:val="24"/>
                <w:highlight w:val="none"/>
                <w:lang w:val="en-US" w:eastAsia="zh-CN"/>
                <w14:textFill>
                  <w14:solidFill>
                    <w14:schemeClr w14:val="tx1"/>
                  </w14:solidFill>
                </w14:textFill>
              </w:rPr>
            </w:pPr>
            <w:r>
              <w:rPr>
                <w:rFonts w:hint="eastAsia" w:cs="宋体"/>
                <w:bCs/>
                <w:color w:val="000000" w:themeColor="text1"/>
                <w:sz w:val="24"/>
                <w:szCs w:val="24"/>
                <w:highlight w:val="none"/>
                <w:lang w:val="en-US" w:eastAsia="zh-CN"/>
                <w14:textFill>
                  <w14:solidFill>
                    <w14:schemeClr w14:val="tx1"/>
                  </w14:solidFill>
                </w14:textFill>
              </w:rPr>
              <w:t>项目细磨、抛光、切割过程产生的粉尘经收集后通过“布袋除尘器”处理后通过30m高排气筒排放，粉尘排放执行《大气污染物综合排放标准》（GB16297-1996）表2有组织排放监控浓度限值，具体见下表。</w:t>
            </w:r>
          </w:p>
          <w:p w14:paraId="641545A8">
            <w:pPr>
              <w:spacing w:line="360" w:lineRule="auto"/>
              <w:ind w:firstLine="480" w:firstLineChars="200"/>
              <w:rPr>
                <w:rFonts w:hint="eastAsia" w:cs="宋体"/>
                <w:bCs/>
                <w:color w:val="000000" w:themeColor="text1"/>
                <w:sz w:val="24"/>
                <w:szCs w:val="24"/>
                <w:highlight w:val="none"/>
                <w:lang w:val="en-US" w:eastAsia="zh-CN"/>
                <w14:textFill>
                  <w14:solidFill>
                    <w14:schemeClr w14:val="tx1"/>
                  </w14:solidFill>
                </w14:textFill>
              </w:rPr>
            </w:pPr>
            <w:r>
              <w:rPr>
                <w:rFonts w:hint="eastAsia" w:cs="宋体"/>
                <w:bCs/>
                <w:color w:val="000000" w:themeColor="text1"/>
                <w:sz w:val="24"/>
                <w:szCs w:val="24"/>
                <w:highlight w:val="none"/>
                <w:lang w:val="en-US" w:eastAsia="zh-CN"/>
                <w14:textFill>
                  <w14:solidFill>
                    <w14:schemeClr w14:val="tx1"/>
                  </w14:solidFill>
                </w14:textFill>
              </w:rPr>
              <w:t>清洗检验等工序产生的非甲烷总烃经集气罩+“二级活性炭吸附装置”处理后，由1根30m高排气筒引至屋顶排放。项目非甲烷总烃排放执行《工业企业挥发性有机物排放标准》（DB35/1782-2018）表1中电子产品制造标准限值、表2、表3中标准限值；同时根据闽环保大气〔2019〕6号文，非甲烷总烃无组织排放厂区内监控点任意一次浓度值还应执行《挥发性有机物无组织排放控制标准》（GB37822-2019）附录A中表A.1标准限值。</w:t>
            </w:r>
          </w:p>
          <w:p w14:paraId="2B873B4F">
            <w:pPr>
              <w:spacing w:line="360" w:lineRule="auto"/>
              <w:ind w:firstLine="480" w:firstLineChars="200"/>
              <w:rPr>
                <w:rFonts w:hint="default" w:cs="宋体"/>
                <w:bCs/>
                <w:color w:val="000000" w:themeColor="text1"/>
                <w:sz w:val="24"/>
                <w:szCs w:val="24"/>
                <w:highlight w:val="none"/>
                <w:lang w:val="en-US" w:eastAsia="zh-CN"/>
                <w14:textFill>
                  <w14:solidFill>
                    <w14:schemeClr w14:val="tx1"/>
                  </w14:solidFill>
                </w14:textFill>
              </w:rPr>
            </w:pPr>
            <w:r>
              <w:rPr>
                <w:rFonts w:hint="eastAsia" w:cs="宋体"/>
                <w:bCs/>
                <w:color w:val="000000" w:themeColor="text1"/>
                <w:sz w:val="24"/>
                <w:szCs w:val="24"/>
                <w:highlight w:val="none"/>
                <w:lang w:val="en-US" w:eastAsia="zh-CN"/>
                <w14:textFill>
                  <w14:solidFill>
                    <w14:schemeClr w14:val="tx1"/>
                  </w14:solidFill>
                </w14:textFill>
              </w:rPr>
              <w:t>清洗等工序产生的酸性废气经集气罩+“碱液喷淋塔”处理后，由1根30m高排气筒引至屋顶排放。项目酸性废气污染物执行《大气污染物综合排放标准》（GB16297-1996）表2有组织排放监控浓度限值。</w:t>
            </w:r>
          </w:p>
          <w:p w14:paraId="0437822A">
            <w:pPr>
              <w:spacing w:line="360" w:lineRule="auto"/>
              <w:ind w:firstLine="480" w:firstLineChars="200"/>
              <w:rPr>
                <w:rFonts w:hint="eastAsia" w:cs="宋体"/>
                <w:bCs/>
                <w:color w:val="000000" w:themeColor="text1"/>
                <w:sz w:val="24"/>
                <w:szCs w:val="24"/>
                <w:highlight w:val="none"/>
                <w:lang w:val="en-US" w:eastAsia="zh-CN"/>
                <w14:textFill>
                  <w14:solidFill>
                    <w14:schemeClr w14:val="tx1"/>
                  </w14:solidFill>
                </w14:textFill>
              </w:rPr>
            </w:pPr>
            <w:r>
              <w:rPr>
                <w:rFonts w:hint="eastAsia" w:cs="宋体"/>
                <w:bCs/>
                <w:color w:val="000000" w:themeColor="text1"/>
                <w:sz w:val="24"/>
                <w:szCs w:val="24"/>
                <w:highlight w:val="none"/>
                <w:lang w:val="en-US" w:eastAsia="zh-CN"/>
                <w14:textFill>
                  <w14:solidFill>
                    <w14:schemeClr w14:val="tx1"/>
                  </w14:solidFill>
                </w14:textFill>
              </w:rPr>
              <w:t>显影工序产生的碱性废气经集气罩+“稀硫酸喷淋塔”处理后，由1根30m高排气筒引至屋顶排放。项目碱性废气污染物执行《恶臭污染物排放标准》（GB 14554-93）表2中标准。</w:t>
            </w:r>
          </w:p>
          <w:p w14:paraId="4981AE1C">
            <w:pPr>
              <w:spacing w:line="360" w:lineRule="auto"/>
              <w:ind w:firstLine="480" w:firstLineChars="200"/>
              <w:rPr>
                <w:rFonts w:hint="default" w:cs="宋体"/>
                <w:bCs/>
                <w:color w:val="000000" w:themeColor="text1"/>
                <w:sz w:val="24"/>
                <w:szCs w:val="24"/>
                <w:highlight w:val="none"/>
                <w:lang w:val="en-US" w:eastAsia="zh-CN"/>
                <w14:textFill>
                  <w14:solidFill>
                    <w14:schemeClr w14:val="tx1"/>
                  </w14:solidFill>
                </w14:textFill>
              </w:rPr>
            </w:pPr>
            <w:r>
              <w:rPr>
                <w:rFonts w:hint="eastAsia" w:cs="宋体"/>
                <w:bCs/>
                <w:color w:val="000000" w:themeColor="text1"/>
                <w:sz w:val="24"/>
                <w:szCs w:val="24"/>
                <w:highlight w:val="none"/>
                <w:lang w:val="en-US" w:eastAsia="zh-CN"/>
                <w14:textFill>
                  <w14:solidFill>
                    <w14:schemeClr w14:val="tx1"/>
                  </w14:solidFill>
                </w14:textFill>
              </w:rPr>
              <w:t>颗粒物、酸性废气污染物无组织排放执行《大气污染物综合排放标准》（GB16297-1996）表2无组织排放监控浓度限值。</w:t>
            </w:r>
          </w:p>
          <w:p w14:paraId="099F979A">
            <w:pPr>
              <w:spacing w:line="360" w:lineRule="auto"/>
              <w:ind w:firstLine="480" w:firstLineChars="200"/>
              <w:rPr>
                <w:rFonts w:hint="eastAsia" w:cs="宋体"/>
                <w:bCs/>
                <w:color w:val="000000" w:themeColor="text1"/>
                <w:sz w:val="24"/>
                <w:szCs w:val="24"/>
                <w:highlight w:val="none"/>
                <w:lang w:val="en-US" w:eastAsia="zh-CN"/>
                <w14:textFill>
                  <w14:solidFill>
                    <w14:schemeClr w14:val="tx1"/>
                  </w14:solidFill>
                </w14:textFill>
              </w:rPr>
            </w:pPr>
            <w:r>
              <w:rPr>
                <w:rFonts w:hint="eastAsia" w:cs="宋体"/>
                <w:bCs/>
                <w:color w:val="000000" w:themeColor="text1"/>
                <w:sz w:val="24"/>
                <w:szCs w:val="24"/>
                <w:highlight w:val="none"/>
                <w:lang w:val="en-US" w:eastAsia="zh-CN"/>
                <w14:textFill>
                  <w14:solidFill>
                    <w14:schemeClr w14:val="tx1"/>
                  </w14:solidFill>
                </w14:textFill>
              </w:rPr>
              <w:t>污水处理站的恶臭气体污染物无组织排放执行《恶臭污染物排放标准》（GB14554-93）表1中厂界标准值。</w:t>
            </w:r>
          </w:p>
          <w:p w14:paraId="07AECAF8">
            <w:pPr>
              <w:spacing w:line="360" w:lineRule="auto"/>
              <w:ind w:firstLine="480" w:firstLineChars="200"/>
              <w:rPr>
                <w:rFonts w:hint="eastAsia" w:cs="宋体"/>
                <w:bCs/>
                <w:color w:val="000000" w:themeColor="text1"/>
                <w:sz w:val="24"/>
                <w:szCs w:val="24"/>
                <w:highlight w:val="none"/>
                <w:lang w:val="en-US" w:eastAsia="zh-CN"/>
                <w14:textFill>
                  <w14:solidFill>
                    <w14:schemeClr w14:val="tx1"/>
                  </w14:solidFill>
                </w14:textFill>
              </w:rPr>
            </w:pPr>
            <w:r>
              <w:rPr>
                <w:rFonts w:hint="eastAsia" w:cs="宋体"/>
                <w:bCs/>
                <w:color w:val="000000" w:themeColor="text1"/>
                <w:sz w:val="24"/>
                <w:szCs w:val="24"/>
                <w:highlight w:val="none"/>
                <w:lang w:val="en-US" w:eastAsia="zh-CN"/>
                <w14:textFill>
                  <w14:solidFill>
                    <w14:schemeClr w14:val="tx1"/>
                  </w14:solidFill>
                </w14:textFill>
              </w:rPr>
              <w:t>具体详见下表。</w:t>
            </w:r>
          </w:p>
          <w:p w14:paraId="11F1FD33">
            <w:pPr>
              <w:pStyle w:val="69"/>
              <w:spacing w:line="360" w:lineRule="auto"/>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表3</w:t>
            </w:r>
            <w:r>
              <w:rPr>
                <w:rFonts w:hint="eastAsia" w:eastAsia="宋体" w:cs="宋体"/>
                <w:b/>
                <w:color w:val="000000" w:themeColor="text1"/>
                <w:kern w:val="2"/>
                <w:sz w:val="24"/>
                <w:szCs w:val="24"/>
                <w:highlight w:val="none"/>
                <w:lang w:val="en-US" w:eastAsia="zh-CN" w:bidi="ar-SA"/>
                <w14:textFill>
                  <w14:solidFill>
                    <w14:schemeClr w14:val="tx1"/>
                  </w14:solidFill>
                </w14:textFill>
              </w:rPr>
              <w:t>.7</w:t>
            </w: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w:t>
            </w:r>
            <w:r>
              <w:rPr>
                <w:rFonts w:hint="eastAsia" w:eastAsia="宋体" w:cs="宋体"/>
                <w:b/>
                <w:color w:val="000000" w:themeColor="text1"/>
                <w:kern w:val="2"/>
                <w:sz w:val="24"/>
                <w:szCs w:val="24"/>
                <w:highlight w:val="none"/>
                <w:lang w:val="en-US" w:eastAsia="zh-CN" w:bidi="ar-SA"/>
                <w14:textFill>
                  <w14:solidFill>
                    <w14:schemeClr w14:val="tx1"/>
                  </w14:solidFill>
                </w14:textFill>
              </w:rPr>
              <w:t>1</w:t>
            </w: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 xml:space="preserve">  本项目</w:t>
            </w:r>
            <w:r>
              <w:rPr>
                <w:rFonts w:hint="eastAsia" w:eastAsia="宋体" w:cs="宋体"/>
                <w:b/>
                <w:color w:val="000000" w:themeColor="text1"/>
                <w:kern w:val="2"/>
                <w:sz w:val="24"/>
                <w:szCs w:val="24"/>
                <w:highlight w:val="none"/>
                <w:lang w:val="en-US" w:eastAsia="zh-CN" w:bidi="ar-SA"/>
                <w14:textFill>
                  <w14:solidFill>
                    <w14:schemeClr w14:val="tx1"/>
                  </w14:solidFill>
                </w14:textFill>
              </w:rPr>
              <w:t>废气污染物</w:t>
            </w: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排放浓度限值</w:t>
            </w:r>
          </w:p>
          <w:tbl>
            <w:tblPr>
              <w:tblStyle w:val="30"/>
              <w:tblW w:w="4998" w:type="pct"/>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57" w:type="dxa"/>
                <w:bottom w:w="0" w:type="dxa"/>
                <w:right w:w="57" w:type="dxa"/>
              </w:tblCellMar>
            </w:tblPr>
            <w:tblGrid>
              <w:gridCol w:w="672"/>
              <w:gridCol w:w="870"/>
              <w:gridCol w:w="2970"/>
              <w:gridCol w:w="1395"/>
              <w:gridCol w:w="1350"/>
              <w:gridCol w:w="1121"/>
            </w:tblGrid>
            <w:tr w14:paraId="101E9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57" w:type="dxa"/>
                  <w:bottom w:w="0" w:type="dxa"/>
                  <w:right w:w="57" w:type="dxa"/>
                </w:tblCellMar>
              </w:tblPrEx>
              <w:trPr>
                <w:trHeight w:val="23" w:hRule="atLeast"/>
              </w:trPr>
              <w:tc>
                <w:tcPr>
                  <w:tcW w:w="1542" w:type="dxa"/>
                  <w:gridSpan w:val="2"/>
                  <w:vMerge w:val="restart"/>
                  <w:tcBorders>
                    <w:tl2br w:val="nil"/>
                    <w:tr2bl w:val="nil"/>
                  </w:tcBorders>
                  <w:shd w:val="clear" w:color="auto" w:fill="auto"/>
                  <w:vAlign w:val="center"/>
                </w:tcPr>
                <w:p w14:paraId="53141831">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环境要素</w:t>
                  </w:r>
                </w:p>
              </w:tc>
              <w:tc>
                <w:tcPr>
                  <w:tcW w:w="2970" w:type="dxa"/>
                  <w:vMerge w:val="restart"/>
                  <w:tcBorders>
                    <w:tl2br w:val="nil"/>
                    <w:tr2bl w:val="nil"/>
                  </w:tcBorders>
                  <w:shd w:val="clear" w:color="auto" w:fill="auto"/>
                  <w:vAlign w:val="center"/>
                </w:tcPr>
                <w:p w14:paraId="72C0DB7C">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排放标准</w:t>
                  </w:r>
                </w:p>
              </w:tc>
              <w:tc>
                <w:tcPr>
                  <w:tcW w:w="3866" w:type="dxa"/>
                  <w:gridSpan w:val="3"/>
                  <w:tcBorders>
                    <w:tl2br w:val="nil"/>
                    <w:tr2bl w:val="nil"/>
                  </w:tcBorders>
                  <w:shd w:val="clear" w:color="auto" w:fill="auto"/>
                  <w:vAlign w:val="center"/>
                </w:tcPr>
                <w:p w14:paraId="225DFB8E">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标准值</w:t>
                  </w:r>
                </w:p>
              </w:tc>
            </w:tr>
            <w:tr w14:paraId="12759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57" w:type="dxa"/>
                  <w:bottom w:w="0" w:type="dxa"/>
                  <w:right w:w="57" w:type="dxa"/>
                </w:tblCellMar>
              </w:tblPrEx>
              <w:trPr>
                <w:trHeight w:val="23" w:hRule="atLeast"/>
              </w:trPr>
              <w:tc>
                <w:tcPr>
                  <w:tcW w:w="1542" w:type="dxa"/>
                  <w:gridSpan w:val="2"/>
                  <w:vMerge w:val="continue"/>
                  <w:tcBorders>
                    <w:tl2br w:val="nil"/>
                    <w:tr2bl w:val="nil"/>
                  </w:tcBorders>
                  <w:shd w:val="clear" w:color="auto" w:fill="auto"/>
                  <w:vAlign w:val="center"/>
                </w:tcPr>
                <w:p w14:paraId="640495D0">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2970" w:type="dxa"/>
                  <w:vMerge w:val="continue"/>
                  <w:tcBorders>
                    <w:tl2br w:val="nil"/>
                    <w:tr2bl w:val="nil"/>
                  </w:tcBorders>
                  <w:shd w:val="clear" w:color="auto" w:fill="auto"/>
                  <w:vAlign w:val="center"/>
                </w:tcPr>
                <w:p w14:paraId="03C12412">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395" w:type="dxa"/>
                  <w:tcBorders>
                    <w:tl2br w:val="nil"/>
                    <w:tr2bl w:val="nil"/>
                  </w:tcBorders>
                  <w:shd w:val="clear" w:color="auto" w:fill="auto"/>
                  <w:vAlign w:val="center"/>
                </w:tcPr>
                <w:p w14:paraId="0930F41A">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类别</w:t>
                  </w:r>
                </w:p>
              </w:tc>
              <w:tc>
                <w:tcPr>
                  <w:tcW w:w="1350" w:type="dxa"/>
                  <w:tcBorders>
                    <w:tl2br w:val="nil"/>
                    <w:tr2bl w:val="nil"/>
                  </w:tcBorders>
                  <w:shd w:val="clear" w:color="auto" w:fill="auto"/>
                  <w:vAlign w:val="center"/>
                </w:tcPr>
                <w:p w14:paraId="390610E2">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排放浓度</w:t>
                  </w:r>
                </w:p>
              </w:tc>
              <w:tc>
                <w:tcPr>
                  <w:tcW w:w="1121" w:type="dxa"/>
                  <w:tcBorders>
                    <w:tl2br w:val="nil"/>
                    <w:tr2bl w:val="nil"/>
                  </w:tcBorders>
                  <w:shd w:val="clear" w:color="auto" w:fill="auto"/>
                  <w:vAlign w:val="center"/>
                </w:tcPr>
                <w:p w14:paraId="76658D35">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排放速率</w:t>
                  </w:r>
                </w:p>
              </w:tc>
            </w:tr>
            <w:tr w14:paraId="2EEA7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57" w:type="dxa"/>
                  <w:bottom w:w="0" w:type="dxa"/>
                  <w:right w:w="57" w:type="dxa"/>
                </w:tblCellMar>
              </w:tblPrEx>
              <w:trPr>
                <w:trHeight w:val="23" w:hRule="atLeast"/>
              </w:trPr>
              <w:tc>
                <w:tcPr>
                  <w:tcW w:w="672" w:type="dxa"/>
                  <w:vMerge w:val="restart"/>
                  <w:tcBorders>
                    <w:tl2br w:val="nil"/>
                    <w:tr2bl w:val="nil"/>
                  </w:tcBorders>
                  <w:shd w:val="clear" w:color="auto" w:fill="auto"/>
                  <w:vAlign w:val="center"/>
                </w:tcPr>
                <w:p w14:paraId="6C88A10B">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有组织</w:t>
                  </w:r>
                </w:p>
              </w:tc>
              <w:tc>
                <w:tcPr>
                  <w:tcW w:w="870" w:type="dxa"/>
                  <w:tcBorders>
                    <w:tl2br w:val="nil"/>
                    <w:tr2bl w:val="nil"/>
                  </w:tcBorders>
                  <w:shd w:val="clear" w:color="auto" w:fill="auto"/>
                  <w:vAlign w:val="center"/>
                </w:tcPr>
                <w:p w14:paraId="6DD7C4CA">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有机</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废气</w:t>
                  </w:r>
                </w:p>
              </w:tc>
              <w:tc>
                <w:tcPr>
                  <w:tcW w:w="2970" w:type="dxa"/>
                  <w:tcBorders>
                    <w:tl2br w:val="nil"/>
                    <w:tr2bl w:val="nil"/>
                  </w:tcBorders>
                  <w:shd w:val="clear" w:color="auto" w:fill="auto"/>
                  <w:vAlign w:val="center"/>
                </w:tcPr>
                <w:p w14:paraId="05147508">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《工业企业挥发性有机物排放标准》（</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DB35/1782-2018</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）表</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中相应标准值</w:t>
                  </w:r>
                </w:p>
              </w:tc>
              <w:tc>
                <w:tcPr>
                  <w:tcW w:w="1395" w:type="dxa"/>
                  <w:tcBorders>
                    <w:tl2br w:val="nil"/>
                    <w:tr2bl w:val="nil"/>
                  </w:tcBorders>
                  <w:shd w:val="clear" w:color="auto" w:fill="auto"/>
                  <w:vAlign w:val="center"/>
                </w:tcPr>
                <w:p w14:paraId="304F448B">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非甲烷总烃</w:t>
                  </w:r>
                </w:p>
              </w:tc>
              <w:tc>
                <w:tcPr>
                  <w:tcW w:w="1350" w:type="dxa"/>
                  <w:tcBorders>
                    <w:tl2br w:val="nil"/>
                    <w:tr2bl w:val="nil"/>
                  </w:tcBorders>
                  <w:shd w:val="clear" w:color="auto" w:fill="auto"/>
                  <w:vAlign w:val="center"/>
                </w:tcPr>
                <w:p w14:paraId="113A2D8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80mg/m</w:t>
                  </w:r>
                  <w:r>
                    <w:rPr>
                      <w:rStyle w:val="111"/>
                      <w:rFonts w:eastAsia="宋体"/>
                      <w:color w:val="000000" w:themeColor="text1"/>
                      <w:highlight w:val="none"/>
                      <w:lang w:val="en-US" w:eastAsia="zh-CN" w:bidi="ar"/>
                      <w14:textFill>
                        <w14:solidFill>
                          <w14:schemeClr w14:val="tx1"/>
                        </w14:solidFill>
                      </w14:textFill>
                    </w:rPr>
                    <w:t>3</w:t>
                  </w:r>
                </w:p>
              </w:tc>
              <w:tc>
                <w:tcPr>
                  <w:tcW w:w="1121" w:type="dxa"/>
                  <w:tcBorders>
                    <w:tl2br w:val="nil"/>
                    <w:tr2bl w:val="nil"/>
                  </w:tcBorders>
                  <w:shd w:val="clear" w:color="auto" w:fill="auto"/>
                  <w:vAlign w:val="center"/>
                </w:tcPr>
                <w:p w14:paraId="328FEF0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9</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.6kg/h</w:t>
                  </w:r>
                </w:p>
              </w:tc>
            </w:tr>
            <w:tr w14:paraId="37832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57" w:type="dxa"/>
                  <w:bottom w:w="0" w:type="dxa"/>
                  <w:right w:w="57" w:type="dxa"/>
                </w:tblCellMar>
              </w:tblPrEx>
              <w:trPr>
                <w:trHeight w:val="23" w:hRule="atLeast"/>
              </w:trPr>
              <w:tc>
                <w:tcPr>
                  <w:tcW w:w="672" w:type="dxa"/>
                  <w:vMerge w:val="continue"/>
                  <w:tcBorders>
                    <w:tl2br w:val="nil"/>
                    <w:tr2bl w:val="nil"/>
                  </w:tcBorders>
                  <w:shd w:val="clear" w:color="auto" w:fill="auto"/>
                  <w:vAlign w:val="center"/>
                </w:tcPr>
                <w:p w14:paraId="69FEAEF1">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870" w:type="dxa"/>
                  <w:tcBorders>
                    <w:tl2br w:val="nil"/>
                    <w:tr2bl w:val="nil"/>
                  </w:tcBorders>
                  <w:shd w:val="clear" w:color="auto" w:fill="auto"/>
                  <w:vAlign w:val="center"/>
                </w:tcPr>
                <w:p w14:paraId="14AD45CC">
                  <w:pPr>
                    <w:keepNext w:val="0"/>
                    <w:keepLines w:val="0"/>
                    <w:widowControl/>
                    <w:suppressLineNumbers w:val="0"/>
                    <w:jc w:val="center"/>
                    <w:textAlignment w:val="top"/>
                    <w:rPr>
                      <w:rFonts w:hint="default"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粉尘</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废气</w:t>
                  </w:r>
                </w:p>
              </w:tc>
              <w:tc>
                <w:tcPr>
                  <w:tcW w:w="2970" w:type="dxa"/>
                  <w:tcBorders>
                    <w:tl2br w:val="nil"/>
                    <w:tr2bl w:val="nil"/>
                  </w:tcBorders>
                  <w:shd w:val="clear" w:color="auto" w:fill="auto"/>
                  <w:vAlign w:val="center"/>
                </w:tcPr>
                <w:p w14:paraId="7FF08F47">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《大气污染物综合排放标准》（</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GB16297-1996</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）表</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有组织排放监控浓度限值</w:t>
                  </w:r>
                </w:p>
              </w:tc>
              <w:tc>
                <w:tcPr>
                  <w:tcW w:w="1395" w:type="dxa"/>
                  <w:tcBorders>
                    <w:tl2br w:val="nil"/>
                    <w:tr2bl w:val="nil"/>
                  </w:tcBorders>
                  <w:shd w:val="clear" w:color="auto" w:fill="auto"/>
                  <w:vAlign w:val="center"/>
                </w:tcPr>
                <w:p w14:paraId="394DC3F0">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颗粒物</w:t>
                  </w:r>
                </w:p>
              </w:tc>
              <w:tc>
                <w:tcPr>
                  <w:tcW w:w="1350" w:type="dxa"/>
                  <w:tcBorders>
                    <w:tl2br w:val="nil"/>
                    <w:tr2bl w:val="nil"/>
                  </w:tcBorders>
                  <w:shd w:val="clear" w:color="auto" w:fill="auto"/>
                  <w:vAlign w:val="center"/>
                </w:tcPr>
                <w:p w14:paraId="5947AAD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120mg/m</w:t>
                  </w:r>
                  <w:r>
                    <w:rPr>
                      <w:rFonts w:hint="eastAsia"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3</w:t>
                  </w:r>
                </w:p>
              </w:tc>
              <w:tc>
                <w:tcPr>
                  <w:tcW w:w="1121" w:type="dxa"/>
                  <w:tcBorders>
                    <w:tl2br w:val="nil"/>
                    <w:tr2bl w:val="nil"/>
                  </w:tcBorders>
                  <w:shd w:val="clear" w:color="auto" w:fill="auto"/>
                  <w:vAlign w:val="center"/>
                </w:tcPr>
                <w:p w14:paraId="2418338E">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23</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kg/h</w:t>
                  </w:r>
                </w:p>
              </w:tc>
            </w:tr>
            <w:tr w14:paraId="4A19ED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57" w:type="dxa"/>
                  <w:bottom w:w="0" w:type="dxa"/>
                  <w:right w:w="57" w:type="dxa"/>
                </w:tblCellMar>
              </w:tblPrEx>
              <w:trPr>
                <w:trHeight w:val="23" w:hRule="atLeast"/>
              </w:trPr>
              <w:tc>
                <w:tcPr>
                  <w:tcW w:w="672" w:type="dxa"/>
                  <w:vMerge w:val="continue"/>
                  <w:tcBorders>
                    <w:tl2br w:val="nil"/>
                    <w:tr2bl w:val="nil"/>
                  </w:tcBorders>
                  <w:shd w:val="clear" w:color="auto" w:fill="auto"/>
                  <w:vAlign w:val="center"/>
                </w:tcPr>
                <w:p w14:paraId="2970B7B9">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870" w:type="dxa"/>
                  <w:vMerge w:val="restart"/>
                  <w:tcBorders>
                    <w:tl2br w:val="nil"/>
                    <w:tr2bl w:val="nil"/>
                  </w:tcBorders>
                  <w:shd w:val="clear" w:color="auto" w:fill="auto"/>
                  <w:vAlign w:val="center"/>
                </w:tcPr>
                <w:p w14:paraId="7DAD0CE6">
                  <w:pPr>
                    <w:keepNext w:val="0"/>
                    <w:keepLines w:val="0"/>
                    <w:widowControl/>
                    <w:suppressLineNumbers w:val="0"/>
                    <w:jc w:val="center"/>
                    <w:textAlignment w:val="top"/>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酸性废气</w:t>
                  </w:r>
                </w:p>
              </w:tc>
              <w:tc>
                <w:tcPr>
                  <w:tcW w:w="2970" w:type="dxa"/>
                  <w:vMerge w:val="restart"/>
                  <w:tcBorders>
                    <w:tl2br w:val="nil"/>
                    <w:tr2bl w:val="nil"/>
                  </w:tcBorders>
                  <w:shd w:val="clear" w:color="auto" w:fill="auto"/>
                  <w:vAlign w:val="center"/>
                </w:tcPr>
                <w:p w14:paraId="5B8FCA0F">
                  <w:pPr>
                    <w:keepNext w:val="0"/>
                    <w:keepLines w:val="0"/>
                    <w:widowControl/>
                    <w:suppressLineNumbers w:val="0"/>
                    <w:jc w:val="center"/>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《大气污染物综合排放标准》（</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GB16297-1996</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）表</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有组织排放监控浓度限值</w:t>
                  </w:r>
                </w:p>
              </w:tc>
              <w:tc>
                <w:tcPr>
                  <w:tcW w:w="1395" w:type="dxa"/>
                  <w:tcBorders>
                    <w:tl2br w:val="nil"/>
                    <w:tr2bl w:val="nil"/>
                  </w:tcBorders>
                  <w:shd w:val="clear" w:color="auto" w:fill="auto"/>
                  <w:vAlign w:val="center"/>
                </w:tcPr>
                <w:p w14:paraId="63615849">
                  <w:pPr>
                    <w:keepNext w:val="0"/>
                    <w:keepLines w:val="0"/>
                    <w:widowControl/>
                    <w:suppressLineNumbers w:val="0"/>
                    <w:jc w:val="center"/>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硫酸雾</w:t>
                  </w:r>
                </w:p>
              </w:tc>
              <w:tc>
                <w:tcPr>
                  <w:tcW w:w="1350" w:type="dxa"/>
                  <w:tcBorders>
                    <w:tl2br w:val="nil"/>
                    <w:tr2bl w:val="nil"/>
                  </w:tcBorders>
                  <w:shd w:val="clear" w:color="auto" w:fill="auto"/>
                  <w:vAlign w:val="center"/>
                </w:tcPr>
                <w:p w14:paraId="7B24BA30">
                  <w:pPr>
                    <w:keepNext w:val="0"/>
                    <w:keepLines w:val="0"/>
                    <w:widowControl/>
                    <w:suppressLineNumbers w:val="0"/>
                    <w:jc w:val="center"/>
                    <w:textAlignment w:val="top"/>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45</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mg/m</w:t>
                  </w:r>
                  <w:r>
                    <w:rPr>
                      <w:rFonts w:hint="eastAsia"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3</w:t>
                  </w:r>
                </w:p>
              </w:tc>
              <w:tc>
                <w:tcPr>
                  <w:tcW w:w="1121" w:type="dxa"/>
                  <w:tcBorders>
                    <w:tl2br w:val="nil"/>
                    <w:tr2bl w:val="nil"/>
                  </w:tcBorders>
                  <w:shd w:val="clear" w:color="auto" w:fill="auto"/>
                  <w:vAlign w:val="center"/>
                </w:tcPr>
                <w:p w14:paraId="1C3B5BE4">
                  <w:pPr>
                    <w:keepNext w:val="0"/>
                    <w:keepLines w:val="0"/>
                    <w:widowControl/>
                    <w:suppressLineNumbers w:val="0"/>
                    <w:jc w:val="center"/>
                    <w:textAlignment w:val="top"/>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8.8</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kg/h</w:t>
                  </w:r>
                </w:p>
              </w:tc>
            </w:tr>
            <w:tr w14:paraId="5759D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trPr>
              <w:tc>
                <w:tcPr>
                  <w:tcW w:w="672" w:type="dxa"/>
                  <w:vMerge w:val="continue"/>
                  <w:tcBorders>
                    <w:tl2br w:val="nil"/>
                    <w:tr2bl w:val="nil"/>
                  </w:tcBorders>
                  <w:shd w:val="clear" w:color="auto" w:fill="auto"/>
                  <w:vAlign w:val="center"/>
                </w:tcPr>
                <w:p w14:paraId="27DBBEE5">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870" w:type="dxa"/>
                  <w:vMerge w:val="continue"/>
                  <w:tcBorders>
                    <w:tl2br w:val="nil"/>
                    <w:tr2bl w:val="nil"/>
                  </w:tcBorders>
                  <w:shd w:val="clear" w:color="auto" w:fill="auto"/>
                  <w:vAlign w:val="center"/>
                </w:tcPr>
                <w:p w14:paraId="2ADC4A6A">
                  <w:pPr>
                    <w:keepNext w:val="0"/>
                    <w:keepLines w:val="0"/>
                    <w:widowControl/>
                    <w:suppressLineNumbers w:val="0"/>
                    <w:jc w:val="center"/>
                    <w:textAlignment w:val="top"/>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2970" w:type="dxa"/>
                  <w:vMerge w:val="continue"/>
                  <w:tcBorders>
                    <w:tl2br w:val="nil"/>
                    <w:tr2bl w:val="nil"/>
                  </w:tcBorders>
                  <w:shd w:val="clear" w:color="auto" w:fill="auto"/>
                  <w:vAlign w:val="center"/>
                </w:tcPr>
                <w:p w14:paraId="22BB0670">
                  <w:pPr>
                    <w:keepNext w:val="0"/>
                    <w:keepLines w:val="0"/>
                    <w:widowControl/>
                    <w:suppressLineNumbers w:val="0"/>
                    <w:jc w:val="center"/>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395" w:type="dxa"/>
                  <w:tcBorders>
                    <w:tl2br w:val="nil"/>
                    <w:tr2bl w:val="nil"/>
                  </w:tcBorders>
                  <w:shd w:val="clear" w:color="auto" w:fill="auto"/>
                  <w:vAlign w:val="center"/>
                </w:tcPr>
                <w:p w14:paraId="023258DA">
                  <w:pPr>
                    <w:keepNext w:val="0"/>
                    <w:keepLines w:val="0"/>
                    <w:widowControl/>
                    <w:suppressLineNumbers w:val="0"/>
                    <w:jc w:val="center"/>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氯化氢</w:t>
                  </w:r>
                </w:p>
              </w:tc>
              <w:tc>
                <w:tcPr>
                  <w:tcW w:w="1350" w:type="dxa"/>
                  <w:tcBorders>
                    <w:tl2br w:val="nil"/>
                    <w:tr2bl w:val="nil"/>
                  </w:tcBorders>
                  <w:shd w:val="clear" w:color="auto" w:fill="auto"/>
                  <w:vAlign w:val="center"/>
                </w:tcPr>
                <w:p w14:paraId="56B53002">
                  <w:pPr>
                    <w:keepNext w:val="0"/>
                    <w:keepLines w:val="0"/>
                    <w:widowControl/>
                    <w:suppressLineNumbers w:val="0"/>
                    <w:jc w:val="center"/>
                    <w:textAlignment w:val="top"/>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100</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mg/m</w:t>
                  </w:r>
                  <w:r>
                    <w:rPr>
                      <w:rFonts w:hint="eastAsia"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3</w:t>
                  </w:r>
                </w:p>
              </w:tc>
              <w:tc>
                <w:tcPr>
                  <w:tcW w:w="1121" w:type="dxa"/>
                  <w:tcBorders>
                    <w:tl2br w:val="nil"/>
                    <w:tr2bl w:val="nil"/>
                  </w:tcBorders>
                  <w:shd w:val="clear" w:color="auto" w:fill="auto"/>
                  <w:vAlign w:val="center"/>
                </w:tcPr>
                <w:p w14:paraId="68FBD262">
                  <w:pPr>
                    <w:keepNext w:val="0"/>
                    <w:keepLines w:val="0"/>
                    <w:widowControl/>
                    <w:suppressLineNumbers w:val="0"/>
                    <w:jc w:val="center"/>
                    <w:textAlignment w:val="top"/>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1.4</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kg/h</w:t>
                  </w:r>
                </w:p>
              </w:tc>
            </w:tr>
            <w:tr w14:paraId="62DA3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57" w:type="dxa"/>
                  <w:bottom w:w="0" w:type="dxa"/>
                  <w:right w:w="57" w:type="dxa"/>
                </w:tblCellMar>
              </w:tblPrEx>
              <w:trPr>
                <w:trHeight w:val="23" w:hRule="atLeast"/>
              </w:trPr>
              <w:tc>
                <w:tcPr>
                  <w:tcW w:w="672" w:type="dxa"/>
                  <w:vMerge w:val="continue"/>
                  <w:tcBorders>
                    <w:tl2br w:val="nil"/>
                    <w:tr2bl w:val="nil"/>
                  </w:tcBorders>
                  <w:shd w:val="clear" w:color="auto" w:fill="auto"/>
                  <w:vAlign w:val="center"/>
                </w:tcPr>
                <w:p w14:paraId="64D92F7A">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870" w:type="dxa"/>
                  <w:vMerge w:val="continue"/>
                  <w:tcBorders>
                    <w:tl2br w:val="nil"/>
                    <w:tr2bl w:val="nil"/>
                  </w:tcBorders>
                  <w:shd w:val="clear" w:color="auto" w:fill="auto"/>
                  <w:vAlign w:val="center"/>
                </w:tcPr>
                <w:p w14:paraId="65C9CC12">
                  <w:pPr>
                    <w:keepNext w:val="0"/>
                    <w:keepLines w:val="0"/>
                    <w:widowControl/>
                    <w:suppressLineNumbers w:val="0"/>
                    <w:jc w:val="center"/>
                    <w:textAlignment w:val="top"/>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2970" w:type="dxa"/>
                  <w:vMerge w:val="continue"/>
                  <w:tcBorders>
                    <w:tl2br w:val="nil"/>
                    <w:tr2bl w:val="nil"/>
                  </w:tcBorders>
                  <w:shd w:val="clear" w:color="auto" w:fill="auto"/>
                  <w:vAlign w:val="center"/>
                </w:tcPr>
                <w:p w14:paraId="76A694CE">
                  <w:pPr>
                    <w:keepNext w:val="0"/>
                    <w:keepLines w:val="0"/>
                    <w:widowControl/>
                    <w:suppressLineNumbers w:val="0"/>
                    <w:jc w:val="center"/>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395" w:type="dxa"/>
                  <w:tcBorders>
                    <w:tl2br w:val="nil"/>
                    <w:tr2bl w:val="nil"/>
                  </w:tcBorders>
                  <w:shd w:val="clear" w:color="auto" w:fill="auto"/>
                  <w:vAlign w:val="center"/>
                </w:tcPr>
                <w:p w14:paraId="500955EE">
                  <w:pPr>
                    <w:keepNext w:val="0"/>
                    <w:keepLines w:val="0"/>
                    <w:widowControl/>
                    <w:suppressLineNumbers w:val="0"/>
                    <w:jc w:val="center"/>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氟化物</w:t>
                  </w:r>
                </w:p>
              </w:tc>
              <w:tc>
                <w:tcPr>
                  <w:tcW w:w="1350" w:type="dxa"/>
                  <w:tcBorders>
                    <w:tl2br w:val="nil"/>
                    <w:tr2bl w:val="nil"/>
                  </w:tcBorders>
                  <w:shd w:val="clear" w:color="auto" w:fill="auto"/>
                  <w:vAlign w:val="center"/>
                </w:tcPr>
                <w:p w14:paraId="5F1C8B53">
                  <w:pPr>
                    <w:keepNext w:val="0"/>
                    <w:keepLines w:val="0"/>
                    <w:widowControl/>
                    <w:suppressLineNumbers w:val="0"/>
                    <w:jc w:val="center"/>
                    <w:textAlignment w:val="top"/>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9</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mg/m</w:t>
                  </w:r>
                  <w:r>
                    <w:rPr>
                      <w:rFonts w:hint="eastAsia"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3</w:t>
                  </w:r>
                </w:p>
              </w:tc>
              <w:tc>
                <w:tcPr>
                  <w:tcW w:w="1121" w:type="dxa"/>
                  <w:tcBorders>
                    <w:tl2br w:val="nil"/>
                    <w:tr2bl w:val="nil"/>
                  </w:tcBorders>
                  <w:shd w:val="clear" w:color="auto" w:fill="auto"/>
                  <w:vAlign w:val="center"/>
                </w:tcPr>
                <w:p w14:paraId="77DC6A40">
                  <w:pPr>
                    <w:keepNext w:val="0"/>
                    <w:keepLines w:val="0"/>
                    <w:widowControl/>
                    <w:suppressLineNumbers w:val="0"/>
                    <w:jc w:val="center"/>
                    <w:textAlignment w:val="top"/>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0.59</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kg/h</w:t>
                  </w:r>
                </w:p>
              </w:tc>
            </w:tr>
            <w:tr w14:paraId="5A620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57" w:type="dxa"/>
                  <w:bottom w:w="0" w:type="dxa"/>
                  <w:right w:w="57" w:type="dxa"/>
                </w:tblCellMar>
              </w:tblPrEx>
              <w:trPr>
                <w:trHeight w:val="23" w:hRule="atLeast"/>
              </w:trPr>
              <w:tc>
                <w:tcPr>
                  <w:tcW w:w="672" w:type="dxa"/>
                  <w:vMerge w:val="continue"/>
                  <w:tcBorders>
                    <w:tl2br w:val="nil"/>
                    <w:tr2bl w:val="nil"/>
                  </w:tcBorders>
                  <w:shd w:val="clear" w:color="auto" w:fill="auto"/>
                  <w:vAlign w:val="center"/>
                </w:tcPr>
                <w:p w14:paraId="5189C54E">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870" w:type="dxa"/>
                  <w:vMerge w:val="continue"/>
                  <w:tcBorders>
                    <w:tl2br w:val="nil"/>
                    <w:tr2bl w:val="nil"/>
                  </w:tcBorders>
                  <w:shd w:val="clear" w:color="auto" w:fill="auto"/>
                  <w:vAlign w:val="center"/>
                </w:tcPr>
                <w:p w14:paraId="0396349F">
                  <w:pPr>
                    <w:keepNext w:val="0"/>
                    <w:keepLines w:val="0"/>
                    <w:widowControl/>
                    <w:suppressLineNumbers w:val="0"/>
                    <w:jc w:val="center"/>
                    <w:textAlignment w:val="top"/>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2970" w:type="dxa"/>
                  <w:vMerge w:val="continue"/>
                  <w:tcBorders>
                    <w:tl2br w:val="nil"/>
                    <w:tr2bl w:val="nil"/>
                  </w:tcBorders>
                  <w:shd w:val="clear" w:color="auto" w:fill="auto"/>
                  <w:vAlign w:val="center"/>
                </w:tcPr>
                <w:p w14:paraId="1BF2881C">
                  <w:pPr>
                    <w:keepNext w:val="0"/>
                    <w:keepLines w:val="0"/>
                    <w:widowControl/>
                    <w:suppressLineNumbers w:val="0"/>
                    <w:jc w:val="center"/>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395" w:type="dxa"/>
                  <w:tcBorders>
                    <w:tl2br w:val="nil"/>
                    <w:tr2bl w:val="nil"/>
                  </w:tcBorders>
                  <w:shd w:val="clear" w:color="auto" w:fill="auto"/>
                  <w:vAlign w:val="center"/>
                </w:tcPr>
                <w:p w14:paraId="629DD20A">
                  <w:pPr>
                    <w:keepNext w:val="0"/>
                    <w:keepLines w:val="0"/>
                    <w:widowControl/>
                    <w:suppressLineNumbers w:val="0"/>
                    <w:jc w:val="center"/>
                    <w:textAlignment w:val="top"/>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硝酸雾（</w:t>
                  </w:r>
                  <w:r>
                    <w:rPr>
                      <w:rFonts w:eastAsia="Times New Roman"/>
                      <w:color w:val="000000" w:themeColor="text1"/>
                      <w:spacing w:val="2"/>
                      <w:position w:val="1"/>
                      <w:szCs w:val="21"/>
                      <w:highlight w:val="none"/>
                      <w14:textFill>
                        <w14:solidFill>
                          <w14:schemeClr w14:val="tx1"/>
                        </w14:solidFill>
                      </w14:textFill>
                    </w:rPr>
                    <w:t>N</w:t>
                  </w:r>
                  <w:r>
                    <w:rPr>
                      <w:rFonts w:eastAsia="Times New Roman"/>
                      <w:color w:val="000000" w:themeColor="text1"/>
                      <w:spacing w:val="1"/>
                      <w:position w:val="1"/>
                      <w:szCs w:val="21"/>
                      <w:highlight w:val="none"/>
                      <w14:textFill>
                        <w14:solidFill>
                          <w14:schemeClr w14:val="tx1"/>
                        </w14:solidFill>
                      </w14:textFill>
                    </w:rPr>
                    <w:t>Ox</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w:t>
                  </w:r>
                </w:p>
              </w:tc>
              <w:tc>
                <w:tcPr>
                  <w:tcW w:w="1350" w:type="dxa"/>
                  <w:tcBorders>
                    <w:tl2br w:val="nil"/>
                    <w:tr2bl w:val="nil"/>
                  </w:tcBorders>
                  <w:shd w:val="clear" w:color="auto" w:fill="auto"/>
                  <w:vAlign w:val="center"/>
                </w:tcPr>
                <w:p w14:paraId="08068953">
                  <w:pPr>
                    <w:keepNext w:val="0"/>
                    <w:keepLines w:val="0"/>
                    <w:widowControl/>
                    <w:suppressLineNumbers w:val="0"/>
                    <w:jc w:val="center"/>
                    <w:textAlignment w:val="top"/>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240</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mg/m</w:t>
                  </w:r>
                  <w:r>
                    <w:rPr>
                      <w:rStyle w:val="111"/>
                      <w:rFonts w:eastAsia="宋体"/>
                      <w:color w:val="000000" w:themeColor="text1"/>
                      <w:highlight w:val="none"/>
                      <w:lang w:val="en-US" w:eastAsia="zh-CN" w:bidi="ar"/>
                      <w14:textFill>
                        <w14:solidFill>
                          <w14:schemeClr w14:val="tx1"/>
                        </w14:solidFill>
                      </w14:textFill>
                    </w:rPr>
                    <w:t>3</w:t>
                  </w:r>
                </w:p>
              </w:tc>
              <w:tc>
                <w:tcPr>
                  <w:tcW w:w="1121" w:type="dxa"/>
                  <w:tcBorders>
                    <w:tl2br w:val="nil"/>
                    <w:tr2bl w:val="nil"/>
                  </w:tcBorders>
                  <w:shd w:val="clear" w:color="auto" w:fill="auto"/>
                  <w:vAlign w:val="center"/>
                </w:tcPr>
                <w:p w14:paraId="64ED1050">
                  <w:pPr>
                    <w:keepNext w:val="0"/>
                    <w:keepLines w:val="0"/>
                    <w:widowControl/>
                    <w:suppressLineNumbers w:val="0"/>
                    <w:jc w:val="center"/>
                    <w:textAlignment w:val="top"/>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4.4</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kg/h</w:t>
                  </w:r>
                </w:p>
              </w:tc>
            </w:tr>
            <w:tr w14:paraId="659BD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57" w:type="dxa"/>
                  <w:bottom w:w="0" w:type="dxa"/>
                  <w:right w:w="57" w:type="dxa"/>
                </w:tblCellMar>
              </w:tblPrEx>
              <w:trPr>
                <w:trHeight w:val="23" w:hRule="atLeast"/>
              </w:trPr>
              <w:tc>
                <w:tcPr>
                  <w:tcW w:w="672" w:type="dxa"/>
                  <w:vMerge w:val="continue"/>
                  <w:tcBorders>
                    <w:tl2br w:val="nil"/>
                    <w:tr2bl w:val="nil"/>
                  </w:tcBorders>
                  <w:shd w:val="clear" w:color="auto" w:fill="auto"/>
                  <w:vAlign w:val="center"/>
                </w:tcPr>
                <w:p w14:paraId="68B50FEF">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870" w:type="dxa"/>
                  <w:tcBorders>
                    <w:tl2br w:val="nil"/>
                    <w:tr2bl w:val="nil"/>
                  </w:tcBorders>
                  <w:shd w:val="clear" w:color="auto" w:fill="auto"/>
                  <w:vAlign w:val="center"/>
                </w:tcPr>
                <w:p w14:paraId="35C89FBE">
                  <w:pPr>
                    <w:keepNext w:val="0"/>
                    <w:keepLines w:val="0"/>
                    <w:widowControl/>
                    <w:suppressLineNumbers w:val="0"/>
                    <w:jc w:val="center"/>
                    <w:textAlignment w:val="top"/>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碱性废气</w:t>
                  </w:r>
                </w:p>
              </w:tc>
              <w:tc>
                <w:tcPr>
                  <w:tcW w:w="2970" w:type="dxa"/>
                  <w:tcBorders>
                    <w:tl2br w:val="nil"/>
                    <w:tr2bl w:val="nil"/>
                  </w:tcBorders>
                  <w:shd w:val="clear" w:color="auto" w:fill="auto"/>
                  <w:vAlign w:val="center"/>
                </w:tcPr>
                <w:p w14:paraId="5B605CF2">
                  <w:pPr>
                    <w:keepNext w:val="0"/>
                    <w:keepLines w:val="0"/>
                    <w:widowControl/>
                    <w:suppressLineNumbers w:val="0"/>
                    <w:jc w:val="center"/>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《恶臭污染物排放标准》</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GB 14554-93</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）表2中标准</w:t>
                  </w:r>
                </w:p>
              </w:tc>
              <w:tc>
                <w:tcPr>
                  <w:tcW w:w="1395" w:type="dxa"/>
                  <w:tcBorders>
                    <w:tl2br w:val="nil"/>
                    <w:tr2bl w:val="nil"/>
                  </w:tcBorders>
                  <w:shd w:val="clear" w:color="auto" w:fill="auto"/>
                  <w:vAlign w:val="center"/>
                </w:tcPr>
                <w:p w14:paraId="2A7A183B">
                  <w:pPr>
                    <w:keepNext w:val="0"/>
                    <w:keepLines w:val="0"/>
                    <w:widowControl/>
                    <w:suppressLineNumbers w:val="0"/>
                    <w:jc w:val="center"/>
                    <w:textAlignment w:val="top"/>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三甲胺（</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TMAH可能分解出三甲胺</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350" w:type="dxa"/>
                  <w:tcBorders>
                    <w:tl2br w:val="nil"/>
                    <w:tr2bl w:val="nil"/>
                  </w:tcBorders>
                  <w:shd w:val="clear" w:color="auto" w:fill="auto"/>
                  <w:vAlign w:val="center"/>
                </w:tcPr>
                <w:p w14:paraId="0B19BE4A">
                  <w:pPr>
                    <w:keepNext w:val="0"/>
                    <w:keepLines w:val="0"/>
                    <w:widowControl/>
                    <w:suppressLineNumbers w:val="0"/>
                    <w:jc w:val="center"/>
                    <w:textAlignment w:val="top"/>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121" w:type="dxa"/>
                  <w:tcBorders>
                    <w:tl2br w:val="nil"/>
                    <w:tr2bl w:val="nil"/>
                  </w:tcBorders>
                  <w:shd w:val="clear" w:color="auto" w:fill="auto"/>
                  <w:vAlign w:val="center"/>
                </w:tcPr>
                <w:p w14:paraId="7BBBE203">
                  <w:pPr>
                    <w:keepNext w:val="0"/>
                    <w:keepLines w:val="0"/>
                    <w:widowControl/>
                    <w:suppressLineNumbers w:val="0"/>
                    <w:jc w:val="center"/>
                    <w:textAlignment w:val="top"/>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2.2</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kg/h</w:t>
                  </w:r>
                </w:p>
              </w:tc>
            </w:tr>
            <w:tr w14:paraId="2A9E6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57" w:type="dxa"/>
                  <w:bottom w:w="0" w:type="dxa"/>
                  <w:right w:w="57" w:type="dxa"/>
                </w:tblCellMar>
              </w:tblPrEx>
              <w:trPr>
                <w:trHeight w:val="23" w:hRule="atLeast"/>
              </w:trPr>
              <w:tc>
                <w:tcPr>
                  <w:tcW w:w="1542" w:type="dxa"/>
                  <w:gridSpan w:val="2"/>
                  <w:vMerge w:val="restart"/>
                  <w:tcBorders>
                    <w:tl2br w:val="nil"/>
                    <w:tr2bl w:val="nil"/>
                  </w:tcBorders>
                  <w:shd w:val="clear" w:color="auto" w:fill="auto"/>
                  <w:vAlign w:val="center"/>
                </w:tcPr>
                <w:p w14:paraId="51125AB8">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厂界无组织</w:t>
                  </w:r>
                </w:p>
              </w:tc>
              <w:tc>
                <w:tcPr>
                  <w:tcW w:w="2970" w:type="dxa"/>
                  <w:vMerge w:val="restart"/>
                  <w:tcBorders>
                    <w:tl2br w:val="nil"/>
                    <w:tr2bl w:val="nil"/>
                  </w:tcBorders>
                  <w:shd w:val="clear" w:color="auto" w:fill="auto"/>
                  <w:vAlign w:val="center"/>
                </w:tcPr>
                <w:p w14:paraId="74FF630A">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《大气污染物综合排放标准》（</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GB16297-1996</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）表</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无组织排放监控浓度限值</w:t>
                  </w:r>
                </w:p>
              </w:tc>
              <w:tc>
                <w:tcPr>
                  <w:tcW w:w="1395" w:type="dxa"/>
                  <w:tcBorders>
                    <w:tl2br w:val="nil"/>
                    <w:tr2bl w:val="nil"/>
                  </w:tcBorders>
                  <w:shd w:val="clear" w:color="auto" w:fill="auto"/>
                  <w:vAlign w:val="center"/>
                </w:tcPr>
                <w:p w14:paraId="27C84A60">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颗粒物</w:t>
                  </w:r>
                </w:p>
              </w:tc>
              <w:tc>
                <w:tcPr>
                  <w:tcW w:w="2471" w:type="dxa"/>
                  <w:gridSpan w:val="2"/>
                  <w:tcBorders>
                    <w:tl2br w:val="nil"/>
                    <w:tr2bl w:val="nil"/>
                  </w:tcBorders>
                  <w:shd w:val="clear" w:color="auto" w:fill="auto"/>
                  <w:vAlign w:val="center"/>
                </w:tcPr>
                <w:p w14:paraId="3B9F59E4">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1.0mg/m</w:t>
                  </w:r>
                  <w:r>
                    <w:rPr>
                      <w:rStyle w:val="111"/>
                      <w:rFonts w:eastAsia="宋体"/>
                      <w:color w:val="000000" w:themeColor="text1"/>
                      <w:highlight w:val="none"/>
                      <w:lang w:val="en-US" w:eastAsia="zh-CN" w:bidi="ar"/>
                      <w14:textFill>
                        <w14:solidFill>
                          <w14:schemeClr w14:val="tx1"/>
                        </w14:solidFill>
                      </w14:textFill>
                    </w:rPr>
                    <w:t>3</w:t>
                  </w:r>
                </w:p>
              </w:tc>
            </w:tr>
            <w:tr w14:paraId="3AADC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57" w:type="dxa"/>
                  <w:bottom w:w="0" w:type="dxa"/>
                  <w:right w:w="57" w:type="dxa"/>
                </w:tblCellMar>
              </w:tblPrEx>
              <w:trPr>
                <w:trHeight w:val="23" w:hRule="atLeast"/>
              </w:trPr>
              <w:tc>
                <w:tcPr>
                  <w:tcW w:w="1542" w:type="dxa"/>
                  <w:gridSpan w:val="2"/>
                  <w:vMerge w:val="continue"/>
                  <w:tcBorders>
                    <w:tl2br w:val="nil"/>
                    <w:tr2bl w:val="nil"/>
                  </w:tcBorders>
                  <w:shd w:val="clear" w:color="auto" w:fill="auto"/>
                  <w:vAlign w:val="center"/>
                </w:tcPr>
                <w:p w14:paraId="44FAE75F">
                  <w:pPr>
                    <w:keepNext w:val="0"/>
                    <w:keepLines w:val="0"/>
                    <w:widowControl/>
                    <w:suppressLineNumbers w:val="0"/>
                    <w:jc w:val="center"/>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2970" w:type="dxa"/>
                  <w:vMerge w:val="continue"/>
                  <w:tcBorders>
                    <w:tl2br w:val="nil"/>
                    <w:tr2bl w:val="nil"/>
                  </w:tcBorders>
                  <w:shd w:val="clear" w:color="auto" w:fill="auto"/>
                  <w:vAlign w:val="center"/>
                </w:tcPr>
                <w:p w14:paraId="1DE86EDB">
                  <w:pPr>
                    <w:keepNext w:val="0"/>
                    <w:keepLines w:val="0"/>
                    <w:widowControl/>
                    <w:suppressLineNumbers w:val="0"/>
                    <w:jc w:val="center"/>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395" w:type="dxa"/>
                  <w:tcBorders>
                    <w:tl2br w:val="nil"/>
                    <w:tr2bl w:val="nil"/>
                  </w:tcBorders>
                  <w:shd w:val="clear" w:color="auto" w:fill="auto"/>
                  <w:vAlign w:val="center"/>
                </w:tcPr>
                <w:p w14:paraId="5161D539">
                  <w:pPr>
                    <w:keepNext w:val="0"/>
                    <w:keepLines w:val="0"/>
                    <w:widowControl/>
                    <w:suppressLineNumbers w:val="0"/>
                    <w:jc w:val="center"/>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硫酸雾</w:t>
                  </w:r>
                </w:p>
              </w:tc>
              <w:tc>
                <w:tcPr>
                  <w:tcW w:w="2471" w:type="dxa"/>
                  <w:gridSpan w:val="2"/>
                  <w:tcBorders>
                    <w:tl2br w:val="nil"/>
                    <w:tr2bl w:val="nil"/>
                  </w:tcBorders>
                  <w:shd w:val="clear" w:color="auto" w:fill="auto"/>
                  <w:vAlign w:val="center"/>
                </w:tcPr>
                <w:p w14:paraId="17BB59C4">
                  <w:pPr>
                    <w:keepNext w:val="0"/>
                    <w:keepLines w:val="0"/>
                    <w:widowControl/>
                    <w:suppressLineNumbers w:val="0"/>
                    <w:jc w:val="center"/>
                    <w:textAlignment w:val="top"/>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1.2</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mg/m</w:t>
                  </w:r>
                  <w:r>
                    <w:rPr>
                      <w:rStyle w:val="111"/>
                      <w:rFonts w:eastAsia="宋体"/>
                      <w:color w:val="000000" w:themeColor="text1"/>
                      <w:highlight w:val="none"/>
                      <w:lang w:val="en-US" w:eastAsia="zh-CN" w:bidi="ar"/>
                      <w14:textFill>
                        <w14:solidFill>
                          <w14:schemeClr w14:val="tx1"/>
                        </w14:solidFill>
                      </w14:textFill>
                    </w:rPr>
                    <w:t>3</w:t>
                  </w:r>
                </w:p>
              </w:tc>
            </w:tr>
            <w:tr w14:paraId="30D00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57" w:type="dxa"/>
                  <w:bottom w:w="0" w:type="dxa"/>
                  <w:right w:w="57" w:type="dxa"/>
                </w:tblCellMar>
              </w:tblPrEx>
              <w:trPr>
                <w:trHeight w:val="23" w:hRule="atLeast"/>
              </w:trPr>
              <w:tc>
                <w:tcPr>
                  <w:tcW w:w="1542" w:type="dxa"/>
                  <w:gridSpan w:val="2"/>
                  <w:vMerge w:val="continue"/>
                  <w:tcBorders>
                    <w:tl2br w:val="nil"/>
                    <w:tr2bl w:val="nil"/>
                  </w:tcBorders>
                  <w:shd w:val="clear" w:color="auto" w:fill="auto"/>
                  <w:vAlign w:val="center"/>
                </w:tcPr>
                <w:p w14:paraId="59A13D19">
                  <w:pPr>
                    <w:keepNext w:val="0"/>
                    <w:keepLines w:val="0"/>
                    <w:widowControl/>
                    <w:suppressLineNumbers w:val="0"/>
                    <w:jc w:val="center"/>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2970" w:type="dxa"/>
                  <w:vMerge w:val="continue"/>
                  <w:tcBorders>
                    <w:tl2br w:val="nil"/>
                    <w:tr2bl w:val="nil"/>
                  </w:tcBorders>
                  <w:shd w:val="clear" w:color="auto" w:fill="auto"/>
                  <w:vAlign w:val="center"/>
                </w:tcPr>
                <w:p w14:paraId="3F8AA5B0">
                  <w:pPr>
                    <w:keepNext w:val="0"/>
                    <w:keepLines w:val="0"/>
                    <w:widowControl/>
                    <w:suppressLineNumbers w:val="0"/>
                    <w:jc w:val="center"/>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395" w:type="dxa"/>
                  <w:tcBorders>
                    <w:tl2br w:val="nil"/>
                    <w:tr2bl w:val="nil"/>
                  </w:tcBorders>
                  <w:shd w:val="clear" w:color="auto" w:fill="auto"/>
                  <w:vAlign w:val="center"/>
                </w:tcPr>
                <w:p w14:paraId="76BBF4EA">
                  <w:pPr>
                    <w:keepNext w:val="0"/>
                    <w:keepLines w:val="0"/>
                    <w:widowControl/>
                    <w:suppressLineNumbers w:val="0"/>
                    <w:jc w:val="center"/>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氯化氢</w:t>
                  </w:r>
                </w:p>
              </w:tc>
              <w:tc>
                <w:tcPr>
                  <w:tcW w:w="2471" w:type="dxa"/>
                  <w:gridSpan w:val="2"/>
                  <w:tcBorders>
                    <w:tl2br w:val="nil"/>
                    <w:tr2bl w:val="nil"/>
                  </w:tcBorders>
                  <w:shd w:val="clear" w:color="auto" w:fill="auto"/>
                  <w:vAlign w:val="center"/>
                </w:tcPr>
                <w:p w14:paraId="4393995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0.20</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mg/m</w:t>
                  </w:r>
                  <w:r>
                    <w:rPr>
                      <w:rStyle w:val="111"/>
                      <w:rFonts w:eastAsia="宋体"/>
                      <w:color w:val="000000" w:themeColor="text1"/>
                      <w:highlight w:val="none"/>
                      <w:lang w:val="en-US" w:eastAsia="zh-CN" w:bidi="ar"/>
                      <w14:textFill>
                        <w14:solidFill>
                          <w14:schemeClr w14:val="tx1"/>
                        </w14:solidFill>
                      </w14:textFill>
                    </w:rPr>
                    <w:t>3</w:t>
                  </w:r>
                </w:p>
              </w:tc>
            </w:tr>
            <w:tr w14:paraId="6E89E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trPr>
              <w:tc>
                <w:tcPr>
                  <w:tcW w:w="1542" w:type="dxa"/>
                  <w:gridSpan w:val="2"/>
                  <w:vMerge w:val="continue"/>
                  <w:tcBorders>
                    <w:tl2br w:val="nil"/>
                    <w:tr2bl w:val="nil"/>
                  </w:tcBorders>
                  <w:shd w:val="clear" w:color="auto" w:fill="auto"/>
                  <w:vAlign w:val="center"/>
                </w:tcPr>
                <w:p w14:paraId="5B3ADCE1">
                  <w:pPr>
                    <w:keepNext w:val="0"/>
                    <w:keepLines w:val="0"/>
                    <w:widowControl/>
                    <w:suppressLineNumbers w:val="0"/>
                    <w:jc w:val="center"/>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2970" w:type="dxa"/>
                  <w:vMerge w:val="continue"/>
                  <w:tcBorders>
                    <w:tl2br w:val="nil"/>
                    <w:tr2bl w:val="nil"/>
                  </w:tcBorders>
                  <w:shd w:val="clear" w:color="auto" w:fill="auto"/>
                  <w:vAlign w:val="center"/>
                </w:tcPr>
                <w:p w14:paraId="4BDC2E51">
                  <w:pPr>
                    <w:keepNext w:val="0"/>
                    <w:keepLines w:val="0"/>
                    <w:widowControl/>
                    <w:suppressLineNumbers w:val="0"/>
                    <w:jc w:val="center"/>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395" w:type="dxa"/>
                  <w:tcBorders>
                    <w:tl2br w:val="nil"/>
                    <w:tr2bl w:val="nil"/>
                  </w:tcBorders>
                  <w:shd w:val="clear" w:color="auto" w:fill="auto"/>
                  <w:vAlign w:val="center"/>
                </w:tcPr>
                <w:p w14:paraId="13383BB7">
                  <w:pPr>
                    <w:keepNext w:val="0"/>
                    <w:keepLines w:val="0"/>
                    <w:widowControl/>
                    <w:suppressLineNumbers w:val="0"/>
                    <w:jc w:val="center"/>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氟化物</w:t>
                  </w:r>
                </w:p>
              </w:tc>
              <w:tc>
                <w:tcPr>
                  <w:tcW w:w="2471" w:type="dxa"/>
                  <w:gridSpan w:val="2"/>
                  <w:tcBorders>
                    <w:tl2br w:val="nil"/>
                    <w:tr2bl w:val="nil"/>
                  </w:tcBorders>
                  <w:shd w:val="clear" w:color="auto" w:fill="auto"/>
                  <w:vAlign w:val="center"/>
                </w:tcPr>
                <w:p w14:paraId="28D3B14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0.02</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mg/m</w:t>
                  </w:r>
                  <w:r>
                    <w:rPr>
                      <w:rStyle w:val="111"/>
                      <w:rFonts w:eastAsia="宋体"/>
                      <w:color w:val="000000" w:themeColor="text1"/>
                      <w:highlight w:val="none"/>
                      <w:lang w:val="en-US" w:eastAsia="zh-CN" w:bidi="ar"/>
                      <w14:textFill>
                        <w14:solidFill>
                          <w14:schemeClr w14:val="tx1"/>
                        </w14:solidFill>
                      </w14:textFill>
                    </w:rPr>
                    <w:t>3</w:t>
                  </w:r>
                </w:p>
              </w:tc>
            </w:tr>
            <w:tr w14:paraId="50C94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57" w:type="dxa"/>
                  <w:bottom w:w="0" w:type="dxa"/>
                  <w:right w:w="57" w:type="dxa"/>
                </w:tblCellMar>
              </w:tblPrEx>
              <w:trPr>
                <w:trHeight w:val="23" w:hRule="atLeast"/>
              </w:trPr>
              <w:tc>
                <w:tcPr>
                  <w:tcW w:w="1542" w:type="dxa"/>
                  <w:gridSpan w:val="2"/>
                  <w:vMerge w:val="continue"/>
                  <w:tcBorders>
                    <w:tl2br w:val="nil"/>
                    <w:tr2bl w:val="nil"/>
                  </w:tcBorders>
                  <w:shd w:val="clear" w:color="auto" w:fill="auto"/>
                  <w:vAlign w:val="center"/>
                </w:tcPr>
                <w:p w14:paraId="433E649E">
                  <w:pPr>
                    <w:keepNext w:val="0"/>
                    <w:keepLines w:val="0"/>
                    <w:widowControl/>
                    <w:suppressLineNumbers w:val="0"/>
                    <w:jc w:val="center"/>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2970" w:type="dxa"/>
                  <w:vMerge w:val="continue"/>
                  <w:tcBorders>
                    <w:tl2br w:val="nil"/>
                    <w:tr2bl w:val="nil"/>
                  </w:tcBorders>
                  <w:shd w:val="clear" w:color="auto" w:fill="auto"/>
                  <w:vAlign w:val="center"/>
                </w:tcPr>
                <w:p w14:paraId="73D263F9">
                  <w:pPr>
                    <w:keepNext w:val="0"/>
                    <w:keepLines w:val="0"/>
                    <w:widowControl/>
                    <w:suppressLineNumbers w:val="0"/>
                    <w:jc w:val="center"/>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395" w:type="dxa"/>
                  <w:tcBorders>
                    <w:tl2br w:val="nil"/>
                    <w:tr2bl w:val="nil"/>
                  </w:tcBorders>
                  <w:shd w:val="clear" w:color="auto" w:fill="auto"/>
                  <w:vAlign w:val="center"/>
                </w:tcPr>
                <w:p w14:paraId="3593B04A">
                  <w:pPr>
                    <w:keepNext w:val="0"/>
                    <w:keepLines w:val="0"/>
                    <w:widowControl/>
                    <w:suppressLineNumbers w:val="0"/>
                    <w:jc w:val="center"/>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硝酸雾（</w:t>
                  </w:r>
                  <w:r>
                    <w:rPr>
                      <w:rFonts w:eastAsia="Times New Roman"/>
                      <w:color w:val="000000" w:themeColor="text1"/>
                      <w:spacing w:val="2"/>
                      <w:position w:val="1"/>
                      <w:szCs w:val="21"/>
                      <w:highlight w:val="none"/>
                      <w14:textFill>
                        <w14:solidFill>
                          <w14:schemeClr w14:val="tx1"/>
                        </w14:solidFill>
                      </w14:textFill>
                    </w:rPr>
                    <w:t>N</w:t>
                  </w:r>
                  <w:r>
                    <w:rPr>
                      <w:rFonts w:eastAsia="Times New Roman"/>
                      <w:color w:val="000000" w:themeColor="text1"/>
                      <w:spacing w:val="1"/>
                      <w:position w:val="1"/>
                      <w:szCs w:val="21"/>
                      <w:highlight w:val="none"/>
                      <w14:textFill>
                        <w14:solidFill>
                          <w14:schemeClr w14:val="tx1"/>
                        </w14:solidFill>
                      </w14:textFill>
                    </w:rPr>
                    <w:t>Ox</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w:t>
                  </w:r>
                </w:p>
              </w:tc>
              <w:tc>
                <w:tcPr>
                  <w:tcW w:w="2471" w:type="dxa"/>
                  <w:gridSpan w:val="2"/>
                  <w:tcBorders>
                    <w:tl2br w:val="nil"/>
                    <w:tr2bl w:val="nil"/>
                  </w:tcBorders>
                  <w:shd w:val="clear" w:color="auto" w:fill="auto"/>
                  <w:vAlign w:val="center"/>
                </w:tcPr>
                <w:p w14:paraId="68A94491">
                  <w:pPr>
                    <w:keepNext w:val="0"/>
                    <w:keepLines w:val="0"/>
                    <w:widowControl/>
                    <w:suppressLineNumbers w:val="0"/>
                    <w:jc w:val="center"/>
                    <w:textAlignment w:val="top"/>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0.12</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mg/m</w:t>
                  </w:r>
                  <w:r>
                    <w:rPr>
                      <w:rStyle w:val="111"/>
                      <w:rFonts w:eastAsia="宋体"/>
                      <w:color w:val="000000" w:themeColor="text1"/>
                      <w:highlight w:val="none"/>
                      <w:lang w:val="en-US" w:eastAsia="zh-CN" w:bidi="ar"/>
                      <w14:textFill>
                        <w14:solidFill>
                          <w14:schemeClr w14:val="tx1"/>
                        </w14:solidFill>
                      </w14:textFill>
                    </w:rPr>
                    <w:t>3</w:t>
                  </w:r>
                </w:p>
              </w:tc>
            </w:tr>
            <w:tr w14:paraId="6E837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57" w:type="dxa"/>
                  <w:bottom w:w="0" w:type="dxa"/>
                  <w:right w:w="57" w:type="dxa"/>
                </w:tblCellMar>
              </w:tblPrEx>
              <w:trPr>
                <w:trHeight w:val="23" w:hRule="atLeast"/>
              </w:trPr>
              <w:tc>
                <w:tcPr>
                  <w:tcW w:w="1542" w:type="dxa"/>
                  <w:gridSpan w:val="2"/>
                  <w:vMerge w:val="continue"/>
                  <w:tcBorders>
                    <w:tl2br w:val="nil"/>
                    <w:tr2bl w:val="nil"/>
                  </w:tcBorders>
                  <w:shd w:val="clear" w:color="auto" w:fill="auto"/>
                  <w:vAlign w:val="center"/>
                </w:tcPr>
                <w:p w14:paraId="2132EF25">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2970" w:type="dxa"/>
                  <w:tcBorders>
                    <w:tl2br w:val="nil"/>
                    <w:tr2bl w:val="nil"/>
                  </w:tcBorders>
                  <w:shd w:val="clear" w:color="auto" w:fill="auto"/>
                  <w:vAlign w:val="center"/>
                </w:tcPr>
                <w:p w14:paraId="5BB86C1C">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《工业企业挥发性有机物排放标准》（</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DB35/1782-2018</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）表</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标准</w:t>
                  </w:r>
                </w:p>
              </w:tc>
              <w:tc>
                <w:tcPr>
                  <w:tcW w:w="1395" w:type="dxa"/>
                  <w:tcBorders>
                    <w:tl2br w:val="nil"/>
                    <w:tr2bl w:val="nil"/>
                  </w:tcBorders>
                  <w:shd w:val="clear" w:color="auto" w:fill="auto"/>
                  <w:vAlign w:val="center"/>
                </w:tcPr>
                <w:p w14:paraId="2473481B">
                  <w:pPr>
                    <w:jc w:val="center"/>
                    <w:rPr>
                      <w:rFonts w:hint="default" w:ascii="Times New Roman" w:hAnsi="Times New Roman" w:eastAsia="宋体" w:cs="Times New Roman"/>
                      <w:i w:val="0"/>
                      <w:iCs w:val="0"/>
                      <w:color w:val="000000" w:themeColor="text1"/>
                      <w:sz w:val="23"/>
                      <w:szCs w:val="23"/>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非甲烷总烃</w:t>
                  </w:r>
                </w:p>
              </w:tc>
              <w:tc>
                <w:tcPr>
                  <w:tcW w:w="2471" w:type="dxa"/>
                  <w:gridSpan w:val="2"/>
                  <w:tcBorders>
                    <w:tl2br w:val="nil"/>
                    <w:tr2bl w:val="nil"/>
                  </w:tcBorders>
                  <w:shd w:val="clear" w:color="auto" w:fill="auto"/>
                  <w:vAlign w:val="center"/>
                </w:tcPr>
                <w:p w14:paraId="4953F329">
                  <w:pPr>
                    <w:jc w:val="center"/>
                    <w:rPr>
                      <w:rFonts w:hint="default" w:ascii="Times New Roman" w:hAnsi="Times New Roman" w:eastAsia="宋体" w:cs="Times New Roman"/>
                      <w:i w:val="0"/>
                      <w:iCs w:val="0"/>
                      <w:color w:val="000000" w:themeColor="text1"/>
                      <w:sz w:val="24"/>
                      <w:szCs w:val="24"/>
                      <w:highlight w:val="none"/>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2.0mg/m</w:t>
                  </w:r>
                  <w:r>
                    <w:rPr>
                      <w:rFonts w:hint="eastAsia" w:ascii="Times New Roman" w:hAnsi="Times New Roman" w:eastAsia="宋体"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3</w:t>
                  </w:r>
                </w:p>
              </w:tc>
            </w:tr>
            <w:tr w14:paraId="4E004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57" w:type="dxa"/>
                  <w:bottom w:w="0" w:type="dxa"/>
                  <w:right w:w="57" w:type="dxa"/>
                </w:tblCellMar>
              </w:tblPrEx>
              <w:trPr>
                <w:trHeight w:val="23" w:hRule="atLeast"/>
              </w:trPr>
              <w:tc>
                <w:tcPr>
                  <w:tcW w:w="1542" w:type="dxa"/>
                  <w:gridSpan w:val="2"/>
                  <w:vMerge w:val="continue"/>
                  <w:tcBorders>
                    <w:tl2br w:val="nil"/>
                    <w:tr2bl w:val="nil"/>
                  </w:tcBorders>
                  <w:shd w:val="clear" w:color="auto" w:fill="auto"/>
                  <w:vAlign w:val="center"/>
                </w:tcPr>
                <w:p w14:paraId="573E662F">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2970" w:type="dxa"/>
                  <w:vMerge w:val="restart"/>
                  <w:tcBorders>
                    <w:tl2br w:val="nil"/>
                    <w:tr2bl w:val="nil"/>
                  </w:tcBorders>
                  <w:shd w:val="clear" w:color="auto" w:fill="auto"/>
                  <w:vAlign w:val="center"/>
                </w:tcPr>
                <w:p w14:paraId="18B8D357">
                  <w:pPr>
                    <w:keepNext w:val="0"/>
                    <w:keepLines w:val="0"/>
                    <w:widowControl/>
                    <w:suppressLineNumbers w:val="0"/>
                    <w:jc w:val="center"/>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《恶臭污染物排放标准》（GB14554-93）表</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中标准</w:t>
                  </w:r>
                </w:p>
              </w:tc>
              <w:tc>
                <w:tcPr>
                  <w:tcW w:w="1395" w:type="dxa"/>
                  <w:tcBorders>
                    <w:tl2br w:val="nil"/>
                    <w:tr2bl w:val="nil"/>
                  </w:tcBorders>
                  <w:shd w:val="clear" w:color="auto" w:fill="auto"/>
                  <w:vAlign w:val="center"/>
                </w:tcPr>
                <w:p w14:paraId="1302F3BD">
                  <w:pPr>
                    <w:jc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氨</w:t>
                  </w:r>
                </w:p>
              </w:tc>
              <w:tc>
                <w:tcPr>
                  <w:tcW w:w="2471" w:type="dxa"/>
                  <w:gridSpan w:val="2"/>
                  <w:tcBorders>
                    <w:tl2br w:val="nil"/>
                    <w:tr2bl w:val="nil"/>
                  </w:tcBorders>
                  <w:shd w:val="clear" w:color="auto" w:fill="auto"/>
                  <w:vAlign w:val="center"/>
                </w:tcPr>
                <w:p w14:paraId="682F05DD">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1.5</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mg/m</w:t>
                  </w:r>
                  <w:r>
                    <w:rPr>
                      <w:rFonts w:hint="eastAsia" w:ascii="Times New Roman" w:hAnsi="Times New Roman" w:eastAsia="宋体"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3</w:t>
                  </w:r>
                </w:p>
              </w:tc>
            </w:tr>
            <w:tr w14:paraId="4C2A5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57" w:type="dxa"/>
                  <w:bottom w:w="0" w:type="dxa"/>
                  <w:right w:w="57" w:type="dxa"/>
                </w:tblCellMar>
              </w:tblPrEx>
              <w:trPr>
                <w:trHeight w:val="23" w:hRule="atLeast"/>
              </w:trPr>
              <w:tc>
                <w:tcPr>
                  <w:tcW w:w="1542" w:type="dxa"/>
                  <w:gridSpan w:val="2"/>
                  <w:vMerge w:val="continue"/>
                  <w:tcBorders>
                    <w:tl2br w:val="nil"/>
                    <w:tr2bl w:val="nil"/>
                  </w:tcBorders>
                  <w:shd w:val="clear" w:color="auto" w:fill="auto"/>
                  <w:vAlign w:val="center"/>
                </w:tcPr>
                <w:p w14:paraId="5A170856">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2970" w:type="dxa"/>
                  <w:vMerge w:val="continue"/>
                  <w:tcBorders>
                    <w:tl2br w:val="nil"/>
                    <w:tr2bl w:val="nil"/>
                  </w:tcBorders>
                  <w:shd w:val="clear" w:color="auto" w:fill="auto"/>
                  <w:vAlign w:val="center"/>
                </w:tcPr>
                <w:p w14:paraId="02C5104B">
                  <w:pPr>
                    <w:keepNext w:val="0"/>
                    <w:keepLines w:val="0"/>
                    <w:widowControl/>
                    <w:suppressLineNumbers w:val="0"/>
                    <w:jc w:val="center"/>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395" w:type="dxa"/>
                  <w:tcBorders>
                    <w:tl2br w:val="nil"/>
                    <w:tr2bl w:val="nil"/>
                  </w:tcBorders>
                  <w:shd w:val="clear" w:color="auto" w:fill="auto"/>
                  <w:vAlign w:val="center"/>
                </w:tcPr>
                <w:p w14:paraId="3D78EF36">
                  <w:pPr>
                    <w:jc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硫化氢</w:t>
                  </w:r>
                </w:p>
              </w:tc>
              <w:tc>
                <w:tcPr>
                  <w:tcW w:w="2471" w:type="dxa"/>
                  <w:gridSpan w:val="2"/>
                  <w:tcBorders>
                    <w:tl2br w:val="nil"/>
                    <w:tr2bl w:val="nil"/>
                  </w:tcBorders>
                  <w:shd w:val="clear" w:color="auto" w:fill="auto"/>
                  <w:vAlign w:val="center"/>
                </w:tcPr>
                <w:p w14:paraId="22125635">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0.06</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mg/m</w:t>
                  </w:r>
                  <w:r>
                    <w:rPr>
                      <w:rFonts w:hint="eastAsia" w:ascii="Times New Roman" w:hAnsi="Times New Roman" w:eastAsia="宋体"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3</w:t>
                  </w:r>
                </w:p>
              </w:tc>
            </w:tr>
            <w:tr w14:paraId="761EE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trPr>
              <w:tc>
                <w:tcPr>
                  <w:tcW w:w="1542" w:type="dxa"/>
                  <w:gridSpan w:val="2"/>
                  <w:vMerge w:val="continue"/>
                  <w:tcBorders>
                    <w:tl2br w:val="nil"/>
                    <w:tr2bl w:val="nil"/>
                  </w:tcBorders>
                  <w:shd w:val="clear" w:color="auto" w:fill="auto"/>
                  <w:vAlign w:val="center"/>
                </w:tcPr>
                <w:p w14:paraId="7E06E0C8">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2970" w:type="dxa"/>
                  <w:vMerge w:val="continue"/>
                  <w:tcBorders>
                    <w:tl2br w:val="nil"/>
                    <w:tr2bl w:val="nil"/>
                  </w:tcBorders>
                  <w:shd w:val="clear" w:color="auto" w:fill="auto"/>
                  <w:vAlign w:val="center"/>
                </w:tcPr>
                <w:p w14:paraId="14F12003">
                  <w:pPr>
                    <w:keepNext w:val="0"/>
                    <w:keepLines w:val="0"/>
                    <w:widowControl/>
                    <w:suppressLineNumbers w:val="0"/>
                    <w:jc w:val="center"/>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395" w:type="dxa"/>
                  <w:tcBorders>
                    <w:tl2br w:val="nil"/>
                    <w:tr2bl w:val="nil"/>
                  </w:tcBorders>
                  <w:shd w:val="clear" w:color="auto" w:fill="auto"/>
                  <w:vAlign w:val="center"/>
                </w:tcPr>
                <w:p w14:paraId="3A9FD5A0">
                  <w:pPr>
                    <w:jc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臭气浓度</w:t>
                  </w:r>
                </w:p>
              </w:tc>
              <w:tc>
                <w:tcPr>
                  <w:tcW w:w="2471" w:type="dxa"/>
                  <w:gridSpan w:val="2"/>
                  <w:tcBorders>
                    <w:tl2br w:val="nil"/>
                    <w:tr2bl w:val="nil"/>
                  </w:tcBorders>
                  <w:shd w:val="clear" w:color="auto" w:fill="auto"/>
                  <w:vAlign w:val="center"/>
                </w:tcPr>
                <w:p w14:paraId="017AAA91">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20</w:t>
                  </w:r>
                </w:p>
              </w:tc>
            </w:tr>
            <w:tr w14:paraId="2CEFD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57" w:type="dxa"/>
                  <w:bottom w:w="0" w:type="dxa"/>
                  <w:right w:w="57" w:type="dxa"/>
                </w:tblCellMar>
              </w:tblPrEx>
              <w:trPr>
                <w:trHeight w:val="23" w:hRule="atLeast"/>
              </w:trPr>
              <w:tc>
                <w:tcPr>
                  <w:tcW w:w="1542" w:type="dxa"/>
                  <w:gridSpan w:val="2"/>
                  <w:tcBorders>
                    <w:tl2br w:val="nil"/>
                    <w:tr2bl w:val="nil"/>
                  </w:tcBorders>
                  <w:shd w:val="clear" w:color="auto" w:fill="auto"/>
                  <w:vAlign w:val="center"/>
                </w:tcPr>
                <w:p w14:paraId="32DCC61F">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厂内无组织</w:t>
                  </w:r>
                </w:p>
              </w:tc>
              <w:tc>
                <w:tcPr>
                  <w:tcW w:w="2970" w:type="dxa"/>
                  <w:tcBorders>
                    <w:tl2br w:val="nil"/>
                    <w:tr2bl w:val="nil"/>
                  </w:tcBorders>
                  <w:shd w:val="clear" w:color="auto" w:fill="auto"/>
                  <w:vAlign w:val="center"/>
                </w:tcPr>
                <w:p w14:paraId="30CFC227">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《工业企业挥发性有机物排放标准》（</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DB35/1782-2018</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）表</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中相应标准值</w:t>
                  </w:r>
                </w:p>
              </w:tc>
              <w:tc>
                <w:tcPr>
                  <w:tcW w:w="1395" w:type="dxa"/>
                  <w:tcBorders>
                    <w:tl2br w:val="nil"/>
                    <w:tr2bl w:val="nil"/>
                  </w:tcBorders>
                  <w:shd w:val="clear" w:color="auto" w:fill="auto"/>
                  <w:vAlign w:val="center"/>
                </w:tcPr>
                <w:p w14:paraId="11BB1378">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非甲烷总烃</w:t>
                  </w:r>
                </w:p>
              </w:tc>
              <w:tc>
                <w:tcPr>
                  <w:tcW w:w="2471" w:type="dxa"/>
                  <w:gridSpan w:val="2"/>
                  <w:tcBorders>
                    <w:tl2br w:val="nil"/>
                    <w:tr2bl w:val="nil"/>
                  </w:tcBorders>
                  <w:shd w:val="clear" w:color="auto" w:fill="auto"/>
                  <w:vAlign w:val="center"/>
                </w:tcPr>
                <w:p w14:paraId="133D2258">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1h</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平均浓度</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8.0mg/m</w:t>
                  </w:r>
                  <w:r>
                    <w:rPr>
                      <w:rStyle w:val="111"/>
                      <w:rFonts w:eastAsia="宋体"/>
                      <w:color w:val="000000" w:themeColor="text1"/>
                      <w:highlight w:val="none"/>
                      <w:lang w:val="en-US" w:eastAsia="zh-CN" w:bidi="ar"/>
                      <w14:textFill>
                        <w14:solidFill>
                          <w14:schemeClr w14:val="tx1"/>
                        </w14:solidFill>
                      </w14:textFill>
                    </w:rPr>
                    <w:t>3</w:t>
                  </w:r>
                </w:p>
              </w:tc>
            </w:tr>
            <w:tr w14:paraId="725C4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57" w:type="dxa"/>
                  <w:bottom w:w="0" w:type="dxa"/>
                  <w:right w:w="57" w:type="dxa"/>
                </w:tblCellMar>
              </w:tblPrEx>
              <w:trPr>
                <w:trHeight w:val="23" w:hRule="atLeast"/>
              </w:trPr>
              <w:tc>
                <w:tcPr>
                  <w:tcW w:w="1542" w:type="dxa"/>
                  <w:gridSpan w:val="2"/>
                  <w:tcBorders>
                    <w:tl2br w:val="nil"/>
                    <w:tr2bl w:val="nil"/>
                  </w:tcBorders>
                  <w:shd w:val="clear" w:color="auto" w:fill="auto"/>
                  <w:vAlign w:val="center"/>
                </w:tcPr>
                <w:p w14:paraId="3EB9AB70">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监控点处任意一次浓度值</w:t>
                  </w:r>
                </w:p>
              </w:tc>
              <w:tc>
                <w:tcPr>
                  <w:tcW w:w="2970" w:type="dxa"/>
                  <w:tcBorders>
                    <w:tl2br w:val="nil"/>
                    <w:tr2bl w:val="nil"/>
                  </w:tcBorders>
                  <w:shd w:val="clear" w:color="auto" w:fill="auto"/>
                  <w:vAlign w:val="center"/>
                </w:tcPr>
                <w:p w14:paraId="02F883AA">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《挥发性有机物无组织排放控制标准》（</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GB37822-2019</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）中附录</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A</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表</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A.1</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标准限值</w:t>
                  </w:r>
                </w:p>
              </w:tc>
              <w:tc>
                <w:tcPr>
                  <w:tcW w:w="1395" w:type="dxa"/>
                  <w:tcBorders>
                    <w:tl2br w:val="nil"/>
                    <w:tr2bl w:val="nil"/>
                  </w:tcBorders>
                  <w:shd w:val="clear" w:color="auto" w:fill="auto"/>
                  <w:vAlign w:val="center"/>
                </w:tcPr>
                <w:p w14:paraId="5FABAC20">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非甲烷总烃</w:t>
                  </w:r>
                </w:p>
              </w:tc>
              <w:tc>
                <w:tcPr>
                  <w:tcW w:w="2471" w:type="dxa"/>
                  <w:gridSpan w:val="2"/>
                  <w:tcBorders>
                    <w:tl2br w:val="nil"/>
                    <w:tr2bl w:val="nil"/>
                  </w:tcBorders>
                  <w:shd w:val="clear" w:color="auto" w:fill="auto"/>
                  <w:vAlign w:val="center"/>
                </w:tcPr>
                <w:p w14:paraId="04053D28">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30mg/m</w:t>
                  </w:r>
                  <w:r>
                    <w:rPr>
                      <w:rStyle w:val="111"/>
                      <w:rFonts w:eastAsia="宋体"/>
                      <w:color w:val="000000" w:themeColor="text1"/>
                      <w:highlight w:val="none"/>
                      <w:lang w:val="en-US" w:eastAsia="zh-CN" w:bidi="ar"/>
                      <w14:textFill>
                        <w14:solidFill>
                          <w14:schemeClr w14:val="tx1"/>
                        </w14:solidFill>
                      </w14:textFill>
                    </w:rPr>
                    <w:t>3</w:t>
                  </w:r>
                </w:p>
              </w:tc>
            </w:tr>
          </w:tbl>
          <w:p w14:paraId="39FFD651">
            <w:pPr>
              <w:pStyle w:val="37"/>
              <w:spacing w:before="120" w:beforeLines="50"/>
              <w:rPr>
                <w:color w:val="000000" w:themeColor="text1"/>
                <w:sz w:val="24"/>
                <w:szCs w:val="21"/>
                <w:highlight w:val="none"/>
                <w14:textFill>
                  <w14:solidFill>
                    <w14:schemeClr w14:val="tx1"/>
                  </w14:solidFill>
                </w14:textFill>
              </w:rPr>
            </w:pPr>
            <w:r>
              <w:rPr>
                <w:color w:val="000000" w:themeColor="text1"/>
                <w:sz w:val="24"/>
                <w:szCs w:val="21"/>
                <w:highlight w:val="none"/>
                <w14:textFill>
                  <w14:solidFill>
                    <w14:schemeClr w14:val="tx1"/>
                  </w14:solidFill>
                </w14:textFill>
              </w:rPr>
              <w:t xml:space="preserve">3.8 </w:t>
            </w:r>
            <w:r>
              <w:rPr>
                <w:rFonts w:hint="eastAsia"/>
                <w:color w:val="000000" w:themeColor="text1"/>
                <w:sz w:val="24"/>
                <w:szCs w:val="21"/>
                <w:highlight w:val="none"/>
                <w14:textFill>
                  <w14:solidFill>
                    <w14:schemeClr w14:val="tx1"/>
                  </w14:solidFill>
                </w14:textFill>
              </w:rPr>
              <w:t>污水排放标准</w:t>
            </w:r>
          </w:p>
          <w:p w14:paraId="63AB4F3E">
            <w:pPr>
              <w:spacing w:line="360" w:lineRule="auto"/>
              <w:ind w:firstLine="480" w:firstLineChars="200"/>
              <w:rPr>
                <w:rFonts w:hint="eastAsia" w:cs="宋体"/>
                <w:bCs/>
                <w:color w:val="000000" w:themeColor="text1"/>
                <w:sz w:val="24"/>
                <w:szCs w:val="24"/>
                <w:highlight w:val="non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（1）废水排放标准</w:t>
            </w:r>
          </w:p>
          <w:p w14:paraId="4E0C2400">
            <w:pPr>
              <w:spacing w:line="360" w:lineRule="auto"/>
              <w:ind w:firstLine="480" w:firstLineChars="200"/>
              <w:rPr>
                <w:rFonts w:hint="eastAsia" w:cs="宋体"/>
                <w:bCs/>
                <w:color w:val="000000" w:themeColor="text1"/>
                <w:sz w:val="24"/>
                <w:szCs w:val="24"/>
                <w:highlight w:val="non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项目生活污水经</w:t>
            </w:r>
            <w:r>
              <w:rPr>
                <w:rFonts w:hint="eastAsia" w:cs="宋体"/>
                <w:bCs/>
                <w:color w:val="000000" w:themeColor="text1"/>
                <w:sz w:val="24"/>
                <w:szCs w:val="24"/>
                <w:highlight w:val="none"/>
                <w:lang w:val="en-US" w:eastAsia="zh-CN"/>
                <w14:textFill>
                  <w14:solidFill>
                    <w14:schemeClr w14:val="tx1"/>
                  </w14:solidFill>
                </w14:textFill>
              </w:rPr>
              <w:t>隔油+</w:t>
            </w:r>
            <w:r>
              <w:rPr>
                <w:rFonts w:hint="eastAsia" w:cs="宋体"/>
                <w:bCs/>
                <w:color w:val="000000" w:themeColor="text1"/>
                <w:sz w:val="24"/>
                <w:szCs w:val="24"/>
                <w:highlight w:val="none"/>
                <w14:textFill>
                  <w14:solidFill>
                    <w14:schemeClr w14:val="tx1"/>
                  </w14:solidFill>
                </w14:textFill>
              </w:rPr>
              <w:t>化粪池处理，生产废水</w:t>
            </w:r>
            <w:r>
              <w:rPr>
                <w:rFonts w:hint="eastAsia" w:cs="宋体"/>
                <w:bCs/>
                <w:color w:val="000000" w:themeColor="text1"/>
                <w:sz w:val="24"/>
                <w:szCs w:val="24"/>
                <w:highlight w:val="none"/>
                <w:lang w:val="en-US" w:eastAsia="zh-CN"/>
                <w14:textFill>
                  <w14:solidFill>
                    <w14:schemeClr w14:val="tx1"/>
                  </w14:solidFill>
                </w14:textFill>
              </w:rPr>
              <w:t>排入新建的</w:t>
            </w:r>
            <w:r>
              <w:rPr>
                <w:rFonts w:hint="eastAsia" w:cs="宋体"/>
                <w:bCs/>
                <w:color w:val="000000" w:themeColor="text1"/>
                <w:sz w:val="24"/>
                <w:szCs w:val="24"/>
                <w:highlight w:val="none"/>
                <w14:textFill>
                  <w14:solidFill>
                    <w14:schemeClr w14:val="tx1"/>
                  </w14:solidFill>
                </w14:textFill>
              </w:rPr>
              <w:t>污水站处理，生活污水和生产废水分别经各自处理系统预处理达标后经厂区总排口进入市政污水管网后进入福州大学城污水处理厂集中处理。</w:t>
            </w:r>
          </w:p>
          <w:p w14:paraId="733B50EC">
            <w:pPr>
              <w:spacing w:line="360" w:lineRule="auto"/>
              <w:ind w:firstLine="480" w:firstLineChars="200"/>
              <w:rPr>
                <w:rFonts w:hint="eastAsia" w:eastAsia="宋体" w:cs="宋体"/>
                <w:bCs/>
                <w:color w:val="000000" w:themeColor="text1"/>
                <w:sz w:val="24"/>
                <w:szCs w:val="24"/>
                <w:highlight w:val="none"/>
                <w:lang w:val="en-US" w:eastAsia="zh-CN"/>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生活污水排放执行《污水综合排放标准》（GB8978-1996）表4中三级标准后（其中氨氮参照执行《污水排入城镇下水道水质标准》（GB/T31962-2015）B等级标准）</w:t>
            </w:r>
            <w:r>
              <w:rPr>
                <w:rFonts w:hint="eastAsia" w:cs="宋体"/>
                <w:bCs/>
                <w:color w:val="000000" w:themeColor="text1"/>
                <w:sz w:val="24"/>
                <w:szCs w:val="24"/>
                <w:highlight w:val="none"/>
                <w:lang w:eastAsia="zh-CN"/>
                <w14:textFill>
                  <w14:solidFill>
                    <w14:schemeClr w14:val="tx1"/>
                  </w14:solidFill>
                </w14:textFill>
              </w:rPr>
              <w:t>。</w:t>
            </w:r>
          </w:p>
          <w:p w14:paraId="4F90DE93">
            <w:pPr>
              <w:spacing w:line="360" w:lineRule="auto"/>
              <w:ind w:firstLine="480" w:firstLineChars="200"/>
              <w:rPr>
                <w:rFonts w:hint="eastAsia" w:cs="宋体"/>
                <w:bCs/>
                <w:color w:val="000000" w:themeColor="text1"/>
                <w:sz w:val="24"/>
                <w:szCs w:val="24"/>
                <w:highlight w:val="non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生产废水排放执行《电子工业水污染物排放标准》（GB 39731-2020）间接排放标准。</w:t>
            </w:r>
          </w:p>
          <w:p w14:paraId="6BBEF2C1">
            <w:pPr>
              <w:spacing w:line="360" w:lineRule="auto"/>
              <w:ind w:firstLine="480" w:firstLineChars="200"/>
              <w:rPr>
                <w:rFonts w:hint="eastAsia" w:cs="宋体"/>
                <w:bCs/>
                <w:color w:val="000000" w:themeColor="text1"/>
                <w:sz w:val="24"/>
                <w:szCs w:val="24"/>
                <w:highlight w:val="non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厂区生活污水和生产废水排放同时应满足大学城污水处理厂进水水质标准。</w:t>
            </w:r>
          </w:p>
          <w:p w14:paraId="255DE160">
            <w:pPr>
              <w:spacing w:line="360" w:lineRule="auto"/>
              <w:ind w:firstLine="480" w:firstLineChars="200"/>
              <w:rPr>
                <w:rFonts w:hint="eastAsia" w:cs="宋体"/>
                <w:bCs/>
                <w:color w:val="000000" w:themeColor="text1"/>
                <w:sz w:val="24"/>
                <w:szCs w:val="24"/>
                <w:highlight w:val="non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污染物排放标准见</w:t>
            </w:r>
            <w:r>
              <w:rPr>
                <w:rFonts w:hint="eastAsia" w:cs="宋体"/>
                <w:bCs/>
                <w:color w:val="000000" w:themeColor="text1"/>
                <w:sz w:val="24"/>
                <w:szCs w:val="24"/>
                <w:highlight w:val="none"/>
                <w:lang w:val="en-US" w:eastAsia="zh-CN"/>
                <w14:textFill>
                  <w14:solidFill>
                    <w14:schemeClr w14:val="tx1"/>
                  </w14:solidFill>
                </w14:textFill>
              </w:rPr>
              <w:t>下</w:t>
            </w:r>
            <w:r>
              <w:rPr>
                <w:rFonts w:hint="eastAsia" w:cs="宋体"/>
                <w:bCs/>
                <w:color w:val="000000" w:themeColor="text1"/>
                <w:sz w:val="24"/>
                <w:szCs w:val="24"/>
                <w:highlight w:val="none"/>
                <w14:textFill>
                  <w14:solidFill>
                    <w14:schemeClr w14:val="tx1"/>
                  </w14:solidFill>
                </w14:textFill>
              </w:rPr>
              <w:t>表。</w:t>
            </w:r>
          </w:p>
          <w:p w14:paraId="1289C781">
            <w:pPr>
              <w:pStyle w:val="69"/>
              <w:spacing w:line="360" w:lineRule="auto"/>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表3</w:t>
            </w:r>
            <w:r>
              <w:rPr>
                <w:rFonts w:hint="eastAsia" w:eastAsia="宋体" w:cs="宋体"/>
                <w:b/>
                <w:color w:val="000000" w:themeColor="text1"/>
                <w:kern w:val="2"/>
                <w:sz w:val="24"/>
                <w:szCs w:val="24"/>
                <w:highlight w:val="none"/>
                <w:lang w:val="en-US" w:eastAsia="zh-CN" w:bidi="ar-SA"/>
                <w14:textFill>
                  <w14:solidFill>
                    <w14:schemeClr w14:val="tx1"/>
                  </w14:solidFill>
                </w14:textFill>
              </w:rPr>
              <w:t>.8</w:t>
            </w: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w:t>
            </w:r>
            <w:r>
              <w:rPr>
                <w:rFonts w:hint="eastAsia" w:eastAsia="宋体" w:cs="宋体"/>
                <w:b/>
                <w:color w:val="000000" w:themeColor="text1"/>
                <w:kern w:val="2"/>
                <w:sz w:val="24"/>
                <w:szCs w:val="24"/>
                <w:highlight w:val="none"/>
                <w:lang w:val="en-US" w:eastAsia="zh-CN" w:bidi="ar-SA"/>
                <w14:textFill>
                  <w14:solidFill>
                    <w14:schemeClr w14:val="tx1"/>
                  </w14:solidFill>
                </w14:textFill>
              </w:rPr>
              <w:t>1</w:t>
            </w: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 xml:space="preserve">  项目废水污染物排放标准  单位：mg/L，pH无量纲</w:t>
            </w:r>
          </w:p>
          <w:tbl>
            <w:tblPr>
              <w:tblStyle w:val="30"/>
              <w:tblW w:w="5000" w:type="pct"/>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332"/>
              <w:gridCol w:w="1170"/>
              <w:gridCol w:w="3240"/>
              <w:gridCol w:w="2638"/>
            </w:tblGrid>
            <w:tr w14:paraId="0880E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 w:hRule="atLeast"/>
              </w:trPr>
              <w:tc>
                <w:tcPr>
                  <w:tcW w:w="1332" w:type="dxa"/>
                  <w:vMerge w:val="restart"/>
                  <w:tcBorders>
                    <w:tl2br w:val="nil"/>
                    <w:tr2bl w:val="nil"/>
                  </w:tcBorders>
                  <w:shd w:val="clear" w:color="auto" w:fill="auto"/>
                  <w:vAlign w:val="center"/>
                </w:tcPr>
                <w:p w14:paraId="26A79E00">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污水类别</w:t>
                  </w:r>
                </w:p>
              </w:tc>
              <w:tc>
                <w:tcPr>
                  <w:tcW w:w="1170" w:type="dxa"/>
                  <w:vMerge w:val="restart"/>
                  <w:tcBorders>
                    <w:tl2br w:val="nil"/>
                    <w:tr2bl w:val="nil"/>
                  </w:tcBorders>
                  <w:shd w:val="clear" w:color="auto" w:fill="auto"/>
                  <w:vAlign w:val="center"/>
                </w:tcPr>
                <w:p w14:paraId="3CB54794">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单位</w:t>
                  </w:r>
                </w:p>
              </w:tc>
              <w:tc>
                <w:tcPr>
                  <w:tcW w:w="3240" w:type="dxa"/>
                  <w:tcBorders>
                    <w:tl2br w:val="nil"/>
                    <w:tr2bl w:val="nil"/>
                  </w:tcBorders>
                  <w:shd w:val="clear" w:color="auto" w:fill="auto"/>
                  <w:vAlign w:val="center"/>
                </w:tcPr>
                <w:p w14:paraId="005DB2EE">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生产废水</w:t>
                  </w:r>
                </w:p>
              </w:tc>
              <w:tc>
                <w:tcPr>
                  <w:tcW w:w="2638" w:type="dxa"/>
                  <w:tcBorders>
                    <w:tl2br w:val="nil"/>
                    <w:tr2bl w:val="nil"/>
                  </w:tcBorders>
                  <w:shd w:val="clear" w:color="auto" w:fill="auto"/>
                  <w:vAlign w:val="center"/>
                </w:tcPr>
                <w:p w14:paraId="3B50E5BC">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生活污水</w:t>
                  </w:r>
                </w:p>
              </w:tc>
            </w:tr>
            <w:tr w14:paraId="3E995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332" w:type="dxa"/>
                  <w:vMerge w:val="continue"/>
                  <w:tcBorders>
                    <w:tl2br w:val="nil"/>
                    <w:tr2bl w:val="nil"/>
                  </w:tcBorders>
                  <w:shd w:val="clear" w:color="auto" w:fill="auto"/>
                  <w:vAlign w:val="center"/>
                </w:tcPr>
                <w:p w14:paraId="56447317">
                  <w:pPr>
                    <w:jc w:val="center"/>
                    <w:rPr>
                      <w:rFonts w:hint="eastAsia" w:ascii="宋体" w:hAnsi="宋体" w:eastAsia="宋体" w:cs="宋体"/>
                      <w:i w:val="0"/>
                      <w:iCs w:val="0"/>
                      <w:color w:val="000000" w:themeColor="text1"/>
                      <w:sz w:val="2"/>
                      <w:szCs w:val="2"/>
                      <w:highlight w:val="none"/>
                      <w:u w:val="none"/>
                      <w14:textFill>
                        <w14:solidFill>
                          <w14:schemeClr w14:val="tx1"/>
                        </w14:solidFill>
                      </w14:textFill>
                    </w:rPr>
                  </w:pPr>
                </w:p>
              </w:tc>
              <w:tc>
                <w:tcPr>
                  <w:tcW w:w="1170" w:type="dxa"/>
                  <w:vMerge w:val="continue"/>
                  <w:tcBorders>
                    <w:tl2br w:val="nil"/>
                    <w:tr2bl w:val="nil"/>
                  </w:tcBorders>
                  <w:shd w:val="clear" w:color="auto" w:fill="auto"/>
                  <w:vAlign w:val="center"/>
                </w:tcPr>
                <w:p w14:paraId="2572A328">
                  <w:pPr>
                    <w:jc w:val="center"/>
                    <w:rPr>
                      <w:rFonts w:hint="eastAsia" w:ascii="宋体" w:hAnsi="宋体" w:eastAsia="宋体" w:cs="宋体"/>
                      <w:i w:val="0"/>
                      <w:iCs w:val="0"/>
                      <w:color w:val="000000" w:themeColor="text1"/>
                      <w:sz w:val="2"/>
                      <w:szCs w:val="2"/>
                      <w:highlight w:val="none"/>
                      <w:u w:val="none"/>
                      <w14:textFill>
                        <w14:solidFill>
                          <w14:schemeClr w14:val="tx1"/>
                        </w14:solidFill>
                      </w14:textFill>
                    </w:rPr>
                  </w:pPr>
                </w:p>
              </w:tc>
              <w:tc>
                <w:tcPr>
                  <w:tcW w:w="3240" w:type="dxa"/>
                  <w:tcBorders>
                    <w:tl2br w:val="nil"/>
                    <w:tr2bl w:val="nil"/>
                  </w:tcBorders>
                  <w:shd w:val="clear" w:color="auto" w:fill="auto"/>
                  <w:vAlign w:val="center"/>
                </w:tcPr>
                <w:p w14:paraId="7DAC4160">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《电子工业水污染物排放标准》（</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GB 39731-2020</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）间接排放标准</w:t>
                  </w:r>
                </w:p>
              </w:tc>
              <w:tc>
                <w:tcPr>
                  <w:tcW w:w="2638" w:type="dxa"/>
                  <w:tcBorders>
                    <w:tl2br w:val="nil"/>
                    <w:tr2bl w:val="nil"/>
                  </w:tcBorders>
                  <w:shd w:val="clear" w:color="auto" w:fill="auto"/>
                  <w:vAlign w:val="center"/>
                </w:tcPr>
                <w:p w14:paraId="29CC8485">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《污水综合排放标准》（</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GB8978-1996</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）三级标准</w:t>
                  </w:r>
                </w:p>
              </w:tc>
            </w:tr>
            <w:tr w14:paraId="4EDB53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332" w:type="dxa"/>
                  <w:tcBorders>
                    <w:tl2br w:val="nil"/>
                    <w:tr2bl w:val="nil"/>
                  </w:tcBorders>
                  <w:shd w:val="clear" w:color="auto" w:fill="auto"/>
                  <w:vAlign w:val="center"/>
                </w:tcPr>
                <w:p w14:paraId="20C048F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pH</w:t>
                  </w:r>
                </w:p>
              </w:tc>
              <w:tc>
                <w:tcPr>
                  <w:tcW w:w="1170" w:type="dxa"/>
                  <w:tcBorders>
                    <w:tl2br w:val="nil"/>
                    <w:tr2bl w:val="nil"/>
                  </w:tcBorders>
                  <w:shd w:val="clear" w:color="auto" w:fill="auto"/>
                  <w:vAlign w:val="center"/>
                </w:tcPr>
                <w:p w14:paraId="044623BF">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无量纲</w:t>
                  </w:r>
                </w:p>
              </w:tc>
              <w:tc>
                <w:tcPr>
                  <w:tcW w:w="3240" w:type="dxa"/>
                  <w:tcBorders>
                    <w:tl2br w:val="nil"/>
                    <w:tr2bl w:val="nil"/>
                  </w:tcBorders>
                  <w:shd w:val="clear" w:color="auto" w:fill="auto"/>
                  <w:vAlign w:val="center"/>
                </w:tcPr>
                <w:p w14:paraId="24DADDF1">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w:t>
                  </w:r>
                </w:p>
              </w:tc>
              <w:tc>
                <w:tcPr>
                  <w:tcW w:w="2638" w:type="dxa"/>
                  <w:tcBorders>
                    <w:tl2br w:val="nil"/>
                    <w:tr2bl w:val="nil"/>
                  </w:tcBorders>
                  <w:shd w:val="clear" w:color="auto" w:fill="auto"/>
                  <w:vAlign w:val="center"/>
                </w:tcPr>
                <w:p w14:paraId="7467F774">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6~9</w:t>
                  </w:r>
                </w:p>
              </w:tc>
            </w:tr>
            <w:tr w14:paraId="1EA16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332" w:type="dxa"/>
                  <w:tcBorders>
                    <w:tl2br w:val="nil"/>
                    <w:tr2bl w:val="nil"/>
                  </w:tcBorders>
                  <w:shd w:val="clear" w:color="auto" w:fill="auto"/>
                  <w:vAlign w:val="center"/>
                </w:tcPr>
                <w:p w14:paraId="6E3F81CC">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COD</w:t>
                  </w:r>
                </w:p>
              </w:tc>
              <w:tc>
                <w:tcPr>
                  <w:tcW w:w="1170" w:type="dxa"/>
                  <w:tcBorders>
                    <w:tl2br w:val="nil"/>
                    <w:tr2bl w:val="nil"/>
                  </w:tcBorders>
                  <w:shd w:val="clear" w:color="auto" w:fill="auto"/>
                  <w:vAlign w:val="center"/>
                </w:tcPr>
                <w:p w14:paraId="0645A8B1">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mg/L</w:t>
                  </w:r>
                </w:p>
              </w:tc>
              <w:tc>
                <w:tcPr>
                  <w:tcW w:w="3240" w:type="dxa"/>
                  <w:tcBorders>
                    <w:tl2br w:val="nil"/>
                    <w:tr2bl w:val="nil"/>
                  </w:tcBorders>
                  <w:shd w:val="clear" w:color="auto" w:fill="auto"/>
                  <w:vAlign w:val="center"/>
                </w:tcPr>
                <w:p w14:paraId="01BB43DA">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500</w:t>
                  </w:r>
                </w:p>
              </w:tc>
              <w:tc>
                <w:tcPr>
                  <w:tcW w:w="2638" w:type="dxa"/>
                  <w:tcBorders>
                    <w:tl2br w:val="nil"/>
                    <w:tr2bl w:val="nil"/>
                  </w:tcBorders>
                  <w:shd w:val="clear" w:color="auto" w:fill="auto"/>
                  <w:vAlign w:val="center"/>
                </w:tcPr>
                <w:p w14:paraId="29B353C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500</w:t>
                  </w:r>
                </w:p>
              </w:tc>
            </w:tr>
            <w:tr w14:paraId="5829A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332" w:type="dxa"/>
                  <w:tcBorders>
                    <w:tl2br w:val="nil"/>
                    <w:tr2bl w:val="nil"/>
                  </w:tcBorders>
                  <w:shd w:val="clear" w:color="auto" w:fill="auto"/>
                  <w:vAlign w:val="center"/>
                </w:tcPr>
                <w:p w14:paraId="72E67FD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BOD</w:t>
                  </w:r>
                  <w:r>
                    <w:rPr>
                      <w:rFonts w:hint="default" w:ascii="Times New Roman" w:hAnsi="Times New Roman" w:eastAsia="宋体" w:cs="Times New Roman"/>
                      <w:i w:val="0"/>
                      <w:iCs w:val="0"/>
                      <w:color w:val="000000" w:themeColor="text1"/>
                      <w:kern w:val="0"/>
                      <w:sz w:val="21"/>
                      <w:szCs w:val="21"/>
                      <w:highlight w:val="none"/>
                      <w:u w:val="none"/>
                      <w:vertAlign w:val="subscript"/>
                      <w:lang w:val="en-US" w:eastAsia="zh-CN" w:bidi="ar"/>
                      <w14:textFill>
                        <w14:solidFill>
                          <w14:schemeClr w14:val="tx1"/>
                        </w14:solidFill>
                      </w14:textFill>
                    </w:rPr>
                    <w:t>5</w:t>
                  </w:r>
                </w:p>
              </w:tc>
              <w:tc>
                <w:tcPr>
                  <w:tcW w:w="1170" w:type="dxa"/>
                  <w:tcBorders>
                    <w:tl2br w:val="nil"/>
                    <w:tr2bl w:val="nil"/>
                  </w:tcBorders>
                  <w:shd w:val="clear" w:color="auto" w:fill="auto"/>
                  <w:vAlign w:val="center"/>
                </w:tcPr>
                <w:p w14:paraId="769A5040">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mg/L</w:t>
                  </w:r>
                </w:p>
              </w:tc>
              <w:tc>
                <w:tcPr>
                  <w:tcW w:w="3240" w:type="dxa"/>
                  <w:tcBorders>
                    <w:tl2br w:val="nil"/>
                    <w:tr2bl w:val="nil"/>
                  </w:tcBorders>
                  <w:shd w:val="clear" w:color="auto" w:fill="auto"/>
                  <w:vAlign w:val="center"/>
                </w:tcPr>
                <w:p w14:paraId="2737F6B2">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2638" w:type="dxa"/>
                  <w:tcBorders>
                    <w:tl2br w:val="nil"/>
                    <w:tr2bl w:val="nil"/>
                  </w:tcBorders>
                  <w:shd w:val="clear" w:color="auto" w:fill="auto"/>
                  <w:vAlign w:val="center"/>
                </w:tcPr>
                <w:p w14:paraId="15EB7252">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300</w:t>
                  </w:r>
                </w:p>
              </w:tc>
            </w:tr>
            <w:tr w14:paraId="67BFE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332" w:type="dxa"/>
                  <w:tcBorders>
                    <w:tl2br w:val="nil"/>
                    <w:tr2bl w:val="nil"/>
                  </w:tcBorders>
                  <w:shd w:val="clear" w:color="auto" w:fill="auto"/>
                  <w:vAlign w:val="center"/>
                </w:tcPr>
                <w:p w14:paraId="45F305A1">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氨氮</w:t>
                  </w:r>
                </w:p>
              </w:tc>
              <w:tc>
                <w:tcPr>
                  <w:tcW w:w="1170" w:type="dxa"/>
                  <w:tcBorders>
                    <w:tl2br w:val="nil"/>
                    <w:tr2bl w:val="nil"/>
                  </w:tcBorders>
                  <w:shd w:val="clear" w:color="auto" w:fill="auto"/>
                  <w:vAlign w:val="center"/>
                </w:tcPr>
                <w:p w14:paraId="4A55C94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mg/L</w:t>
                  </w:r>
                </w:p>
              </w:tc>
              <w:tc>
                <w:tcPr>
                  <w:tcW w:w="3240" w:type="dxa"/>
                  <w:tcBorders>
                    <w:tl2br w:val="nil"/>
                    <w:tr2bl w:val="nil"/>
                  </w:tcBorders>
                  <w:shd w:val="clear" w:color="auto" w:fill="auto"/>
                  <w:vAlign w:val="center"/>
                </w:tcPr>
                <w:p w14:paraId="3B4B596A">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45</w:t>
                  </w:r>
                </w:p>
              </w:tc>
              <w:tc>
                <w:tcPr>
                  <w:tcW w:w="2638" w:type="dxa"/>
                  <w:tcBorders>
                    <w:tl2br w:val="nil"/>
                    <w:tr2bl w:val="nil"/>
                  </w:tcBorders>
                  <w:shd w:val="clear" w:color="auto" w:fill="auto"/>
                  <w:vAlign w:val="center"/>
                </w:tcPr>
                <w:p w14:paraId="715B818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45</w:t>
                  </w:r>
                </w:p>
              </w:tc>
            </w:tr>
            <w:tr w14:paraId="50FD6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332" w:type="dxa"/>
                  <w:tcBorders>
                    <w:tl2br w:val="nil"/>
                    <w:tr2bl w:val="nil"/>
                  </w:tcBorders>
                  <w:shd w:val="clear" w:color="auto" w:fill="auto"/>
                  <w:vAlign w:val="center"/>
                </w:tcPr>
                <w:p w14:paraId="4F5D6260">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SS</w:t>
                  </w:r>
                </w:p>
              </w:tc>
              <w:tc>
                <w:tcPr>
                  <w:tcW w:w="1170" w:type="dxa"/>
                  <w:tcBorders>
                    <w:tl2br w:val="nil"/>
                    <w:tr2bl w:val="nil"/>
                  </w:tcBorders>
                  <w:shd w:val="clear" w:color="auto" w:fill="auto"/>
                  <w:vAlign w:val="center"/>
                </w:tcPr>
                <w:p w14:paraId="344C2421">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mg/L</w:t>
                  </w:r>
                </w:p>
              </w:tc>
              <w:tc>
                <w:tcPr>
                  <w:tcW w:w="3240" w:type="dxa"/>
                  <w:tcBorders>
                    <w:tl2br w:val="nil"/>
                    <w:tr2bl w:val="nil"/>
                  </w:tcBorders>
                  <w:shd w:val="clear" w:color="auto" w:fill="auto"/>
                  <w:vAlign w:val="center"/>
                </w:tcPr>
                <w:p w14:paraId="7431316A">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400</w:t>
                  </w:r>
                </w:p>
              </w:tc>
              <w:tc>
                <w:tcPr>
                  <w:tcW w:w="2638" w:type="dxa"/>
                  <w:tcBorders>
                    <w:tl2br w:val="nil"/>
                    <w:tr2bl w:val="nil"/>
                  </w:tcBorders>
                  <w:shd w:val="clear" w:color="auto" w:fill="auto"/>
                  <w:vAlign w:val="center"/>
                </w:tcPr>
                <w:p w14:paraId="1C70A84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400</w:t>
                  </w:r>
                </w:p>
              </w:tc>
            </w:tr>
            <w:tr w14:paraId="2C457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332" w:type="dxa"/>
                  <w:tcBorders>
                    <w:tl2br w:val="nil"/>
                    <w:tr2bl w:val="nil"/>
                  </w:tcBorders>
                  <w:shd w:val="clear" w:color="auto" w:fill="auto"/>
                  <w:vAlign w:val="center"/>
                </w:tcPr>
                <w:p w14:paraId="4C799E37">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总氮</w:t>
                  </w:r>
                </w:p>
              </w:tc>
              <w:tc>
                <w:tcPr>
                  <w:tcW w:w="1170" w:type="dxa"/>
                  <w:tcBorders>
                    <w:tl2br w:val="nil"/>
                    <w:tr2bl w:val="nil"/>
                  </w:tcBorders>
                  <w:shd w:val="clear" w:color="auto" w:fill="auto"/>
                  <w:vAlign w:val="center"/>
                </w:tcPr>
                <w:p w14:paraId="55704A57">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mg/L</w:t>
                  </w:r>
                </w:p>
              </w:tc>
              <w:tc>
                <w:tcPr>
                  <w:tcW w:w="3240" w:type="dxa"/>
                  <w:tcBorders>
                    <w:tl2br w:val="nil"/>
                    <w:tr2bl w:val="nil"/>
                  </w:tcBorders>
                  <w:shd w:val="clear" w:color="auto" w:fill="auto"/>
                  <w:vAlign w:val="center"/>
                </w:tcPr>
                <w:p w14:paraId="6936EDE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70</w:t>
                  </w:r>
                </w:p>
              </w:tc>
              <w:tc>
                <w:tcPr>
                  <w:tcW w:w="2638" w:type="dxa"/>
                  <w:tcBorders>
                    <w:tl2br w:val="nil"/>
                    <w:tr2bl w:val="nil"/>
                  </w:tcBorders>
                  <w:shd w:val="clear" w:color="auto" w:fill="auto"/>
                  <w:vAlign w:val="center"/>
                </w:tcPr>
                <w:p w14:paraId="4938DA9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70</w:t>
                  </w:r>
                </w:p>
              </w:tc>
            </w:tr>
            <w:tr w14:paraId="11C54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332" w:type="dxa"/>
                  <w:tcBorders>
                    <w:tl2br w:val="nil"/>
                    <w:tr2bl w:val="nil"/>
                  </w:tcBorders>
                  <w:shd w:val="clear" w:color="auto" w:fill="auto"/>
                  <w:vAlign w:val="center"/>
                </w:tcPr>
                <w:p w14:paraId="5FF3C8EA">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总磷</w:t>
                  </w:r>
                </w:p>
              </w:tc>
              <w:tc>
                <w:tcPr>
                  <w:tcW w:w="1170" w:type="dxa"/>
                  <w:tcBorders>
                    <w:tl2br w:val="nil"/>
                    <w:tr2bl w:val="nil"/>
                  </w:tcBorders>
                  <w:shd w:val="clear" w:color="auto" w:fill="auto"/>
                  <w:vAlign w:val="center"/>
                </w:tcPr>
                <w:p w14:paraId="383802F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mg/L</w:t>
                  </w:r>
                </w:p>
              </w:tc>
              <w:tc>
                <w:tcPr>
                  <w:tcW w:w="3240" w:type="dxa"/>
                  <w:tcBorders>
                    <w:tl2br w:val="nil"/>
                    <w:tr2bl w:val="nil"/>
                  </w:tcBorders>
                  <w:shd w:val="clear" w:color="auto" w:fill="auto"/>
                  <w:vAlign w:val="center"/>
                </w:tcPr>
                <w:p w14:paraId="3F7ABFF7">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w:t>
                  </w:r>
                </w:p>
              </w:tc>
              <w:tc>
                <w:tcPr>
                  <w:tcW w:w="2638" w:type="dxa"/>
                  <w:tcBorders>
                    <w:tl2br w:val="nil"/>
                    <w:tr2bl w:val="nil"/>
                  </w:tcBorders>
                  <w:shd w:val="clear" w:color="auto" w:fill="auto"/>
                  <w:vAlign w:val="center"/>
                </w:tcPr>
                <w:p w14:paraId="1D41B58A">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w:t>
                  </w:r>
                </w:p>
              </w:tc>
            </w:tr>
            <w:tr w14:paraId="356F1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332" w:type="dxa"/>
                  <w:tcBorders>
                    <w:tl2br w:val="nil"/>
                    <w:tr2bl w:val="nil"/>
                  </w:tcBorders>
                  <w:shd w:val="clear" w:color="auto" w:fill="auto"/>
                  <w:vAlign w:val="center"/>
                </w:tcPr>
                <w:p w14:paraId="48E5B990">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动植物油</w:t>
                  </w:r>
                </w:p>
              </w:tc>
              <w:tc>
                <w:tcPr>
                  <w:tcW w:w="1170" w:type="dxa"/>
                  <w:tcBorders>
                    <w:tl2br w:val="nil"/>
                    <w:tr2bl w:val="nil"/>
                  </w:tcBorders>
                  <w:shd w:val="clear" w:color="auto" w:fill="auto"/>
                  <w:vAlign w:val="center"/>
                </w:tcPr>
                <w:p w14:paraId="02B2E49E">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mg/L</w:t>
                  </w:r>
                </w:p>
              </w:tc>
              <w:tc>
                <w:tcPr>
                  <w:tcW w:w="3240" w:type="dxa"/>
                  <w:tcBorders>
                    <w:tl2br w:val="nil"/>
                    <w:tr2bl w:val="nil"/>
                  </w:tcBorders>
                  <w:shd w:val="clear" w:color="auto" w:fill="auto"/>
                  <w:vAlign w:val="center"/>
                </w:tcPr>
                <w:p w14:paraId="6A9A32B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2638" w:type="dxa"/>
                  <w:tcBorders>
                    <w:tl2br w:val="nil"/>
                    <w:tr2bl w:val="nil"/>
                  </w:tcBorders>
                  <w:shd w:val="clear" w:color="auto" w:fill="auto"/>
                  <w:vAlign w:val="center"/>
                </w:tcPr>
                <w:p w14:paraId="68F60F70">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100</w:t>
                  </w:r>
                </w:p>
              </w:tc>
            </w:tr>
            <w:tr w14:paraId="3472D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332" w:type="dxa"/>
                  <w:tcBorders>
                    <w:tl2br w:val="nil"/>
                    <w:tr2bl w:val="nil"/>
                  </w:tcBorders>
                  <w:shd w:val="clear" w:color="auto" w:fill="auto"/>
                  <w:vAlign w:val="center"/>
                </w:tcPr>
                <w:p w14:paraId="3A201543">
                  <w:pPr>
                    <w:keepNext w:val="0"/>
                    <w:keepLines w:val="0"/>
                    <w:widowControl/>
                    <w:suppressLineNumbers w:val="0"/>
                    <w:jc w:val="center"/>
                    <w:textAlignment w:val="top"/>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氟化物</w:t>
                  </w:r>
                </w:p>
              </w:tc>
              <w:tc>
                <w:tcPr>
                  <w:tcW w:w="1170" w:type="dxa"/>
                  <w:tcBorders>
                    <w:tl2br w:val="nil"/>
                    <w:tr2bl w:val="nil"/>
                  </w:tcBorders>
                  <w:shd w:val="clear" w:color="auto" w:fill="auto"/>
                  <w:vAlign w:val="center"/>
                </w:tcPr>
                <w:p w14:paraId="54C17C7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mg/L</w:t>
                  </w:r>
                </w:p>
              </w:tc>
              <w:tc>
                <w:tcPr>
                  <w:tcW w:w="3240" w:type="dxa"/>
                  <w:tcBorders>
                    <w:tl2br w:val="nil"/>
                    <w:tr2bl w:val="nil"/>
                  </w:tcBorders>
                  <w:shd w:val="clear" w:color="auto" w:fill="auto"/>
                  <w:vAlign w:val="center"/>
                </w:tcPr>
                <w:p w14:paraId="7F193602">
                  <w:pPr>
                    <w:keepNext w:val="0"/>
                    <w:keepLines w:val="0"/>
                    <w:widowControl/>
                    <w:suppressLineNumbers w:val="0"/>
                    <w:jc w:val="center"/>
                    <w:textAlignment w:val="top"/>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20</w:t>
                  </w:r>
                </w:p>
              </w:tc>
              <w:tc>
                <w:tcPr>
                  <w:tcW w:w="2638" w:type="dxa"/>
                  <w:tcBorders>
                    <w:tl2br w:val="nil"/>
                    <w:tr2bl w:val="nil"/>
                  </w:tcBorders>
                  <w:shd w:val="clear" w:color="auto" w:fill="auto"/>
                  <w:vAlign w:val="center"/>
                </w:tcPr>
                <w:p w14:paraId="73C81210">
                  <w:pPr>
                    <w:keepNext w:val="0"/>
                    <w:keepLines w:val="0"/>
                    <w:widowControl/>
                    <w:suppressLineNumbers w:val="0"/>
                    <w:jc w:val="center"/>
                    <w:textAlignment w:val="top"/>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r>
          </w:tbl>
          <w:p w14:paraId="6F729C36">
            <w:pPr>
              <w:spacing w:line="360" w:lineRule="auto"/>
              <w:ind w:firstLine="480" w:firstLineChars="200"/>
              <w:rPr>
                <w:rFonts w:hint="eastAsia" w:cs="宋体"/>
                <w:bCs/>
                <w:color w:val="000000" w:themeColor="text1"/>
                <w:sz w:val="24"/>
                <w:szCs w:val="24"/>
                <w:highlight w:val="non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《电子工业水污染物排放标准》（GB 39731-2020），</w:t>
            </w:r>
            <w:r>
              <w:rPr>
                <w:rFonts w:hint="eastAsia" w:cs="宋体"/>
                <w:bCs/>
                <w:color w:val="000000" w:themeColor="text1"/>
                <w:sz w:val="24"/>
                <w:szCs w:val="24"/>
                <w:highlight w:val="none"/>
                <w:lang w:val="en-US" w:eastAsia="zh-CN"/>
                <w14:textFill>
                  <w14:solidFill>
                    <w14:schemeClr w14:val="tx1"/>
                  </w14:solidFill>
                </w14:textFill>
              </w:rPr>
              <w:t>参照执行</w:t>
            </w:r>
            <w:r>
              <w:rPr>
                <w:rFonts w:hint="eastAsia" w:cs="宋体"/>
                <w:bCs/>
                <w:color w:val="000000" w:themeColor="text1"/>
                <w:sz w:val="24"/>
                <w:szCs w:val="24"/>
                <w:highlight w:val="none"/>
                <w14:textFill>
                  <w14:solidFill>
                    <w14:schemeClr w14:val="tx1"/>
                  </w14:solidFill>
                </w14:textFill>
              </w:rPr>
              <w:t>半导体器件-6英寸及以下芯片单位产品基准排水量≤3.2m</w:t>
            </w:r>
            <w:r>
              <w:rPr>
                <w:rFonts w:hint="eastAsia" w:cs="宋体"/>
                <w:bCs/>
                <w:color w:val="000000" w:themeColor="text1"/>
                <w:sz w:val="24"/>
                <w:szCs w:val="24"/>
                <w:highlight w:val="none"/>
                <w:vertAlign w:val="superscript"/>
                <w:lang w:val="en-US" w:eastAsia="zh-CN"/>
                <w14:textFill>
                  <w14:solidFill>
                    <w14:schemeClr w14:val="tx1"/>
                  </w14:solidFill>
                </w14:textFill>
              </w:rPr>
              <w:t>3</w:t>
            </w:r>
            <w:r>
              <w:rPr>
                <w:rFonts w:hint="eastAsia" w:cs="宋体"/>
                <w:bCs/>
                <w:color w:val="000000" w:themeColor="text1"/>
                <w:sz w:val="24"/>
                <w:szCs w:val="24"/>
                <w:highlight w:val="none"/>
                <w14:textFill>
                  <w14:solidFill>
                    <w14:schemeClr w14:val="tx1"/>
                  </w14:solidFill>
                </w14:textFill>
              </w:rPr>
              <w:t>/片。</w:t>
            </w:r>
          </w:p>
          <w:p w14:paraId="505ED797">
            <w:pPr>
              <w:spacing w:line="360" w:lineRule="auto"/>
              <w:ind w:firstLine="480" w:firstLineChars="200"/>
              <w:rPr>
                <w:rFonts w:hint="eastAsia" w:cs="宋体"/>
                <w:bCs/>
                <w:color w:val="000000" w:themeColor="text1"/>
                <w:sz w:val="24"/>
                <w:szCs w:val="24"/>
                <w:highlight w:val="non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（2）污水处理厂排放标准</w:t>
            </w:r>
          </w:p>
          <w:p w14:paraId="01DB1E1E">
            <w:pPr>
              <w:spacing w:line="360" w:lineRule="auto"/>
              <w:ind w:firstLine="480" w:firstLineChars="200"/>
              <w:rPr>
                <w:rFonts w:hint="eastAsia" w:cs="宋体"/>
                <w:bCs/>
                <w:color w:val="000000" w:themeColor="text1"/>
                <w:sz w:val="24"/>
                <w:szCs w:val="24"/>
                <w:highlight w:val="non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福州大学城污水处理厂尾水排放执行《城镇污水处理厂污染物排放标准》（GB18918-2002）及其修改单表1的一级A标准，</w:t>
            </w:r>
            <w:r>
              <w:rPr>
                <w:rFonts w:hint="eastAsia" w:cs="宋体"/>
                <w:bCs/>
                <w:color w:val="000000" w:themeColor="text1"/>
                <w:sz w:val="24"/>
                <w:szCs w:val="24"/>
                <w:highlight w:val="none"/>
                <w:lang w:val="en-US" w:eastAsia="zh-CN"/>
                <w14:textFill>
                  <w14:solidFill>
                    <w14:schemeClr w14:val="tx1"/>
                  </w14:solidFill>
                </w14:textFill>
              </w:rPr>
              <w:t>其中氟化物执行《电子工业水污染物排放标准》(GB39731-2020）直接排放标准，</w:t>
            </w:r>
            <w:r>
              <w:rPr>
                <w:rFonts w:hint="eastAsia" w:cs="宋体"/>
                <w:bCs/>
                <w:color w:val="000000" w:themeColor="text1"/>
                <w:sz w:val="24"/>
                <w:szCs w:val="24"/>
                <w:highlight w:val="none"/>
                <w14:textFill>
                  <w14:solidFill>
                    <w14:schemeClr w14:val="tx1"/>
                  </w14:solidFill>
                </w14:textFill>
              </w:rPr>
              <w:t>详见</w:t>
            </w:r>
            <w:r>
              <w:rPr>
                <w:rFonts w:hint="eastAsia" w:cs="宋体"/>
                <w:bCs/>
                <w:color w:val="000000" w:themeColor="text1"/>
                <w:sz w:val="24"/>
                <w:szCs w:val="24"/>
                <w:highlight w:val="none"/>
                <w:lang w:val="en-US" w:eastAsia="zh-CN"/>
                <w14:textFill>
                  <w14:solidFill>
                    <w14:schemeClr w14:val="tx1"/>
                  </w14:solidFill>
                </w14:textFill>
              </w:rPr>
              <w:t>下</w:t>
            </w:r>
            <w:r>
              <w:rPr>
                <w:rFonts w:hint="eastAsia" w:cs="宋体"/>
                <w:bCs/>
                <w:color w:val="000000" w:themeColor="text1"/>
                <w:sz w:val="24"/>
                <w:szCs w:val="24"/>
                <w:highlight w:val="none"/>
                <w14:textFill>
                  <w14:solidFill>
                    <w14:schemeClr w14:val="tx1"/>
                  </w14:solidFill>
                </w14:textFill>
              </w:rPr>
              <w:t>表。</w:t>
            </w:r>
          </w:p>
          <w:p w14:paraId="166ADF56">
            <w:pPr>
              <w:pStyle w:val="69"/>
              <w:spacing w:line="360" w:lineRule="auto"/>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表3</w:t>
            </w:r>
            <w:r>
              <w:rPr>
                <w:rFonts w:hint="eastAsia" w:eastAsia="宋体" w:cs="宋体"/>
                <w:b/>
                <w:color w:val="000000" w:themeColor="text1"/>
                <w:kern w:val="2"/>
                <w:sz w:val="24"/>
                <w:szCs w:val="24"/>
                <w:highlight w:val="none"/>
                <w:lang w:val="en-US" w:eastAsia="zh-CN" w:bidi="ar-SA"/>
                <w14:textFill>
                  <w14:solidFill>
                    <w14:schemeClr w14:val="tx1"/>
                  </w14:solidFill>
                </w14:textFill>
              </w:rPr>
              <w:t>.8</w:t>
            </w: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w:t>
            </w:r>
            <w:r>
              <w:rPr>
                <w:rFonts w:hint="eastAsia" w:eastAsia="宋体" w:cs="宋体"/>
                <w:b/>
                <w:color w:val="000000" w:themeColor="text1"/>
                <w:kern w:val="2"/>
                <w:sz w:val="24"/>
                <w:szCs w:val="24"/>
                <w:highlight w:val="none"/>
                <w:lang w:val="en-US" w:eastAsia="zh-CN" w:bidi="ar-SA"/>
                <w14:textFill>
                  <w14:solidFill>
                    <w14:schemeClr w14:val="tx1"/>
                  </w14:solidFill>
                </w14:textFill>
              </w:rPr>
              <w:t>2</w:t>
            </w: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 xml:space="preserve">  项目废水污染物排放标准  单位：mg/L，pH无量纲</w:t>
            </w:r>
          </w:p>
          <w:tbl>
            <w:tblPr>
              <w:tblStyle w:val="30"/>
              <w:tblW w:w="5000" w:type="pct"/>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882"/>
              <w:gridCol w:w="2407"/>
              <w:gridCol w:w="1665"/>
              <w:gridCol w:w="3426"/>
            </w:tblGrid>
            <w:tr w14:paraId="73C17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23" w:hRule="atLeast"/>
              </w:trPr>
              <w:tc>
                <w:tcPr>
                  <w:tcW w:w="882" w:type="dxa"/>
                  <w:tcBorders>
                    <w:tl2br w:val="nil"/>
                    <w:tr2bl w:val="nil"/>
                  </w:tcBorders>
                  <w:shd w:val="clear" w:color="auto" w:fill="auto"/>
                  <w:vAlign w:val="center"/>
                </w:tcPr>
                <w:p w14:paraId="19310993">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序号</w:t>
                  </w:r>
                </w:p>
              </w:tc>
              <w:tc>
                <w:tcPr>
                  <w:tcW w:w="2407" w:type="dxa"/>
                  <w:tcBorders>
                    <w:tl2br w:val="nil"/>
                    <w:tr2bl w:val="nil"/>
                  </w:tcBorders>
                  <w:shd w:val="clear" w:color="auto" w:fill="auto"/>
                  <w:vAlign w:val="center"/>
                </w:tcPr>
                <w:p w14:paraId="1B75C966">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污染物名称</w:t>
                  </w:r>
                </w:p>
              </w:tc>
              <w:tc>
                <w:tcPr>
                  <w:tcW w:w="1665" w:type="dxa"/>
                  <w:tcBorders>
                    <w:tl2br w:val="nil"/>
                    <w:tr2bl w:val="nil"/>
                  </w:tcBorders>
                  <w:shd w:val="clear" w:color="auto" w:fill="auto"/>
                  <w:vAlign w:val="center"/>
                </w:tcPr>
                <w:p w14:paraId="4251CD50">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限值</w:t>
                  </w:r>
                </w:p>
              </w:tc>
              <w:tc>
                <w:tcPr>
                  <w:tcW w:w="3426" w:type="dxa"/>
                  <w:tcBorders>
                    <w:tl2br w:val="nil"/>
                    <w:tr2bl w:val="nil"/>
                  </w:tcBorders>
                  <w:shd w:val="clear" w:color="auto" w:fill="auto"/>
                  <w:vAlign w:val="center"/>
                </w:tcPr>
                <w:p w14:paraId="48B68E78">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单位</w:t>
                  </w:r>
                </w:p>
              </w:tc>
            </w:tr>
            <w:tr w14:paraId="11BDB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882" w:type="dxa"/>
                  <w:tcBorders>
                    <w:tl2br w:val="nil"/>
                    <w:tr2bl w:val="nil"/>
                  </w:tcBorders>
                  <w:shd w:val="clear" w:color="auto" w:fill="auto"/>
                  <w:vAlign w:val="center"/>
                </w:tcPr>
                <w:p w14:paraId="47056559">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2407" w:type="dxa"/>
                  <w:tcBorders>
                    <w:tl2br w:val="nil"/>
                    <w:tr2bl w:val="nil"/>
                  </w:tcBorders>
                  <w:shd w:val="clear" w:color="auto" w:fill="auto"/>
                  <w:vAlign w:val="center"/>
                </w:tcPr>
                <w:p w14:paraId="1FDF9415">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pH</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（无量纲）</w:t>
                  </w:r>
                </w:p>
              </w:tc>
              <w:tc>
                <w:tcPr>
                  <w:tcW w:w="1665" w:type="dxa"/>
                  <w:tcBorders>
                    <w:tl2br w:val="nil"/>
                    <w:tr2bl w:val="nil"/>
                  </w:tcBorders>
                  <w:shd w:val="clear" w:color="auto" w:fill="auto"/>
                  <w:vAlign w:val="center"/>
                </w:tcPr>
                <w:p w14:paraId="21A8D163">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（无量纲）</w:t>
                  </w:r>
                </w:p>
              </w:tc>
              <w:tc>
                <w:tcPr>
                  <w:tcW w:w="3426" w:type="dxa"/>
                  <w:vMerge w:val="restart"/>
                  <w:tcBorders>
                    <w:tl2br w:val="nil"/>
                    <w:tr2bl w:val="nil"/>
                  </w:tcBorders>
                  <w:shd w:val="clear" w:color="auto" w:fill="auto"/>
                  <w:vAlign w:val="center"/>
                </w:tcPr>
                <w:p w14:paraId="3A3DC71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《城镇污水处理厂污染物排放标准》（GB18918-2002）及其修改单表1的一级A标准</w:t>
                  </w:r>
                </w:p>
              </w:tc>
            </w:tr>
            <w:tr w14:paraId="01566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882" w:type="dxa"/>
                  <w:tcBorders>
                    <w:tl2br w:val="nil"/>
                    <w:tr2bl w:val="nil"/>
                  </w:tcBorders>
                  <w:shd w:val="clear" w:color="auto" w:fill="auto"/>
                  <w:vAlign w:val="center"/>
                </w:tcPr>
                <w:p w14:paraId="5D3EB84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w:t>
                  </w:r>
                </w:p>
              </w:tc>
              <w:tc>
                <w:tcPr>
                  <w:tcW w:w="2407" w:type="dxa"/>
                  <w:tcBorders>
                    <w:tl2br w:val="nil"/>
                    <w:tr2bl w:val="nil"/>
                  </w:tcBorders>
                  <w:shd w:val="clear" w:color="auto" w:fill="auto"/>
                  <w:vAlign w:val="center"/>
                </w:tcPr>
                <w:p w14:paraId="7EABE19F">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化学需氧量（</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COD</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p>
              </w:tc>
              <w:tc>
                <w:tcPr>
                  <w:tcW w:w="1665" w:type="dxa"/>
                  <w:tcBorders>
                    <w:tl2br w:val="nil"/>
                    <w:tr2bl w:val="nil"/>
                  </w:tcBorders>
                  <w:shd w:val="clear" w:color="auto" w:fill="auto"/>
                  <w:vAlign w:val="center"/>
                </w:tcPr>
                <w:p w14:paraId="271C7781">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50mg/L</w:t>
                  </w:r>
                </w:p>
              </w:tc>
              <w:tc>
                <w:tcPr>
                  <w:tcW w:w="3426" w:type="dxa"/>
                  <w:vMerge w:val="continue"/>
                  <w:tcBorders>
                    <w:tl2br w:val="nil"/>
                    <w:tr2bl w:val="nil"/>
                  </w:tcBorders>
                  <w:shd w:val="clear" w:color="auto" w:fill="auto"/>
                  <w:vAlign w:val="center"/>
                </w:tcPr>
                <w:p w14:paraId="2D9513F3">
                  <w:pPr>
                    <w:jc w:val="center"/>
                    <w:rPr>
                      <w:rFonts w:hint="default" w:ascii="Times New Roman" w:hAnsi="Times New Roman" w:eastAsia="宋体" w:cs="Times New Roman"/>
                      <w:i w:val="0"/>
                      <w:iCs w:val="0"/>
                      <w:color w:val="000000" w:themeColor="text1"/>
                      <w:sz w:val="20"/>
                      <w:szCs w:val="20"/>
                      <w:highlight w:val="none"/>
                      <w:u w:val="none"/>
                      <w14:textFill>
                        <w14:solidFill>
                          <w14:schemeClr w14:val="tx1"/>
                        </w14:solidFill>
                      </w14:textFill>
                    </w:rPr>
                  </w:pPr>
                </w:p>
              </w:tc>
            </w:tr>
            <w:tr w14:paraId="00D07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882" w:type="dxa"/>
                  <w:tcBorders>
                    <w:tl2br w:val="nil"/>
                    <w:tr2bl w:val="nil"/>
                  </w:tcBorders>
                  <w:shd w:val="clear" w:color="auto" w:fill="auto"/>
                  <w:vAlign w:val="center"/>
                </w:tcPr>
                <w:p w14:paraId="20C133DE">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w:t>
                  </w:r>
                </w:p>
              </w:tc>
              <w:tc>
                <w:tcPr>
                  <w:tcW w:w="2407" w:type="dxa"/>
                  <w:tcBorders>
                    <w:tl2br w:val="nil"/>
                    <w:tr2bl w:val="nil"/>
                  </w:tcBorders>
                  <w:shd w:val="clear" w:color="auto" w:fill="auto"/>
                  <w:vAlign w:val="center"/>
                </w:tcPr>
                <w:p w14:paraId="0112E7C5">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BOD</w:t>
                  </w:r>
                  <w:r>
                    <w:rPr>
                      <w:rFonts w:hint="default" w:ascii="Times New Roman" w:hAnsi="Times New Roman" w:eastAsia="宋体" w:cs="Times New Roman"/>
                      <w:i w:val="0"/>
                      <w:iCs w:val="0"/>
                      <w:color w:val="000000" w:themeColor="text1"/>
                      <w:kern w:val="0"/>
                      <w:sz w:val="21"/>
                      <w:szCs w:val="21"/>
                      <w:highlight w:val="none"/>
                      <w:u w:val="none"/>
                      <w:vertAlign w:val="subscript"/>
                      <w:lang w:val="en-US" w:eastAsia="zh-CN" w:bidi="ar"/>
                      <w14:textFill>
                        <w14:solidFill>
                          <w14:schemeClr w14:val="tx1"/>
                        </w14:solidFill>
                      </w14:textFill>
                    </w:rPr>
                    <w:t>5</w:t>
                  </w:r>
                </w:p>
              </w:tc>
              <w:tc>
                <w:tcPr>
                  <w:tcW w:w="1665" w:type="dxa"/>
                  <w:tcBorders>
                    <w:tl2br w:val="nil"/>
                    <w:tr2bl w:val="nil"/>
                  </w:tcBorders>
                  <w:shd w:val="clear" w:color="auto" w:fill="auto"/>
                  <w:vAlign w:val="center"/>
                </w:tcPr>
                <w:p w14:paraId="33856C3E">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10mg/L</w:t>
                  </w:r>
                </w:p>
              </w:tc>
              <w:tc>
                <w:tcPr>
                  <w:tcW w:w="3426" w:type="dxa"/>
                  <w:vMerge w:val="continue"/>
                  <w:tcBorders>
                    <w:tl2br w:val="nil"/>
                    <w:tr2bl w:val="nil"/>
                  </w:tcBorders>
                  <w:shd w:val="clear" w:color="auto" w:fill="auto"/>
                  <w:vAlign w:val="center"/>
                </w:tcPr>
                <w:p w14:paraId="71154ED6">
                  <w:pPr>
                    <w:jc w:val="center"/>
                    <w:rPr>
                      <w:rFonts w:hint="default" w:ascii="Times New Roman" w:hAnsi="Times New Roman" w:eastAsia="宋体" w:cs="Times New Roman"/>
                      <w:i w:val="0"/>
                      <w:iCs w:val="0"/>
                      <w:color w:val="000000" w:themeColor="text1"/>
                      <w:sz w:val="20"/>
                      <w:szCs w:val="20"/>
                      <w:highlight w:val="none"/>
                      <w:u w:val="none"/>
                      <w14:textFill>
                        <w14:solidFill>
                          <w14:schemeClr w14:val="tx1"/>
                        </w14:solidFill>
                      </w14:textFill>
                    </w:rPr>
                  </w:pPr>
                </w:p>
              </w:tc>
            </w:tr>
            <w:tr w14:paraId="7DF70A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 w:hRule="atLeast"/>
              </w:trPr>
              <w:tc>
                <w:tcPr>
                  <w:tcW w:w="882" w:type="dxa"/>
                  <w:tcBorders>
                    <w:tl2br w:val="nil"/>
                    <w:tr2bl w:val="nil"/>
                  </w:tcBorders>
                  <w:shd w:val="clear" w:color="auto" w:fill="auto"/>
                  <w:vAlign w:val="center"/>
                </w:tcPr>
                <w:p w14:paraId="55BC41CA">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w:t>
                  </w:r>
                </w:p>
              </w:tc>
              <w:tc>
                <w:tcPr>
                  <w:tcW w:w="2407" w:type="dxa"/>
                  <w:tcBorders>
                    <w:tl2br w:val="nil"/>
                    <w:tr2bl w:val="nil"/>
                  </w:tcBorders>
                  <w:shd w:val="clear" w:color="auto" w:fill="auto"/>
                  <w:vAlign w:val="center"/>
                </w:tcPr>
                <w:p w14:paraId="7FFD87D4">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SS</w:t>
                  </w:r>
                </w:p>
              </w:tc>
              <w:tc>
                <w:tcPr>
                  <w:tcW w:w="1665" w:type="dxa"/>
                  <w:tcBorders>
                    <w:tl2br w:val="nil"/>
                    <w:tr2bl w:val="nil"/>
                  </w:tcBorders>
                  <w:shd w:val="clear" w:color="auto" w:fill="auto"/>
                  <w:vAlign w:val="center"/>
                </w:tcPr>
                <w:p w14:paraId="60330A1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10mg/L</w:t>
                  </w:r>
                </w:p>
              </w:tc>
              <w:tc>
                <w:tcPr>
                  <w:tcW w:w="3426" w:type="dxa"/>
                  <w:vMerge w:val="continue"/>
                  <w:tcBorders>
                    <w:tl2br w:val="nil"/>
                    <w:tr2bl w:val="nil"/>
                  </w:tcBorders>
                  <w:shd w:val="clear" w:color="auto" w:fill="auto"/>
                  <w:vAlign w:val="center"/>
                </w:tcPr>
                <w:p w14:paraId="06089EE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6B26B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882" w:type="dxa"/>
                  <w:tcBorders>
                    <w:tl2br w:val="nil"/>
                    <w:tr2bl w:val="nil"/>
                  </w:tcBorders>
                  <w:shd w:val="clear" w:color="auto" w:fill="auto"/>
                  <w:vAlign w:val="center"/>
                </w:tcPr>
                <w:p w14:paraId="77BB8D6E">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w:t>
                  </w:r>
                </w:p>
              </w:tc>
              <w:tc>
                <w:tcPr>
                  <w:tcW w:w="2407" w:type="dxa"/>
                  <w:tcBorders>
                    <w:tl2br w:val="nil"/>
                    <w:tr2bl w:val="nil"/>
                  </w:tcBorders>
                  <w:shd w:val="clear" w:color="auto" w:fill="auto"/>
                  <w:vAlign w:val="center"/>
                </w:tcPr>
                <w:p w14:paraId="4010EB8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LAS</w:t>
                  </w:r>
                </w:p>
              </w:tc>
              <w:tc>
                <w:tcPr>
                  <w:tcW w:w="1665" w:type="dxa"/>
                  <w:tcBorders>
                    <w:tl2br w:val="nil"/>
                    <w:tr2bl w:val="nil"/>
                  </w:tcBorders>
                  <w:shd w:val="clear" w:color="auto" w:fill="auto"/>
                  <w:vAlign w:val="center"/>
                </w:tcPr>
                <w:p w14:paraId="7C5C8911">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0.5mg/L</w:t>
                  </w:r>
                </w:p>
              </w:tc>
              <w:tc>
                <w:tcPr>
                  <w:tcW w:w="3426" w:type="dxa"/>
                  <w:vMerge w:val="continue"/>
                  <w:tcBorders>
                    <w:tl2br w:val="nil"/>
                    <w:tr2bl w:val="nil"/>
                  </w:tcBorders>
                  <w:shd w:val="clear" w:color="auto" w:fill="auto"/>
                  <w:vAlign w:val="center"/>
                </w:tcPr>
                <w:p w14:paraId="77BBF5CA">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46F22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 w:hRule="atLeast"/>
              </w:trPr>
              <w:tc>
                <w:tcPr>
                  <w:tcW w:w="882" w:type="dxa"/>
                  <w:tcBorders>
                    <w:tl2br w:val="nil"/>
                    <w:tr2bl w:val="nil"/>
                  </w:tcBorders>
                  <w:shd w:val="clear" w:color="auto" w:fill="auto"/>
                  <w:vAlign w:val="center"/>
                </w:tcPr>
                <w:p w14:paraId="2FB2D40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w:t>
                  </w:r>
                </w:p>
              </w:tc>
              <w:tc>
                <w:tcPr>
                  <w:tcW w:w="2407" w:type="dxa"/>
                  <w:tcBorders>
                    <w:tl2br w:val="nil"/>
                    <w:tr2bl w:val="nil"/>
                  </w:tcBorders>
                  <w:shd w:val="clear" w:color="auto" w:fill="auto"/>
                  <w:vAlign w:val="center"/>
                </w:tcPr>
                <w:p w14:paraId="25BA069A">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氨氮（</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NH</w:t>
                  </w:r>
                  <w:r>
                    <w:rPr>
                      <w:rFonts w:hint="default" w:ascii="Times New Roman" w:hAnsi="Times New Roman" w:eastAsia="宋体" w:cs="Times New Roman"/>
                      <w:i w:val="0"/>
                      <w:iCs w:val="0"/>
                      <w:color w:val="000000" w:themeColor="text1"/>
                      <w:kern w:val="0"/>
                      <w:sz w:val="21"/>
                      <w:szCs w:val="21"/>
                      <w:highlight w:val="none"/>
                      <w:u w:val="none"/>
                      <w:vertAlign w:val="sub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-N</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p>
              </w:tc>
              <w:tc>
                <w:tcPr>
                  <w:tcW w:w="1665" w:type="dxa"/>
                  <w:tcBorders>
                    <w:tl2br w:val="nil"/>
                    <w:tr2bl w:val="nil"/>
                  </w:tcBorders>
                  <w:shd w:val="clear" w:color="auto" w:fill="auto"/>
                  <w:vAlign w:val="center"/>
                </w:tcPr>
                <w:p w14:paraId="12245520">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5mg/L</w:t>
                  </w:r>
                </w:p>
              </w:tc>
              <w:tc>
                <w:tcPr>
                  <w:tcW w:w="3426" w:type="dxa"/>
                  <w:vMerge w:val="continue"/>
                  <w:tcBorders>
                    <w:tl2br w:val="nil"/>
                    <w:tr2bl w:val="nil"/>
                  </w:tcBorders>
                  <w:shd w:val="clear" w:color="auto" w:fill="auto"/>
                  <w:vAlign w:val="center"/>
                </w:tcPr>
                <w:p w14:paraId="1BEFE72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5D1AF3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882" w:type="dxa"/>
                  <w:tcBorders>
                    <w:tl2br w:val="nil"/>
                    <w:tr2bl w:val="nil"/>
                  </w:tcBorders>
                  <w:shd w:val="clear" w:color="auto" w:fill="auto"/>
                  <w:vAlign w:val="center"/>
                </w:tcPr>
                <w:p w14:paraId="2224EDDC">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7</w:t>
                  </w:r>
                </w:p>
              </w:tc>
              <w:tc>
                <w:tcPr>
                  <w:tcW w:w="2407" w:type="dxa"/>
                  <w:tcBorders>
                    <w:tl2br w:val="nil"/>
                    <w:tr2bl w:val="nil"/>
                  </w:tcBorders>
                  <w:shd w:val="clear" w:color="auto" w:fill="auto"/>
                  <w:vAlign w:val="center"/>
                </w:tcPr>
                <w:p w14:paraId="4E6B0F92">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动植物油</w:t>
                  </w:r>
                </w:p>
              </w:tc>
              <w:tc>
                <w:tcPr>
                  <w:tcW w:w="1665" w:type="dxa"/>
                  <w:tcBorders>
                    <w:tl2br w:val="nil"/>
                    <w:tr2bl w:val="nil"/>
                  </w:tcBorders>
                  <w:shd w:val="clear" w:color="auto" w:fill="auto"/>
                  <w:vAlign w:val="center"/>
                </w:tcPr>
                <w:p w14:paraId="4609E128">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1mg/L</w:t>
                  </w:r>
                </w:p>
              </w:tc>
              <w:tc>
                <w:tcPr>
                  <w:tcW w:w="3426" w:type="dxa"/>
                  <w:vMerge w:val="continue"/>
                  <w:tcBorders>
                    <w:tl2br w:val="nil"/>
                    <w:tr2bl w:val="nil"/>
                  </w:tcBorders>
                  <w:shd w:val="clear" w:color="auto" w:fill="auto"/>
                  <w:noWrap/>
                  <w:vAlign w:val="center"/>
                </w:tcPr>
                <w:p w14:paraId="5B5299E2">
                  <w:pPr>
                    <w:jc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p>
              </w:tc>
            </w:tr>
            <w:tr w14:paraId="02917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 w:hRule="atLeast"/>
              </w:trPr>
              <w:tc>
                <w:tcPr>
                  <w:tcW w:w="882" w:type="dxa"/>
                  <w:tcBorders>
                    <w:tl2br w:val="nil"/>
                    <w:tr2bl w:val="nil"/>
                  </w:tcBorders>
                  <w:shd w:val="clear" w:color="auto" w:fill="auto"/>
                  <w:vAlign w:val="center"/>
                </w:tcPr>
                <w:p w14:paraId="7E56083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8</w:t>
                  </w:r>
                </w:p>
              </w:tc>
              <w:tc>
                <w:tcPr>
                  <w:tcW w:w="2407" w:type="dxa"/>
                  <w:tcBorders>
                    <w:tl2br w:val="nil"/>
                    <w:tr2bl w:val="nil"/>
                  </w:tcBorders>
                  <w:shd w:val="clear" w:color="auto" w:fill="auto"/>
                  <w:vAlign w:val="center"/>
                </w:tcPr>
                <w:p w14:paraId="07ABA3F6">
                  <w:pPr>
                    <w:keepNext w:val="0"/>
                    <w:keepLines w:val="0"/>
                    <w:widowControl/>
                    <w:suppressLineNumbers w:val="0"/>
                    <w:jc w:val="center"/>
                    <w:textAlignment w:val="top"/>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氟化物</w:t>
                  </w:r>
                </w:p>
              </w:tc>
              <w:tc>
                <w:tcPr>
                  <w:tcW w:w="1665" w:type="dxa"/>
                  <w:tcBorders>
                    <w:tl2br w:val="nil"/>
                    <w:tr2bl w:val="nil"/>
                  </w:tcBorders>
                  <w:shd w:val="clear" w:color="auto" w:fill="auto"/>
                  <w:vAlign w:val="center"/>
                </w:tcPr>
                <w:p w14:paraId="7A1030C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10</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mg/L</w:t>
                  </w:r>
                </w:p>
              </w:tc>
              <w:tc>
                <w:tcPr>
                  <w:tcW w:w="3426" w:type="dxa"/>
                  <w:tcBorders>
                    <w:tl2br w:val="nil"/>
                    <w:tr2bl w:val="nil"/>
                  </w:tcBorders>
                  <w:shd w:val="clear" w:color="auto" w:fill="auto"/>
                  <w:noWrap/>
                  <w:vAlign w:val="center"/>
                </w:tcPr>
                <w:p w14:paraId="2EA1C5AB">
                  <w:pPr>
                    <w:jc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sz w:val="22"/>
                      <w:szCs w:val="22"/>
                      <w:highlight w:val="none"/>
                      <w:u w:val="none"/>
                      <w:lang w:val="en-US" w:eastAsia="zh-CN"/>
                      <w14:textFill>
                        <w14:solidFill>
                          <w14:schemeClr w14:val="tx1"/>
                        </w14:solidFill>
                      </w14:textFill>
                    </w:rPr>
                    <w:t>《电子工业水污染物排放标准》(GB 39731-2020）直接排放标准</w:t>
                  </w:r>
                </w:p>
              </w:tc>
            </w:tr>
          </w:tbl>
          <w:p w14:paraId="6ED371B6">
            <w:pPr>
              <w:pStyle w:val="37"/>
              <w:spacing w:before="120" w:beforeLines="50"/>
              <w:rPr>
                <w:color w:val="000000" w:themeColor="text1"/>
                <w:sz w:val="24"/>
                <w:szCs w:val="21"/>
                <w:highlight w:val="none"/>
                <w14:textFill>
                  <w14:solidFill>
                    <w14:schemeClr w14:val="tx1"/>
                  </w14:solidFill>
                </w14:textFill>
              </w:rPr>
            </w:pPr>
            <w:r>
              <w:rPr>
                <w:color w:val="000000" w:themeColor="text1"/>
                <w:sz w:val="24"/>
                <w:szCs w:val="21"/>
                <w:highlight w:val="none"/>
                <w14:textFill>
                  <w14:solidFill>
                    <w14:schemeClr w14:val="tx1"/>
                  </w14:solidFill>
                </w14:textFill>
              </w:rPr>
              <w:t xml:space="preserve">3.9 </w:t>
            </w:r>
            <w:r>
              <w:rPr>
                <w:rFonts w:hint="eastAsia"/>
                <w:color w:val="000000" w:themeColor="text1"/>
                <w:sz w:val="24"/>
                <w:szCs w:val="21"/>
                <w:highlight w:val="none"/>
                <w14:textFill>
                  <w14:solidFill>
                    <w14:schemeClr w14:val="tx1"/>
                  </w14:solidFill>
                </w14:textFill>
              </w:rPr>
              <w:t>噪声标准</w:t>
            </w:r>
          </w:p>
          <w:p w14:paraId="40BE5844">
            <w:pPr>
              <w:spacing w:line="360" w:lineRule="auto"/>
              <w:ind w:firstLine="480" w:firstLineChars="200"/>
              <w:rPr>
                <w:rFonts w:cs="宋体"/>
                <w:bCs/>
                <w:color w:val="000000" w:themeColor="text1"/>
                <w:sz w:val="24"/>
                <w:szCs w:val="24"/>
                <w:highlight w:val="non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项目所在声环境功能区划为3类区，因此，运营期厂界噪声排放执行《工业企业厂界环境噪声排放标准》(GB12348-2008)中3类标准，具体详见</w:t>
            </w:r>
            <w:r>
              <w:rPr>
                <w:rFonts w:hint="eastAsia" w:cs="宋体"/>
                <w:bCs/>
                <w:color w:val="000000" w:themeColor="text1"/>
                <w:sz w:val="24"/>
                <w:szCs w:val="24"/>
                <w:highlight w:val="none"/>
                <w:lang w:val="en-US" w:eastAsia="zh-CN"/>
                <w14:textFill>
                  <w14:solidFill>
                    <w14:schemeClr w14:val="tx1"/>
                  </w14:solidFill>
                </w14:textFill>
              </w:rPr>
              <w:t>下</w:t>
            </w:r>
            <w:r>
              <w:rPr>
                <w:rFonts w:hint="eastAsia" w:cs="宋体"/>
                <w:bCs/>
                <w:color w:val="000000" w:themeColor="text1"/>
                <w:sz w:val="24"/>
                <w:szCs w:val="24"/>
                <w:highlight w:val="none"/>
                <w14:textFill>
                  <w14:solidFill>
                    <w14:schemeClr w14:val="tx1"/>
                  </w14:solidFill>
                </w14:textFill>
              </w:rPr>
              <w:t>表。</w:t>
            </w:r>
          </w:p>
          <w:p w14:paraId="614CFA00">
            <w:pPr>
              <w:pStyle w:val="69"/>
              <w:spacing w:line="360" w:lineRule="auto"/>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表3</w:t>
            </w:r>
            <w:r>
              <w:rPr>
                <w:rFonts w:hint="eastAsia" w:eastAsia="宋体" w:cs="宋体"/>
                <w:b/>
                <w:color w:val="000000" w:themeColor="text1"/>
                <w:kern w:val="2"/>
                <w:sz w:val="24"/>
                <w:szCs w:val="24"/>
                <w:highlight w:val="none"/>
                <w:lang w:val="en-US" w:eastAsia="zh-CN" w:bidi="ar-SA"/>
                <w14:textFill>
                  <w14:solidFill>
                    <w14:schemeClr w14:val="tx1"/>
                  </w14:solidFill>
                </w14:textFill>
              </w:rPr>
              <w:t>.9</w:t>
            </w: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w:t>
            </w:r>
            <w:r>
              <w:rPr>
                <w:rFonts w:hint="eastAsia" w:eastAsia="宋体" w:cs="宋体"/>
                <w:b/>
                <w:color w:val="000000" w:themeColor="text1"/>
                <w:kern w:val="2"/>
                <w:sz w:val="24"/>
                <w:szCs w:val="24"/>
                <w:highlight w:val="none"/>
                <w:lang w:val="en-US" w:eastAsia="zh-CN" w:bidi="ar-SA"/>
                <w14:textFill>
                  <w14:solidFill>
                    <w14:schemeClr w14:val="tx1"/>
                  </w14:solidFill>
                </w14:textFill>
              </w:rPr>
              <w:t>1</w:t>
            </w: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 xml:space="preserve">  噪声排放标准 单位：dB（A）</w:t>
            </w:r>
          </w:p>
          <w:tbl>
            <w:tblPr>
              <w:tblStyle w:val="30"/>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108" w:type="dxa"/>
                <w:bottom w:w="28" w:type="dxa"/>
                <w:right w:w="108" w:type="dxa"/>
              </w:tblCellMar>
            </w:tblPr>
            <w:tblGrid>
              <w:gridCol w:w="1626"/>
              <w:gridCol w:w="1297"/>
              <w:gridCol w:w="1876"/>
              <w:gridCol w:w="3591"/>
            </w:tblGrid>
            <w:tr w14:paraId="0562A6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108" w:type="dxa"/>
                  <w:bottom w:w="28" w:type="dxa"/>
                  <w:right w:w="108" w:type="dxa"/>
                </w:tblCellMar>
              </w:tblPrEx>
              <w:trPr>
                <w:jc w:val="center"/>
              </w:trPr>
              <w:tc>
                <w:tcPr>
                  <w:tcW w:w="969" w:type="pct"/>
                  <w:tcBorders>
                    <w:top w:val="single" w:color="auto" w:sz="4" w:space="0"/>
                    <w:left w:val="single" w:color="auto" w:sz="4" w:space="0"/>
                    <w:bottom w:val="single" w:color="auto" w:sz="4" w:space="0"/>
                    <w:tl2br w:val="single" w:color="auto" w:sz="4" w:space="0"/>
                  </w:tcBorders>
                  <w:shd w:val="clear" w:color="auto" w:fill="auto"/>
                  <w:vAlign w:val="center"/>
                </w:tcPr>
                <w:p w14:paraId="611FAEE9">
                  <w:pPr>
                    <w:pStyle w:val="70"/>
                    <w:adjustRightInd/>
                    <w:snapToGrid/>
                    <w:jc w:val="right"/>
                    <w:rPr>
                      <w:color w:val="000000" w:themeColor="text1"/>
                      <w:sz w:val="21"/>
                      <w:szCs w:val="24"/>
                      <w:highlight w:val="none"/>
                      <w14:textFill>
                        <w14:solidFill>
                          <w14:schemeClr w14:val="tx1"/>
                        </w14:solidFill>
                      </w14:textFill>
                    </w:rPr>
                  </w:pPr>
                  <w:r>
                    <w:rPr>
                      <w:rFonts w:hint="eastAsia"/>
                      <w:color w:val="000000" w:themeColor="text1"/>
                      <w:sz w:val="21"/>
                      <w:szCs w:val="24"/>
                      <w:highlight w:val="none"/>
                      <w14:textFill>
                        <w14:solidFill>
                          <w14:schemeClr w14:val="tx1"/>
                        </w14:solidFill>
                      </w14:textFill>
                    </w:rPr>
                    <w:t>时段</w:t>
                  </w:r>
                </w:p>
                <w:p w14:paraId="1786037A">
                  <w:pPr>
                    <w:pStyle w:val="70"/>
                    <w:adjustRightInd/>
                    <w:snapToGrid/>
                    <w:jc w:val="left"/>
                    <w:rPr>
                      <w:color w:val="000000" w:themeColor="text1"/>
                      <w:sz w:val="21"/>
                      <w:szCs w:val="24"/>
                      <w:highlight w:val="none"/>
                      <w14:textFill>
                        <w14:solidFill>
                          <w14:schemeClr w14:val="tx1"/>
                        </w14:solidFill>
                      </w14:textFill>
                    </w:rPr>
                  </w:pPr>
                  <w:r>
                    <w:rPr>
                      <w:rFonts w:hint="eastAsia"/>
                      <w:color w:val="000000" w:themeColor="text1"/>
                      <w:sz w:val="21"/>
                      <w:szCs w:val="24"/>
                      <w:highlight w:val="none"/>
                      <w14:textFill>
                        <w14:solidFill>
                          <w14:schemeClr w14:val="tx1"/>
                        </w14:solidFill>
                      </w14:textFill>
                    </w:rPr>
                    <w:t>声功能区</w:t>
                  </w:r>
                </w:p>
              </w:tc>
              <w:tc>
                <w:tcPr>
                  <w:tcW w:w="773" w:type="pct"/>
                  <w:tcBorders>
                    <w:top w:val="single" w:color="auto" w:sz="4" w:space="0"/>
                    <w:bottom w:val="single" w:color="auto" w:sz="4" w:space="0"/>
                  </w:tcBorders>
                  <w:shd w:val="clear" w:color="auto" w:fill="auto"/>
                  <w:vAlign w:val="center"/>
                </w:tcPr>
                <w:p w14:paraId="0B402934">
                  <w:pPr>
                    <w:pStyle w:val="70"/>
                    <w:adjustRightInd/>
                    <w:snapToGrid/>
                    <w:rPr>
                      <w:color w:val="000000" w:themeColor="text1"/>
                      <w:sz w:val="21"/>
                      <w:szCs w:val="24"/>
                      <w:highlight w:val="none"/>
                      <w14:textFill>
                        <w14:solidFill>
                          <w14:schemeClr w14:val="tx1"/>
                        </w14:solidFill>
                      </w14:textFill>
                    </w:rPr>
                  </w:pPr>
                  <w:r>
                    <w:rPr>
                      <w:rFonts w:hint="eastAsia"/>
                      <w:color w:val="000000" w:themeColor="text1"/>
                      <w:sz w:val="21"/>
                      <w:szCs w:val="24"/>
                      <w:highlight w:val="none"/>
                      <w14:textFill>
                        <w14:solidFill>
                          <w14:schemeClr w14:val="tx1"/>
                        </w14:solidFill>
                      </w14:textFill>
                    </w:rPr>
                    <w:t>昼间</w:t>
                  </w:r>
                </w:p>
              </w:tc>
              <w:tc>
                <w:tcPr>
                  <w:tcW w:w="1118" w:type="pct"/>
                  <w:tcBorders>
                    <w:top w:val="single" w:color="auto" w:sz="4" w:space="0"/>
                    <w:bottom w:val="single" w:color="auto" w:sz="4" w:space="0"/>
                  </w:tcBorders>
                  <w:shd w:val="clear" w:color="auto" w:fill="auto"/>
                  <w:vAlign w:val="center"/>
                </w:tcPr>
                <w:p w14:paraId="3779671D">
                  <w:pPr>
                    <w:pStyle w:val="70"/>
                    <w:adjustRightInd/>
                    <w:snapToGrid/>
                    <w:rPr>
                      <w:color w:val="000000" w:themeColor="text1"/>
                      <w:sz w:val="21"/>
                      <w:szCs w:val="24"/>
                      <w:highlight w:val="none"/>
                      <w14:textFill>
                        <w14:solidFill>
                          <w14:schemeClr w14:val="tx1"/>
                        </w14:solidFill>
                      </w14:textFill>
                    </w:rPr>
                  </w:pPr>
                  <w:r>
                    <w:rPr>
                      <w:rFonts w:hint="eastAsia"/>
                      <w:color w:val="000000" w:themeColor="text1"/>
                      <w:sz w:val="21"/>
                      <w:szCs w:val="24"/>
                      <w:highlight w:val="none"/>
                      <w14:textFill>
                        <w14:solidFill>
                          <w14:schemeClr w14:val="tx1"/>
                        </w14:solidFill>
                      </w14:textFill>
                    </w:rPr>
                    <w:t>夜间</w:t>
                  </w:r>
                </w:p>
              </w:tc>
              <w:tc>
                <w:tcPr>
                  <w:tcW w:w="2139" w:type="pct"/>
                  <w:tcBorders>
                    <w:top w:val="single" w:color="auto" w:sz="4" w:space="0"/>
                    <w:bottom w:val="single" w:color="auto" w:sz="4" w:space="0"/>
                    <w:right w:val="single" w:color="auto" w:sz="4" w:space="0"/>
                  </w:tcBorders>
                  <w:shd w:val="clear" w:color="auto" w:fill="auto"/>
                  <w:vAlign w:val="center"/>
                </w:tcPr>
                <w:p w14:paraId="4775985B">
                  <w:pPr>
                    <w:pStyle w:val="70"/>
                    <w:adjustRightInd/>
                    <w:snapToGrid/>
                    <w:rPr>
                      <w:color w:val="000000" w:themeColor="text1"/>
                      <w:sz w:val="21"/>
                      <w:szCs w:val="24"/>
                      <w:highlight w:val="none"/>
                      <w14:textFill>
                        <w14:solidFill>
                          <w14:schemeClr w14:val="tx1"/>
                        </w14:solidFill>
                      </w14:textFill>
                    </w:rPr>
                  </w:pPr>
                  <w:r>
                    <w:rPr>
                      <w:rFonts w:hint="eastAsia"/>
                      <w:color w:val="000000" w:themeColor="text1"/>
                      <w:sz w:val="21"/>
                      <w:szCs w:val="24"/>
                      <w:highlight w:val="none"/>
                      <w14:textFill>
                        <w14:solidFill>
                          <w14:schemeClr w14:val="tx1"/>
                        </w14:solidFill>
                      </w14:textFill>
                    </w:rPr>
                    <w:t>执行标准</w:t>
                  </w:r>
                </w:p>
              </w:tc>
            </w:tr>
            <w:tr w14:paraId="429F1C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108" w:type="dxa"/>
                  <w:bottom w:w="28" w:type="dxa"/>
                  <w:right w:w="108" w:type="dxa"/>
                </w:tblCellMar>
              </w:tblPrEx>
              <w:trPr>
                <w:jc w:val="center"/>
              </w:trPr>
              <w:tc>
                <w:tcPr>
                  <w:tcW w:w="969" w:type="pct"/>
                  <w:tcBorders>
                    <w:top w:val="single" w:color="auto" w:sz="4" w:space="0"/>
                    <w:left w:val="single" w:color="auto" w:sz="4" w:space="0"/>
                    <w:bottom w:val="single" w:color="auto" w:sz="4" w:space="0"/>
                  </w:tcBorders>
                  <w:shd w:val="clear" w:color="auto" w:fill="auto"/>
                  <w:vAlign w:val="center"/>
                </w:tcPr>
                <w:p w14:paraId="348F4693">
                  <w:pPr>
                    <w:pStyle w:val="70"/>
                    <w:adjustRightInd/>
                    <w:snapToGrid/>
                    <w:rPr>
                      <w:color w:val="000000" w:themeColor="text1"/>
                      <w:sz w:val="21"/>
                      <w:szCs w:val="24"/>
                      <w:highlight w:val="none"/>
                      <w14:textFill>
                        <w14:solidFill>
                          <w14:schemeClr w14:val="tx1"/>
                        </w14:solidFill>
                      </w14:textFill>
                    </w:rPr>
                  </w:pPr>
                  <w:r>
                    <w:rPr>
                      <w:rFonts w:hint="eastAsia"/>
                      <w:color w:val="000000" w:themeColor="text1"/>
                      <w:sz w:val="21"/>
                      <w:szCs w:val="24"/>
                      <w:highlight w:val="none"/>
                      <w14:textFill>
                        <w14:solidFill>
                          <w14:schemeClr w14:val="tx1"/>
                        </w14:solidFill>
                      </w14:textFill>
                    </w:rPr>
                    <w:t>3</w:t>
                  </w:r>
                </w:p>
              </w:tc>
              <w:tc>
                <w:tcPr>
                  <w:tcW w:w="773" w:type="pct"/>
                  <w:tcBorders>
                    <w:top w:val="single" w:color="auto" w:sz="4" w:space="0"/>
                    <w:bottom w:val="single" w:color="auto" w:sz="4" w:space="0"/>
                  </w:tcBorders>
                  <w:shd w:val="clear" w:color="auto" w:fill="auto"/>
                  <w:vAlign w:val="center"/>
                </w:tcPr>
                <w:p w14:paraId="779350E3">
                  <w:pPr>
                    <w:pStyle w:val="70"/>
                    <w:adjustRightInd/>
                    <w:snapToGrid/>
                    <w:rPr>
                      <w:color w:val="000000" w:themeColor="text1"/>
                      <w:sz w:val="21"/>
                      <w:szCs w:val="24"/>
                      <w:highlight w:val="none"/>
                      <w14:textFill>
                        <w14:solidFill>
                          <w14:schemeClr w14:val="tx1"/>
                        </w14:solidFill>
                      </w14:textFill>
                    </w:rPr>
                  </w:pPr>
                  <w:r>
                    <w:rPr>
                      <w:color w:val="000000" w:themeColor="text1"/>
                      <w:sz w:val="21"/>
                      <w:szCs w:val="24"/>
                      <w:highlight w:val="none"/>
                      <w14:textFill>
                        <w14:solidFill>
                          <w14:schemeClr w14:val="tx1"/>
                        </w14:solidFill>
                      </w14:textFill>
                    </w:rPr>
                    <w:t>65</w:t>
                  </w:r>
                </w:p>
              </w:tc>
              <w:tc>
                <w:tcPr>
                  <w:tcW w:w="1118" w:type="pct"/>
                  <w:tcBorders>
                    <w:top w:val="single" w:color="auto" w:sz="4" w:space="0"/>
                    <w:bottom w:val="single" w:color="auto" w:sz="4" w:space="0"/>
                  </w:tcBorders>
                  <w:shd w:val="clear" w:color="auto" w:fill="auto"/>
                  <w:vAlign w:val="center"/>
                </w:tcPr>
                <w:p w14:paraId="69930C59">
                  <w:pPr>
                    <w:pStyle w:val="70"/>
                    <w:adjustRightInd/>
                    <w:snapToGrid/>
                    <w:rPr>
                      <w:color w:val="000000" w:themeColor="text1"/>
                      <w:sz w:val="21"/>
                      <w:szCs w:val="24"/>
                      <w:highlight w:val="none"/>
                      <w14:textFill>
                        <w14:solidFill>
                          <w14:schemeClr w14:val="tx1"/>
                        </w14:solidFill>
                      </w14:textFill>
                    </w:rPr>
                  </w:pPr>
                  <w:r>
                    <w:rPr>
                      <w:rFonts w:hint="eastAsia"/>
                      <w:color w:val="000000" w:themeColor="text1"/>
                      <w:sz w:val="21"/>
                      <w:szCs w:val="24"/>
                      <w:highlight w:val="none"/>
                      <w14:textFill>
                        <w14:solidFill>
                          <w14:schemeClr w14:val="tx1"/>
                        </w14:solidFill>
                      </w14:textFill>
                    </w:rPr>
                    <w:t>5</w:t>
                  </w:r>
                  <w:r>
                    <w:rPr>
                      <w:color w:val="000000" w:themeColor="text1"/>
                      <w:sz w:val="21"/>
                      <w:szCs w:val="24"/>
                      <w:highlight w:val="none"/>
                      <w14:textFill>
                        <w14:solidFill>
                          <w14:schemeClr w14:val="tx1"/>
                        </w14:solidFill>
                      </w14:textFill>
                    </w:rPr>
                    <w:t>5</w:t>
                  </w:r>
                </w:p>
              </w:tc>
              <w:tc>
                <w:tcPr>
                  <w:tcW w:w="2139" w:type="pct"/>
                  <w:tcBorders>
                    <w:top w:val="single" w:color="auto" w:sz="4" w:space="0"/>
                    <w:bottom w:val="single" w:color="auto" w:sz="4" w:space="0"/>
                    <w:right w:val="single" w:color="auto" w:sz="4" w:space="0"/>
                  </w:tcBorders>
                  <w:shd w:val="clear" w:color="auto" w:fill="auto"/>
                  <w:vAlign w:val="center"/>
                </w:tcPr>
                <w:p w14:paraId="494DA426">
                  <w:pPr>
                    <w:pStyle w:val="70"/>
                    <w:adjustRightInd/>
                    <w:snapToGrid/>
                    <w:rPr>
                      <w:color w:val="000000" w:themeColor="text1"/>
                      <w:sz w:val="21"/>
                      <w:szCs w:val="24"/>
                      <w:highlight w:val="none"/>
                      <w14:textFill>
                        <w14:solidFill>
                          <w14:schemeClr w14:val="tx1"/>
                        </w14:solidFill>
                      </w14:textFill>
                    </w:rPr>
                  </w:pPr>
                  <w:r>
                    <w:rPr>
                      <w:rFonts w:hint="eastAsia"/>
                      <w:color w:val="000000" w:themeColor="text1"/>
                      <w:sz w:val="21"/>
                      <w:szCs w:val="24"/>
                      <w:highlight w:val="none"/>
                      <w14:textFill>
                        <w14:solidFill>
                          <w14:schemeClr w14:val="tx1"/>
                        </w14:solidFill>
                      </w14:textFill>
                    </w:rPr>
                    <w:t>《工业企业厂界环境噪声排放标准》（GB12348-2008）中3类标准</w:t>
                  </w:r>
                </w:p>
              </w:tc>
            </w:tr>
          </w:tbl>
          <w:p w14:paraId="462D9DB4">
            <w:pPr>
              <w:pStyle w:val="37"/>
              <w:spacing w:before="120" w:beforeLines="50"/>
              <w:rPr>
                <w:color w:val="000000" w:themeColor="text1"/>
                <w:sz w:val="24"/>
                <w:szCs w:val="21"/>
                <w:highlight w:val="none"/>
                <w14:textFill>
                  <w14:solidFill>
                    <w14:schemeClr w14:val="tx1"/>
                  </w14:solidFill>
                </w14:textFill>
              </w:rPr>
            </w:pPr>
            <w:r>
              <w:rPr>
                <w:color w:val="000000" w:themeColor="text1"/>
                <w:sz w:val="24"/>
                <w:szCs w:val="21"/>
                <w:highlight w:val="none"/>
                <w14:textFill>
                  <w14:solidFill>
                    <w14:schemeClr w14:val="tx1"/>
                  </w14:solidFill>
                </w14:textFill>
              </w:rPr>
              <w:t xml:space="preserve">3.10 </w:t>
            </w:r>
            <w:r>
              <w:rPr>
                <w:rFonts w:hint="eastAsia"/>
                <w:color w:val="000000" w:themeColor="text1"/>
                <w:sz w:val="24"/>
                <w:szCs w:val="21"/>
                <w:highlight w:val="none"/>
                <w14:textFill>
                  <w14:solidFill>
                    <w14:schemeClr w14:val="tx1"/>
                  </w14:solidFill>
                </w14:textFill>
              </w:rPr>
              <w:t>固废标准</w:t>
            </w:r>
          </w:p>
          <w:p w14:paraId="5F07D6E8">
            <w:pPr>
              <w:spacing w:line="360" w:lineRule="auto"/>
              <w:ind w:firstLine="480" w:firstLineChars="200"/>
              <w:rPr>
                <w:rFonts w:cs="宋体"/>
                <w:bCs/>
                <w:color w:val="000000" w:themeColor="text1"/>
                <w:sz w:val="24"/>
                <w:szCs w:val="24"/>
                <w:highlight w:val="non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固体废物应分类收集，能够回收利用的应当充分回收利用。</w:t>
            </w:r>
          </w:p>
          <w:p w14:paraId="4ACC7E4A">
            <w:pPr>
              <w:spacing w:line="360" w:lineRule="auto"/>
              <w:ind w:firstLine="480" w:firstLineChars="200"/>
              <w:rPr>
                <w:rFonts w:cs="宋体"/>
                <w:bCs/>
                <w:color w:val="000000" w:themeColor="text1"/>
                <w:sz w:val="24"/>
                <w:szCs w:val="24"/>
                <w:highlight w:val="non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一般工业固体废物参照《一般工业固体废物贮存和填埋污染控制标准》（GB18599-2020）要求进行处置，处理和处置执行《</w:t>
            </w:r>
            <w:r>
              <w:rPr>
                <w:rFonts w:hint="eastAsia" w:cs="宋体"/>
                <w:bCs/>
                <w:color w:val="000000" w:themeColor="text1"/>
                <w:sz w:val="24"/>
                <w:szCs w:val="24"/>
                <w:highlight w:val="none"/>
                <w:lang w:eastAsia="zh-CN"/>
                <w14:textFill>
                  <w14:solidFill>
                    <w14:schemeClr w14:val="tx1"/>
                  </w14:solidFill>
                </w14:textFill>
              </w:rPr>
              <w:t>中华人民共和国</w:t>
            </w:r>
            <w:r>
              <w:rPr>
                <w:rFonts w:hint="eastAsia" w:cs="宋体"/>
                <w:bCs/>
                <w:color w:val="000000" w:themeColor="text1"/>
                <w:sz w:val="24"/>
                <w:szCs w:val="24"/>
                <w:highlight w:val="none"/>
                <w14:textFill>
                  <w14:solidFill>
                    <w14:schemeClr w14:val="tx1"/>
                  </w14:solidFill>
                </w14:textFill>
              </w:rPr>
              <w:t>固体废物污染环境防治法》中的有关规定。一般工业固体废物采用库房、包装工具（罐、桶、包装袋等）贮存一般工业固体废物过程的污染控制，其贮存过程应满足相应防渗漏、防雨淋、防扬尘等环境保护要求。</w:t>
            </w:r>
          </w:p>
          <w:p w14:paraId="43AB3812">
            <w:pPr>
              <w:spacing w:line="360" w:lineRule="auto"/>
              <w:ind w:firstLine="480" w:firstLineChars="200"/>
              <w:rPr>
                <w:rFonts w:hint="eastAsia" w:cs="宋体"/>
                <w:bCs/>
                <w:color w:val="000000" w:themeColor="text1"/>
                <w:sz w:val="24"/>
                <w:szCs w:val="24"/>
                <w:highlight w:val="non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危险废物按《国家危险废物名录》（202</w:t>
            </w:r>
            <w:r>
              <w:rPr>
                <w:rFonts w:hint="eastAsia" w:cs="宋体"/>
                <w:bCs/>
                <w:color w:val="000000" w:themeColor="text1"/>
                <w:sz w:val="24"/>
                <w:szCs w:val="24"/>
                <w:highlight w:val="none"/>
                <w:lang w:val="en-US" w:eastAsia="zh-CN"/>
                <w14:textFill>
                  <w14:solidFill>
                    <w14:schemeClr w14:val="tx1"/>
                  </w14:solidFill>
                </w14:textFill>
              </w:rPr>
              <w:t>5</w:t>
            </w:r>
            <w:r>
              <w:rPr>
                <w:rFonts w:hint="eastAsia" w:cs="宋体"/>
                <w:bCs/>
                <w:color w:val="000000" w:themeColor="text1"/>
                <w:sz w:val="24"/>
                <w:szCs w:val="24"/>
                <w:highlight w:val="none"/>
                <w14:textFill>
                  <w14:solidFill>
                    <w14:schemeClr w14:val="tx1"/>
                  </w14:solidFill>
                </w14:textFill>
              </w:rPr>
              <w:t>年</w:t>
            </w:r>
            <w:r>
              <w:rPr>
                <w:rFonts w:hint="eastAsia" w:cs="宋体"/>
                <w:bCs/>
                <w:color w:val="000000" w:themeColor="text1"/>
                <w:sz w:val="24"/>
                <w:szCs w:val="24"/>
                <w:highlight w:val="none"/>
                <w:lang w:val="en-US" w:eastAsia="zh-CN"/>
                <w14:textFill>
                  <w14:solidFill>
                    <w14:schemeClr w14:val="tx1"/>
                  </w14:solidFill>
                </w14:textFill>
              </w:rPr>
              <w:t>版</w:t>
            </w:r>
            <w:r>
              <w:rPr>
                <w:rFonts w:hint="eastAsia" w:cs="宋体"/>
                <w:bCs/>
                <w:color w:val="000000" w:themeColor="text1"/>
                <w:sz w:val="24"/>
                <w:szCs w:val="24"/>
                <w:highlight w:val="none"/>
                <w14:textFill>
                  <w14:solidFill>
                    <w14:schemeClr w14:val="tx1"/>
                  </w14:solidFill>
                </w14:textFill>
              </w:rPr>
              <w:t>）、《危险废物鉴别标准 通则》（GB5085.7-2019）认定，并按《危险废物贮存污染控制标准》（GB18597-2023）要求进行</w:t>
            </w:r>
            <w:r>
              <w:rPr>
                <w:rFonts w:hint="eastAsia" w:cs="宋体"/>
                <w:bCs/>
                <w:color w:val="000000" w:themeColor="text1"/>
                <w:sz w:val="24"/>
                <w:szCs w:val="24"/>
                <w:highlight w:val="none"/>
                <w:lang w:val="en-US" w:eastAsia="zh-CN"/>
                <w14:textFill>
                  <w14:solidFill>
                    <w14:schemeClr w14:val="tx1"/>
                  </w14:solidFill>
                </w14:textFill>
              </w:rPr>
              <w:t>贮存</w:t>
            </w:r>
            <w:r>
              <w:rPr>
                <w:rFonts w:hint="eastAsia" w:cs="宋体"/>
                <w:bCs/>
                <w:color w:val="000000" w:themeColor="text1"/>
                <w:sz w:val="24"/>
                <w:szCs w:val="24"/>
                <w:highlight w:val="none"/>
                <w14:textFill>
                  <w14:solidFill>
                    <w14:schemeClr w14:val="tx1"/>
                  </w14:solidFill>
                </w14:textFill>
              </w:rPr>
              <w:t>。</w:t>
            </w:r>
          </w:p>
          <w:p w14:paraId="30F5B52C">
            <w:pPr>
              <w:spacing w:line="360" w:lineRule="auto"/>
              <w:ind w:firstLine="480" w:firstLineChars="200"/>
              <w:rPr>
                <w:rFonts w:hint="eastAsia" w:cs="宋体"/>
                <w:bCs/>
                <w:color w:val="000000" w:themeColor="text1"/>
                <w:sz w:val="24"/>
                <w:szCs w:val="24"/>
                <w:highlight w:val="non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危险废物的转运需严格遵守《中华人民共和国固体废物污染环境防治法》</w:t>
            </w:r>
            <w:r>
              <w:rPr>
                <w:rFonts w:hint="eastAsia" w:cs="宋体"/>
                <w:bCs/>
                <w:color w:val="000000" w:themeColor="text1"/>
                <w:sz w:val="24"/>
                <w:szCs w:val="24"/>
                <w:highlight w:val="none"/>
                <w:lang w:eastAsia="zh-CN"/>
                <w14:textFill>
                  <w14:solidFill>
                    <w14:schemeClr w14:val="tx1"/>
                  </w14:solidFill>
                </w14:textFill>
              </w:rPr>
              <w:t>《危险废物转移管理办法》《危险废物收集 贮存 运输技术规范》(HJ 2025-2012)</w:t>
            </w:r>
            <w:r>
              <w:rPr>
                <w:rFonts w:hint="eastAsia" w:cs="宋体"/>
                <w:bCs/>
                <w:color w:val="000000" w:themeColor="text1"/>
                <w:sz w:val="24"/>
                <w:szCs w:val="24"/>
                <w:highlight w:val="none"/>
                <w14:textFill>
                  <w14:solidFill>
                    <w14:schemeClr w14:val="tx1"/>
                  </w14:solidFill>
                </w14:textFill>
              </w:rPr>
              <w:t>中关于危险废物转移的管理规定。转移危险废物必须如实填写、运行电子转移联单</w:t>
            </w:r>
            <w:r>
              <w:rPr>
                <w:rFonts w:hint="eastAsia" w:cs="宋体"/>
                <w:bCs/>
                <w:color w:val="000000" w:themeColor="text1"/>
                <w:sz w:val="24"/>
                <w:szCs w:val="24"/>
                <w:highlight w:val="none"/>
                <w:lang w:eastAsia="zh-CN"/>
                <w14:textFill>
                  <w14:solidFill>
                    <w14:schemeClr w14:val="tx1"/>
                  </w14:solidFill>
                </w14:textFill>
              </w:rPr>
              <w:t>。危险废物的运输必须交由具备相应危险货物运输资质的单位进行。在装载时，应根据危险废物的特性采取适当的包装和必要的防泄漏、防扬散、防破损措施，并在车辆或容器外部悬挂或粘贴危险废物标识。</w:t>
            </w:r>
            <w:r>
              <w:rPr>
                <w:rFonts w:hint="eastAsia" w:cs="宋体"/>
                <w:bCs/>
                <w:color w:val="000000" w:themeColor="text1"/>
                <w:sz w:val="24"/>
                <w:szCs w:val="24"/>
                <w:highlight w:val="none"/>
                <w:lang w:val="en-US" w:eastAsia="zh-CN"/>
                <w14:textFill>
                  <w14:solidFill>
                    <w14:schemeClr w14:val="tx1"/>
                  </w14:solidFill>
                </w14:textFill>
              </w:rPr>
              <w:t>企业</w:t>
            </w:r>
            <w:r>
              <w:rPr>
                <w:rFonts w:hint="eastAsia" w:cs="宋体"/>
                <w:bCs/>
                <w:color w:val="000000" w:themeColor="text1"/>
                <w:sz w:val="24"/>
                <w:szCs w:val="24"/>
                <w:highlight w:val="none"/>
                <w:lang w:eastAsia="zh-CN"/>
                <w14:textFill>
                  <w14:solidFill>
                    <w14:schemeClr w14:val="tx1"/>
                  </w14:solidFill>
                </w14:textFill>
              </w:rPr>
              <w:t>应建立危险废物管理台账，如实记录危险废物的名称、种类、数量、来源、出入库时间、去向、交接人等信息。台账应妥善保存，保存期限不少于5年。</w:t>
            </w:r>
          </w:p>
        </w:tc>
      </w:tr>
      <w:tr w14:paraId="3153BD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2" w:type="dxa"/>
          <w:trHeight w:val="4001" w:hRule="atLeast"/>
          <w:jc w:val="center"/>
        </w:trPr>
        <w:tc>
          <w:tcPr>
            <w:tcW w:w="423" w:type="dxa"/>
            <w:tcMar>
              <w:left w:w="28" w:type="dxa"/>
              <w:right w:w="28" w:type="dxa"/>
            </w:tcMar>
            <w:vAlign w:val="center"/>
          </w:tcPr>
          <w:p w14:paraId="3C2E92CF">
            <w:pPr>
              <w:adjustRightInd w:val="0"/>
              <w:snapToGrid w:val="0"/>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总量控制指标</w:t>
            </w:r>
          </w:p>
        </w:tc>
        <w:tc>
          <w:tcPr>
            <w:tcW w:w="8606" w:type="dxa"/>
            <w:vAlign w:val="center"/>
          </w:tcPr>
          <w:p w14:paraId="26654283">
            <w:pPr>
              <w:spacing w:line="360" w:lineRule="auto"/>
              <w:ind w:firstLine="480" w:firstLineChars="200"/>
              <w:rPr>
                <w:rFonts w:hint="eastAsia"/>
                <w:bCs/>
                <w:color w:val="000000" w:themeColor="text1"/>
                <w:sz w:val="24"/>
                <w:szCs w:val="32"/>
                <w:highlight w:val="none"/>
                <w:lang w:eastAsia="zh-CN"/>
                <w14:textFill>
                  <w14:solidFill>
                    <w14:schemeClr w14:val="tx1"/>
                  </w14:solidFill>
                </w14:textFill>
              </w:rPr>
            </w:pPr>
            <w:r>
              <w:rPr>
                <w:rFonts w:hint="eastAsia"/>
                <w:bCs/>
                <w:color w:val="000000" w:themeColor="text1"/>
                <w:sz w:val="24"/>
                <w:szCs w:val="32"/>
                <w:highlight w:val="none"/>
                <w14:textFill>
                  <w14:solidFill>
                    <w14:schemeClr w14:val="tx1"/>
                  </w14:solidFill>
                </w14:textFill>
              </w:rPr>
              <w:t>根据《福建省建设项目主要污染物排放总量控制指标管理办法》《福建省人民政府关于全面实施排污权有偿使用和交易工作的意见》（闽政〔2016〕54号）等有关文件要求，排污权核定因子COD</w:t>
            </w:r>
            <w:r>
              <w:rPr>
                <w:rFonts w:hint="eastAsia"/>
                <w:bCs/>
                <w:color w:val="000000" w:themeColor="text1"/>
                <w:sz w:val="24"/>
                <w:szCs w:val="32"/>
                <w:highlight w:val="none"/>
                <w:vertAlign w:val="subscript"/>
                <w14:textFill>
                  <w14:solidFill>
                    <w14:schemeClr w14:val="tx1"/>
                  </w14:solidFill>
                </w14:textFill>
              </w:rPr>
              <w:t>Cr</w:t>
            </w:r>
            <w:r>
              <w:rPr>
                <w:rFonts w:hint="eastAsia"/>
                <w:bCs/>
                <w:color w:val="000000" w:themeColor="text1"/>
                <w:sz w:val="24"/>
                <w:szCs w:val="32"/>
                <w:highlight w:val="none"/>
                <w14:textFill>
                  <w14:solidFill>
                    <w14:schemeClr w14:val="tx1"/>
                  </w14:solidFill>
                </w14:textFill>
              </w:rPr>
              <w:t>、NH</w:t>
            </w:r>
            <w:r>
              <w:rPr>
                <w:rFonts w:hint="eastAsia"/>
                <w:bCs/>
                <w:color w:val="000000" w:themeColor="text1"/>
                <w:sz w:val="24"/>
                <w:szCs w:val="32"/>
                <w:highlight w:val="none"/>
                <w:vertAlign w:val="subscript"/>
                <w14:textFill>
                  <w14:solidFill>
                    <w14:schemeClr w14:val="tx1"/>
                  </w14:solidFill>
                </w14:textFill>
              </w:rPr>
              <w:t>3</w:t>
            </w:r>
            <w:r>
              <w:rPr>
                <w:rFonts w:hint="eastAsia"/>
                <w:bCs/>
                <w:color w:val="000000" w:themeColor="text1"/>
                <w:sz w:val="24"/>
                <w:szCs w:val="32"/>
                <w:highlight w:val="none"/>
                <w14:textFill>
                  <w14:solidFill>
                    <w14:schemeClr w14:val="tx1"/>
                  </w14:solidFill>
                </w14:textFill>
              </w:rPr>
              <w:t>-N、SO</w:t>
            </w:r>
            <w:r>
              <w:rPr>
                <w:rFonts w:hint="eastAsia"/>
                <w:bCs/>
                <w:color w:val="000000" w:themeColor="text1"/>
                <w:sz w:val="24"/>
                <w:szCs w:val="32"/>
                <w:highlight w:val="none"/>
                <w:vertAlign w:val="subscript"/>
                <w14:textFill>
                  <w14:solidFill>
                    <w14:schemeClr w14:val="tx1"/>
                  </w14:solidFill>
                </w14:textFill>
              </w:rPr>
              <w:t>2</w:t>
            </w:r>
            <w:r>
              <w:rPr>
                <w:rFonts w:hint="eastAsia"/>
                <w:bCs/>
                <w:color w:val="000000" w:themeColor="text1"/>
                <w:sz w:val="24"/>
                <w:szCs w:val="32"/>
                <w:highlight w:val="none"/>
                <w14:textFill>
                  <w14:solidFill>
                    <w14:schemeClr w14:val="tx1"/>
                  </w14:solidFill>
                </w14:textFill>
              </w:rPr>
              <w:t>、NO</w:t>
            </w:r>
            <w:r>
              <w:rPr>
                <w:rFonts w:hint="eastAsia"/>
                <w:bCs/>
                <w:color w:val="000000" w:themeColor="text1"/>
                <w:sz w:val="24"/>
                <w:szCs w:val="32"/>
                <w:highlight w:val="none"/>
                <w:vertAlign w:val="subscript"/>
                <w14:textFill>
                  <w14:solidFill>
                    <w14:schemeClr w14:val="tx1"/>
                  </w14:solidFill>
                </w14:textFill>
              </w:rPr>
              <w:t>X</w:t>
            </w:r>
            <w:r>
              <w:rPr>
                <w:rFonts w:hint="eastAsia"/>
                <w:bCs/>
                <w:color w:val="000000" w:themeColor="text1"/>
                <w:sz w:val="24"/>
                <w:szCs w:val="32"/>
                <w:highlight w:val="none"/>
                <w14:textFill>
                  <w14:solidFill>
                    <w14:schemeClr w14:val="tx1"/>
                  </w14:solidFill>
                </w14:textFill>
              </w:rPr>
              <w:t>。</w:t>
            </w:r>
          </w:p>
          <w:p w14:paraId="58F653EA">
            <w:pPr>
              <w:spacing w:line="360" w:lineRule="auto"/>
              <w:ind w:firstLine="480" w:firstLineChars="200"/>
              <w:rPr>
                <w:rFonts w:hint="default" w:eastAsia="宋体"/>
                <w:bCs/>
                <w:color w:val="000000" w:themeColor="text1"/>
                <w:sz w:val="24"/>
                <w:szCs w:val="32"/>
                <w:highlight w:val="none"/>
                <w:lang w:val="en-US" w:eastAsia="zh-CN"/>
                <w14:textFill>
                  <w14:solidFill>
                    <w14:schemeClr w14:val="tx1"/>
                  </w14:solidFill>
                </w14:textFill>
              </w:rPr>
            </w:pPr>
            <w:r>
              <w:rPr>
                <w:rFonts w:hint="eastAsia"/>
                <w:bCs/>
                <w:color w:val="000000" w:themeColor="text1"/>
                <w:sz w:val="24"/>
                <w:szCs w:val="32"/>
                <w:highlight w:val="none"/>
                <w:lang w:eastAsia="zh-CN"/>
                <w14:textFill>
                  <w14:solidFill>
                    <w14:schemeClr w14:val="tx1"/>
                  </w14:solidFill>
                </w14:textFill>
              </w:rPr>
              <w:t>（</w:t>
            </w:r>
            <w:r>
              <w:rPr>
                <w:rFonts w:hint="eastAsia"/>
                <w:bCs/>
                <w:color w:val="000000" w:themeColor="text1"/>
                <w:sz w:val="24"/>
                <w:szCs w:val="32"/>
                <w:highlight w:val="none"/>
                <w:lang w:val="en-US" w:eastAsia="zh-CN"/>
                <w14:textFill>
                  <w14:solidFill>
                    <w14:schemeClr w14:val="tx1"/>
                  </w14:solidFill>
                </w14:textFill>
              </w:rPr>
              <w:t>1</w:t>
            </w:r>
            <w:r>
              <w:rPr>
                <w:rFonts w:hint="eastAsia"/>
                <w:bCs/>
                <w:color w:val="000000" w:themeColor="text1"/>
                <w:sz w:val="24"/>
                <w:szCs w:val="32"/>
                <w:highlight w:val="none"/>
                <w:lang w:eastAsia="zh-CN"/>
                <w14:textFill>
                  <w14:solidFill>
                    <w14:schemeClr w14:val="tx1"/>
                  </w14:solidFill>
                </w14:textFill>
              </w:rPr>
              <w:t>）</w:t>
            </w:r>
            <w:r>
              <w:rPr>
                <w:rFonts w:hint="eastAsia"/>
                <w:bCs/>
                <w:color w:val="000000" w:themeColor="text1"/>
                <w:sz w:val="24"/>
                <w:szCs w:val="32"/>
                <w:highlight w:val="none"/>
                <w:lang w:val="en-US" w:eastAsia="zh-CN"/>
                <w14:textFill>
                  <w14:solidFill>
                    <w14:schemeClr w14:val="tx1"/>
                  </w14:solidFill>
                </w14:textFill>
              </w:rPr>
              <w:t>废水总量</w:t>
            </w:r>
          </w:p>
          <w:p w14:paraId="418F9887">
            <w:pPr>
              <w:spacing w:line="360" w:lineRule="auto"/>
              <w:ind w:firstLine="480" w:firstLineChars="200"/>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pPr>
            <w:r>
              <w:rPr>
                <w:rFonts w:hint="eastAsia"/>
                <w:bCs/>
                <w:color w:val="000000" w:themeColor="text1"/>
                <w:sz w:val="24"/>
                <w:szCs w:val="32"/>
                <w:highlight w:val="none"/>
                <w14:textFill>
                  <w14:solidFill>
                    <w14:schemeClr w14:val="tx1"/>
                  </w14:solidFill>
                </w14:textFill>
              </w:rPr>
              <w:t>本项目生产废水依托厂区</w:t>
            </w:r>
            <w:r>
              <w:rPr>
                <w:rFonts w:hint="eastAsia"/>
                <w:bCs/>
                <w:color w:val="000000" w:themeColor="text1"/>
                <w:sz w:val="24"/>
                <w:szCs w:val="32"/>
                <w:highlight w:val="none"/>
                <w:lang w:val="en-US" w:eastAsia="zh-CN"/>
                <w14:textFill>
                  <w14:solidFill>
                    <w14:schemeClr w14:val="tx1"/>
                  </w14:solidFill>
                </w14:textFill>
              </w:rPr>
              <w:t>新建</w:t>
            </w:r>
            <w:r>
              <w:rPr>
                <w:rFonts w:hint="eastAsia"/>
                <w:bCs/>
                <w:color w:val="000000" w:themeColor="text1"/>
                <w:sz w:val="24"/>
                <w:szCs w:val="32"/>
                <w:highlight w:val="none"/>
                <w14:textFill>
                  <w14:solidFill>
                    <w14:schemeClr w14:val="tx1"/>
                  </w14:solidFill>
                </w14:textFill>
              </w:rPr>
              <w:t>的污水站处理后经市政污水管网排入福州大学城污水处理厂统一处理；生活污水经</w:t>
            </w:r>
            <w:r>
              <w:rPr>
                <w:rFonts w:hint="eastAsia"/>
                <w:bCs/>
                <w:color w:val="000000" w:themeColor="text1"/>
                <w:sz w:val="24"/>
                <w:szCs w:val="32"/>
                <w:highlight w:val="none"/>
                <w:lang w:val="en-US" w:eastAsia="zh-CN"/>
                <w14:textFill>
                  <w14:solidFill>
                    <w14:schemeClr w14:val="tx1"/>
                  </w14:solidFill>
                </w14:textFill>
              </w:rPr>
              <w:t>隔油+</w:t>
            </w:r>
            <w:r>
              <w:rPr>
                <w:rFonts w:hint="eastAsia"/>
                <w:bCs/>
                <w:color w:val="000000" w:themeColor="text1"/>
                <w:sz w:val="24"/>
                <w:szCs w:val="32"/>
                <w:highlight w:val="none"/>
                <w14:textFill>
                  <w14:solidFill>
                    <w14:schemeClr w14:val="tx1"/>
                  </w14:solidFill>
                </w14:textFill>
              </w:rPr>
              <w:t>化粪池处</w:t>
            </w:r>
            <w:r>
              <w:rPr>
                <w:rFonts w:hint="eastAsia"/>
                <w:bCs/>
                <w:color w:val="000000" w:themeColor="text1"/>
                <w:sz w:val="24"/>
                <w:szCs w:val="32"/>
                <w:highlight w:val="none"/>
                <w:lang w:eastAsia="zh-CN"/>
                <w14:textFill>
                  <w14:solidFill>
                    <w14:schemeClr w14:val="tx1"/>
                  </w14:solidFill>
                </w14:textFill>
              </w:rPr>
              <w:t>理后</w:t>
            </w:r>
            <w:r>
              <w:rPr>
                <w:rFonts w:hint="eastAsia"/>
                <w:bCs/>
                <w:color w:val="000000" w:themeColor="text1"/>
                <w:sz w:val="24"/>
                <w:szCs w:val="32"/>
                <w:highlight w:val="none"/>
                <w14:textFill>
                  <w14:solidFill>
                    <w14:schemeClr w14:val="tx1"/>
                  </w14:solidFill>
                </w14:textFill>
              </w:rPr>
              <w:t>经市政污水管网排入福州大学城污水处理厂统一处理。福州大学城污水处理厂出水排放执行《城镇污水处理厂污染物排放标准》（GB18918-2002）及其修改单中一级A排放标准：COD为50mg/L、氨氮为5mg/L，本项目污染物排放总量详见</w:t>
            </w:r>
            <w:r>
              <w:rPr>
                <w:rFonts w:hint="eastAsia"/>
                <w:bCs/>
                <w:color w:val="000000" w:themeColor="text1"/>
                <w:sz w:val="24"/>
                <w:szCs w:val="32"/>
                <w:highlight w:val="none"/>
                <w:lang w:val="en-US" w:eastAsia="zh-CN"/>
                <w14:textFill>
                  <w14:solidFill>
                    <w14:schemeClr w14:val="tx1"/>
                  </w14:solidFill>
                </w14:textFill>
              </w:rPr>
              <w:t>下</w:t>
            </w:r>
            <w:r>
              <w:rPr>
                <w:rFonts w:hint="eastAsia"/>
                <w:bCs/>
                <w:color w:val="000000" w:themeColor="text1"/>
                <w:sz w:val="24"/>
                <w:szCs w:val="32"/>
                <w:highlight w:val="none"/>
                <w14:textFill>
                  <w14:solidFill>
                    <w14:schemeClr w14:val="tx1"/>
                  </w14:solidFill>
                </w14:textFill>
              </w:rPr>
              <w:t>表。</w:t>
            </w:r>
          </w:p>
          <w:p w14:paraId="2AFD301E">
            <w:pPr>
              <w:pStyle w:val="69"/>
              <w:spacing w:line="360" w:lineRule="auto"/>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表</w:t>
            </w:r>
            <w:r>
              <w:rPr>
                <w:rFonts w:hint="eastAsia" w:eastAsia="宋体" w:cs="宋体"/>
                <w:b/>
                <w:color w:val="000000" w:themeColor="text1"/>
                <w:kern w:val="2"/>
                <w:sz w:val="24"/>
                <w:szCs w:val="24"/>
                <w:highlight w:val="none"/>
                <w:lang w:val="en-US" w:eastAsia="zh-CN" w:bidi="ar-SA"/>
                <w14:textFill>
                  <w14:solidFill>
                    <w14:schemeClr w14:val="tx1"/>
                  </w14:solidFill>
                </w14:textFill>
              </w:rPr>
              <w:t xml:space="preserve">3.11-1  </w:t>
            </w: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本项目水污染物排放总量指标</w:t>
            </w:r>
          </w:p>
          <w:tbl>
            <w:tblPr>
              <w:tblStyle w:val="30"/>
              <w:tblW w:w="5000" w:type="pct"/>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332"/>
              <w:gridCol w:w="1170"/>
              <w:gridCol w:w="1959"/>
              <w:gridCol w:w="1959"/>
              <w:gridCol w:w="1960"/>
            </w:tblGrid>
            <w:tr w14:paraId="6FEC7B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 w:hRule="atLeast"/>
              </w:trPr>
              <w:tc>
                <w:tcPr>
                  <w:tcW w:w="1332" w:type="dxa"/>
                  <w:vMerge w:val="restart"/>
                  <w:tcBorders>
                    <w:tl2br w:val="nil"/>
                    <w:tr2bl w:val="nil"/>
                  </w:tcBorders>
                  <w:shd w:val="clear" w:color="auto" w:fill="auto"/>
                  <w:vAlign w:val="center"/>
                </w:tcPr>
                <w:p w14:paraId="215C5EE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类别</w:t>
                  </w:r>
                </w:p>
              </w:tc>
              <w:tc>
                <w:tcPr>
                  <w:tcW w:w="1170" w:type="dxa"/>
                  <w:vMerge w:val="restart"/>
                  <w:tcBorders>
                    <w:tl2br w:val="nil"/>
                    <w:tr2bl w:val="nil"/>
                  </w:tcBorders>
                  <w:shd w:val="clear" w:color="auto" w:fill="auto"/>
                  <w:vAlign w:val="center"/>
                </w:tcPr>
                <w:p w14:paraId="009B7357">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排放浓度mg/L</w:t>
                  </w:r>
                </w:p>
              </w:tc>
              <w:tc>
                <w:tcPr>
                  <w:tcW w:w="5878" w:type="dxa"/>
                  <w:gridSpan w:val="3"/>
                  <w:tcBorders>
                    <w:tl2br w:val="nil"/>
                    <w:tr2bl w:val="nil"/>
                  </w:tcBorders>
                  <w:shd w:val="clear" w:color="auto" w:fill="auto"/>
                  <w:vAlign w:val="center"/>
                </w:tcPr>
                <w:p w14:paraId="68975C15">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t>建议最终排入环境控制指标</w:t>
                  </w:r>
                </w:p>
              </w:tc>
            </w:tr>
            <w:tr w14:paraId="21950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332" w:type="dxa"/>
                  <w:vMerge w:val="continue"/>
                  <w:tcBorders>
                    <w:tl2br w:val="nil"/>
                    <w:tr2bl w:val="nil"/>
                  </w:tcBorders>
                  <w:shd w:val="clear" w:color="auto" w:fill="auto"/>
                  <w:vAlign w:val="center"/>
                </w:tcPr>
                <w:p w14:paraId="0845CA28">
                  <w:pPr>
                    <w:jc w:val="center"/>
                    <w:rPr>
                      <w:rFonts w:hint="default" w:ascii="Times New Roman" w:hAnsi="Times New Roman" w:eastAsia="宋体" w:cs="Times New Roman"/>
                      <w:i w:val="0"/>
                      <w:iCs w:val="0"/>
                      <w:color w:val="000000" w:themeColor="text1"/>
                      <w:sz w:val="2"/>
                      <w:szCs w:val="2"/>
                      <w:highlight w:val="none"/>
                      <w:u w:val="none"/>
                      <w14:textFill>
                        <w14:solidFill>
                          <w14:schemeClr w14:val="tx1"/>
                        </w14:solidFill>
                      </w14:textFill>
                    </w:rPr>
                  </w:pPr>
                </w:p>
              </w:tc>
              <w:tc>
                <w:tcPr>
                  <w:tcW w:w="1170" w:type="dxa"/>
                  <w:vMerge w:val="continue"/>
                  <w:tcBorders>
                    <w:tl2br w:val="nil"/>
                    <w:tr2bl w:val="nil"/>
                  </w:tcBorders>
                  <w:shd w:val="clear" w:color="auto" w:fill="auto"/>
                  <w:vAlign w:val="center"/>
                </w:tcPr>
                <w:p w14:paraId="519C8491">
                  <w:pPr>
                    <w:jc w:val="center"/>
                    <w:rPr>
                      <w:rFonts w:hint="default" w:ascii="Times New Roman" w:hAnsi="Times New Roman" w:eastAsia="宋体" w:cs="Times New Roman"/>
                      <w:i w:val="0"/>
                      <w:iCs w:val="0"/>
                      <w:color w:val="000000" w:themeColor="text1"/>
                      <w:sz w:val="2"/>
                      <w:szCs w:val="2"/>
                      <w:highlight w:val="none"/>
                      <w:u w:val="none"/>
                      <w14:textFill>
                        <w14:solidFill>
                          <w14:schemeClr w14:val="tx1"/>
                        </w14:solidFill>
                      </w14:textFill>
                    </w:rPr>
                  </w:pPr>
                </w:p>
              </w:tc>
              <w:tc>
                <w:tcPr>
                  <w:tcW w:w="5878" w:type="dxa"/>
                  <w:gridSpan w:val="3"/>
                  <w:tcBorders>
                    <w:tl2br w:val="nil"/>
                    <w:tr2bl w:val="nil"/>
                  </w:tcBorders>
                  <w:shd w:val="clear" w:color="auto" w:fill="auto"/>
                  <w:vAlign w:val="center"/>
                </w:tcPr>
                <w:p w14:paraId="5A7E0D09">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t>废水排放量</w:t>
                  </w: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t</w:t>
                  </w:r>
                  <w: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t>/a</w:t>
                  </w:r>
                </w:p>
              </w:tc>
            </w:tr>
            <w:tr w14:paraId="6A12D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332" w:type="dxa"/>
                  <w:vMerge w:val="continue"/>
                  <w:tcBorders>
                    <w:tl2br w:val="nil"/>
                    <w:tr2bl w:val="nil"/>
                  </w:tcBorders>
                  <w:shd w:val="clear" w:color="auto" w:fill="auto"/>
                  <w:vAlign w:val="center"/>
                </w:tcPr>
                <w:p w14:paraId="0E685A69">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170" w:type="dxa"/>
                  <w:vMerge w:val="continue"/>
                  <w:tcBorders>
                    <w:tl2br w:val="nil"/>
                    <w:tr2bl w:val="nil"/>
                  </w:tcBorders>
                  <w:shd w:val="clear" w:color="auto" w:fill="auto"/>
                  <w:vAlign w:val="center"/>
                </w:tcPr>
                <w:p w14:paraId="0CCC0580">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959" w:type="dxa"/>
                  <w:tcBorders>
                    <w:tl2br w:val="nil"/>
                    <w:tr2bl w:val="nil"/>
                  </w:tcBorders>
                  <w:shd w:val="clear" w:color="auto" w:fill="auto"/>
                  <w:vAlign w:val="center"/>
                </w:tcPr>
                <w:p w14:paraId="14391595">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现有工程</w:t>
                  </w:r>
                </w:p>
              </w:tc>
              <w:tc>
                <w:tcPr>
                  <w:tcW w:w="1959" w:type="dxa"/>
                  <w:tcBorders>
                    <w:tl2br w:val="nil"/>
                    <w:tr2bl w:val="nil"/>
                  </w:tcBorders>
                  <w:shd w:val="clear" w:color="auto" w:fill="auto"/>
                  <w:vAlign w:val="center"/>
                </w:tcPr>
                <w:p w14:paraId="2CF49175">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本项目</w:t>
                  </w:r>
                </w:p>
              </w:tc>
              <w:tc>
                <w:tcPr>
                  <w:tcW w:w="1960" w:type="dxa"/>
                  <w:tcBorders>
                    <w:tl2br w:val="nil"/>
                    <w:tr2bl w:val="nil"/>
                  </w:tcBorders>
                  <w:shd w:val="clear" w:color="auto" w:fill="auto"/>
                  <w:vAlign w:val="center"/>
                </w:tcPr>
                <w:p w14:paraId="6C29AA6C">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扩建后全厂</w:t>
                  </w:r>
                </w:p>
              </w:tc>
            </w:tr>
            <w:tr w14:paraId="6A4F8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332" w:type="dxa"/>
                  <w:tcBorders>
                    <w:tl2br w:val="nil"/>
                    <w:tr2bl w:val="nil"/>
                  </w:tcBorders>
                  <w:shd w:val="clear" w:color="auto" w:fill="auto"/>
                  <w:vAlign w:val="center"/>
                </w:tcPr>
                <w:p w14:paraId="0928ECF3">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废水量</w:t>
                  </w:r>
                </w:p>
              </w:tc>
              <w:tc>
                <w:tcPr>
                  <w:tcW w:w="1170" w:type="dxa"/>
                  <w:tcBorders>
                    <w:tl2br w:val="nil"/>
                    <w:tr2bl w:val="nil"/>
                  </w:tcBorders>
                  <w:shd w:val="clear" w:color="auto" w:fill="auto"/>
                  <w:vAlign w:val="center"/>
                </w:tcPr>
                <w:p w14:paraId="0415A60A">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w:t>
                  </w:r>
                </w:p>
              </w:tc>
              <w:tc>
                <w:tcPr>
                  <w:tcW w:w="1959" w:type="dxa"/>
                  <w:tcBorders>
                    <w:tl2br w:val="nil"/>
                    <w:tr2bl w:val="nil"/>
                  </w:tcBorders>
                  <w:shd w:val="clear" w:color="auto" w:fill="auto"/>
                  <w:vAlign w:val="center"/>
                </w:tcPr>
                <w:p w14:paraId="54D08EA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cs="Times New Roman"/>
                      <w:i w:val="0"/>
                      <w:iCs w:val="0"/>
                      <w:color w:val="000000" w:themeColor="text1"/>
                      <w:sz w:val="21"/>
                      <w:szCs w:val="21"/>
                      <w:highlight w:val="none"/>
                      <w:u w:val="none"/>
                      <w:lang w:val="en-US" w:eastAsia="zh-CN"/>
                      <w14:textFill>
                        <w14:solidFill>
                          <w14:schemeClr w14:val="tx1"/>
                        </w14:solidFill>
                      </w14:textFill>
                    </w:rPr>
                    <w:t>3780</w:t>
                  </w:r>
                </w:p>
              </w:tc>
              <w:tc>
                <w:tcPr>
                  <w:tcW w:w="1959" w:type="dxa"/>
                  <w:tcBorders>
                    <w:tl2br w:val="nil"/>
                    <w:tr2bl w:val="nil"/>
                  </w:tcBorders>
                  <w:shd w:val="clear" w:color="auto" w:fill="auto"/>
                  <w:vAlign w:val="center"/>
                </w:tcPr>
                <w:p w14:paraId="03565F65">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cs="Times New Roman"/>
                      <w:i w:val="0"/>
                      <w:iCs w:val="0"/>
                      <w:color w:val="000000" w:themeColor="text1"/>
                      <w:sz w:val="21"/>
                      <w:szCs w:val="21"/>
                      <w:highlight w:val="none"/>
                      <w:u w:val="none"/>
                      <w:lang w:val="en-US" w:eastAsia="zh-CN"/>
                      <w14:textFill>
                        <w14:solidFill>
                          <w14:schemeClr w14:val="tx1"/>
                        </w14:solidFill>
                      </w14:textFill>
                    </w:rPr>
                    <w:t>8460</w:t>
                  </w:r>
                </w:p>
              </w:tc>
              <w:tc>
                <w:tcPr>
                  <w:tcW w:w="1960" w:type="dxa"/>
                  <w:tcBorders>
                    <w:tl2br w:val="nil"/>
                    <w:tr2bl w:val="nil"/>
                  </w:tcBorders>
                  <w:shd w:val="clear" w:color="auto" w:fill="auto"/>
                  <w:vAlign w:val="center"/>
                </w:tcPr>
                <w:p w14:paraId="68AD8C29">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cs="Times New Roman"/>
                      <w:i w:val="0"/>
                      <w:iCs w:val="0"/>
                      <w:color w:val="000000" w:themeColor="text1"/>
                      <w:sz w:val="21"/>
                      <w:szCs w:val="21"/>
                      <w:highlight w:val="none"/>
                      <w:u w:val="none"/>
                      <w:lang w:val="en-US" w:eastAsia="zh-CN"/>
                      <w14:textFill>
                        <w14:solidFill>
                          <w14:schemeClr w14:val="tx1"/>
                        </w14:solidFill>
                      </w14:textFill>
                    </w:rPr>
                    <w:t>12240</w:t>
                  </w:r>
                </w:p>
              </w:tc>
            </w:tr>
            <w:tr w14:paraId="07FEDF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332" w:type="dxa"/>
                  <w:tcBorders>
                    <w:tl2br w:val="nil"/>
                    <w:tr2bl w:val="nil"/>
                  </w:tcBorders>
                  <w:shd w:val="clear" w:color="auto" w:fill="auto"/>
                  <w:vAlign w:val="center"/>
                </w:tcPr>
                <w:p w14:paraId="18F6B405">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COD</w:t>
                  </w:r>
                </w:p>
              </w:tc>
              <w:tc>
                <w:tcPr>
                  <w:tcW w:w="1170" w:type="dxa"/>
                  <w:tcBorders>
                    <w:tl2br w:val="nil"/>
                    <w:tr2bl w:val="nil"/>
                  </w:tcBorders>
                  <w:shd w:val="clear" w:color="auto" w:fill="auto"/>
                  <w:vAlign w:val="center"/>
                </w:tcPr>
                <w:p w14:paraId="0A6142A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50</w:t>
                  </w:r>
                </w:p>
              </w:tc>
              <w:tc>
                <w:tcPr>
                  <w:tcW w:w="1959" w:type="dxa"/>
                  <w:tcBorders>
                    <w:tl2br w:val="nil"/>
                    <w:tr2bl w:val="nil"/>
                  </w:tcBorders>
                  <w:shd w:val="clear" w:color="auto" w:fill="auto"/>
                  <w:vAlign w:val="center"/>
                </w:tcPr>
                <w:p w14:paraId="6368CCE8">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cs="Times New Roman"/>
                      <w:i w:val="0"/>
                      <w:iCs w:val="0"/>
                      <w:color w:val="000000" w:themeColor="text1"/>
                      <w:sz w:val="21"/>
                      <w:szCs w:val="21"/>
                      <w:highlight w:val="none"/>
                      <w:u w:val="none"/>
                      <w:lang w:val="en-US" w:eastAsia="zh-CN"/>
                      <w14:textFill>
                        <w14:solidFill>
                          <w14:schemeClr w14:val="tx1"/>
                        </w14:solidFill>
                      </w14:textFill>
                    </w:rPr>
                    <w:t>0.189</w:t>
                  </w:r>
                </w:p>
              </w:tc>
              <w:tc>
                <w:tcPr>
                  <w:tcW w:w="1959" w:type="dxa"/>
                  <w:tcBorders>
                    <w:tl2br w:val="nil"/>
                    <w:tr2bl w:val="nil"/>
                  </w:tcBorders>
                  <w:shd w:val="clear" w:color="auto" w:fill="auto"/>
                  <w:vAlign w:val="center"/>
                </w:tcPr>
                <w:p w14:paraId="609E9D17">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cs="Times New Roman"/>
                      <w:i w:val="0"/>
                      <w:iCs w:val="0"/>
                      <w:color w:val="000000" w:themeColor="text1"/>
                      <w:sz w:val="21"/>
                      <w:szCs w:val="21"/>
                      <w:highlight w:val="none"/>
                      <w:u w:val="none"/>
                      <w:lang w:val="en-US" w:eastAsia="zh-CN"/>
                      <w14:textFill>
                        <w14:solidFill>
                          <w14:schemeClr w14:val="tx1"/>
                        </w14:solidFill>
                      </w14:textFill>
                    </w:rPr>
                    <w:t>0.423</w:t>
                  </w:r>
                </w:p>
              </w:tc>
              <w:tc>
                <w:tcPr>
                  <w:tcW w:w="1960" w:type="dxa"/>
                  <w:tcBorders>
                    <w:tl2br w:val="nil"/>
                    <w:tr2bl w:val="nil"/>
                  </w:tcBorders>
                  <w:shd w:val="clear" w:color="auto" w:fill="auto"/>
                  <w:vAlign w:val="center"/>
                </w:tcPr>
                <w:p w14:paraId="28FC2A12">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cs="Times New Roman"/>
                      <w:i w:val="0"/>
                      <w:iCs w:val="0"/>
                      <w:color w:val="000000" w:themeColor="text1"/>
                      <w:sz w:val="21"/>
                      <w:szCs w:val="21"/>
                      <w:highlight w:val="none"/>
                      <w:u w:val="none"/>
                      <w:lang w:val="en-US" w:eastAsia="zh-CN"/>
                      <w14:textFill>
                        <w14:solidFill>
                          <w14:schemeClr w14:val="tx1"/>
                        </w14:solidFill>
                      </w14:textFill>
                    </w:rPr>
                    <w:t>0.612</w:t>
                  </w:r>
                </w:p>
              </w:tc>
            </w:tr>
            <w:tr w14:paraId="39DD2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332" w:type="dxa"/>
                  <w:tcBorders>
                    <w:tl2br w:val="nil"/>
                    <w:tr2bl w:val="nil"/>
                  </w:tcBorders>
                  <w:shd w:val="clear" w:color="auto" w:fill="auto"/>
                  <w:vAlign w:val="center"/>
                </w:tcPr>
                <w:p w14:paraId="4D8EB357">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cs="Times New Roman"/>
                      <w:bCs/>
                      <w:color w:val="000000" w:themeColor="text1"/>
                      <w:sz w:val="21"/>
                      <w:szCs w:val="21"/>
                      <w:highlight w:val="none"/>
                      <w14:textFill>
                        <w14:solidFill>
                          <w14:schemeClr w14:val="tx1"/>
                        </w14:solidFill>
                      </w14:textFill>
                    </w:rPr>
                    <w:t>NH</w:t>
                  </w:r>
                  <w:r>
                    <w:rPr>
                      <w:rFonts w:hint="default" w:ascii="Times New Roman" w:hAnsi="Times New Roman" w:cs="Times New Roman"/>
                      <w:bCs/>
                      <w:color w:val="000000" w:themeColor="text1"/>
                      <w:sz w:val="21"/>
                      <w:szCs w:val="21"/>
                      <w:highlight w:val="none"/>
                      <w:vertAlign w:val="subscript"/>
                      <w14:textFill>
                        <w14:solidFill>
                          <w14:schemeClr w14:val="tx1"/>
                        </w14:solidFill>
                      </w14:textFill>
                    </w:rPr>
                    <w:t>3</w:t>
                  </w:r>
                  <w:r>
                    <w:rPr>
                      <w:rFonts w:hint="default" w:ascii="Times New Roman" w:hAnsi="Times New Roman" w:cs="Times New Roman"/>
                      <w:bCs/>
                      <w:color w:val="000000" w:themeColor="text1"/>
                      <w:sz w:val="21"/>
                      <w:szCs w:val="21"/>
                      <w:highlight w:val="none"/>
                      <w14:textFill>
                        <w14:solidFill>
                          <w14:schemeClr w14:val="tx1"/>
                        </w14:solidFill>
                      </w14:textFill>
                    </w:rPr>
                    <w:t>-N</w:t>
                  </w:r>
                </w:p>
              </w:tc>
              <w:tc>
                <w:tcPr>
                  <w:tcW w:w="1170" w:type="dxa"/>
                  <w:tcBorders>
                    <w:tl2br w:val="nil"/>
                    <w:tr2bl w:val="nil"/>
                  </w:tcBorders>
                  <w:shd w:val="clear" w:color="auto" w:fill="auto"/>
                  <w:vAlign w:val="center"/>
                </w:tcPr>
                <w:p w14:paraId="2EC47B07">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5</w:t>
                  </w:r>
                </w:p>
              </w:tc>
              <w:tc>
                <w:tcPr>
                  <w:tcW w:w="1959" w:type="dxa"/>
                  <w:tcBorders>
                    <w:tl2br w:val="nil"/>
                    <w:tr2bl w:val="nil"/>
                  </w:tcBorders>
                  <w:shd w:val="clear" w:color="auto" w:fill="auto"/>
                  <w:vAlign w:val="center"/>
                </w:tcPr>
                <w:p w14:paraId="41A66982">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cs="Times New Roman"/>
                      <w:i w:val="0"/>
                      <w:iCs w:val="0"/>
                      <w:color w:val="000000" w:themeColor="text1"/>
                      <w:sz w:val="21"/>
                      <w:szCs w:val="21"/>
                      <w:highlight w:val="none"/>
                      <w:u w:val="none"/>
                      <w:lang w:val="en-US" w:eastAsia="zh-CN"/>
                      <w14:textFill>
                        <w14:solidFill>
                          <w14:schemeClr w14:val="tx1"/>
                        </w14:solidFill>
                      </w14:textFill>
                    </w:rPr>
                    <w:t>0.019</w:t>
                  </w:r>
                </w:p>
              </w:tc>
              <w:tc>
                <w:tcPr>
                  <w:tcW w:w="1959" w:type="dxa"/>
                  <w:tcBorders>
                    <w:tl2br w:val="nil"/>
                    <w:tr2bl w:val="nil"/>
                  </w:tcBorders>
                  <w:shd w:val="clear" w:color="auto" w:fill="auto"/>
                  <w:vAlign w:val="center"/>
                </w:tcPr>
                <w:p w14:paraId="193BF59C">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cs="Times New Roman"/>
                      <w:i w:val="0"/>
                      <w:iCs w:val="0"/>
                      <w:color w:val="000000" w:themeColor="text1"/>
                      <w:sz w:val="21"/>
                      <w:szCs w:val="21"/>
                      <w:highlight w:val="none"/>
                      <w:u w:val="none"/>
                      <w:lang w:val="en-US" w:eastAsia="zh-CN"/>
                      <w14:textFill>
                        <w14:solidFill>
                          <w14:schemeClr w14:val="tx1"/>
                        </w14:solidFill>
                      </w14:textFill>
                    </w:rPr>
                    <w:t>0.0423</w:t>
                  </w:r>
                </w:p>
              </w:tc>
              <w:tc>
                <w:tcPr>
                  <w:tcW w:w="1960" w:type="dxa"/>
                  <w:tcBorders>
                    <w:tl2br w:val="nil"/>
                    <w:tr2bl w:val="nil"/>
                  </w:tcBorders>
                  <w:shd w:val="clear" w:color="auto" w:fill="auto"/>
                  <w:vAlign w:val="center"/>
                </w:tcPr>
                <w:p w14:paraId="5ADCBD7C">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cs="Times New Roman"/>
                      <w:i w:val="0"/>
                      <w:iCs w:val="0"/>
                      <w:color w:val="000000" w:themeColor="text1"/>
                      <w:sz w:val="21"/>
                      <w:szCs w:val="21"/>
                      <w:highlight w:val="none"/>
                      <w:u w:val="none"/>
                      <w:lang w:val="en-US" w:eastAsia="zh-CN"/>
                      <w14:textFill>
                        <w14:solidFill>
                          <w14:schemeClr w14:val="tx1"/>
                        </w14:solidFill>
                      </w14:textFill>
                    </w:rPr>
                    <w:t>0.0613</w:t>
                  </w:r>
                </w:p>
              </w:tc>
            </w:tr>
          </w:tbl>
          <w:p w14:paraId="0058267F">
            <w:pPr>
              <w:spacing w:line="360" w:lineRule="auto"/>
              <w:ind w:firstLine="480" w:firstLineChars="200"/>
              <w:rPr>
                <w:rFonts w:hint="eastAsia"/>
                <w:bCs/>
                <w:color w:val="000000" w:themeColor="text1"/>
                <w:sz w:val="24"/>
                <w:szCs w:val="32"/>
                <w:highlight w:val="none"/>
                <w14:textFill>
                  <w14:solidFill>
                    <w14:schemeClr w14:val="tx1"/>
                  </w14:solidFill>
                </w14:textFill>
              </w:rPr>
            </w:pPr>
            <w:r>
              <w:rPr>
                <w:rFonts w:hint="eastAsia"/>
                <w:bCs/>
                <w:color w:val="000000" w:themeColor="text1"/>
                <w:sz w:val="24"/>
                <w:szCs w:val="32"/>
                <w:highlight w:val="none"/>
                <w14:textFill>
                  <w14:solidFill>
                    <w14:schemeClr w14:val="tx1"/>
                  </w14:solidFill>
                </w14:textFill>
              </w:rPr>
              <w:t>项目生活污水排放暂不需要购买相应的排污权指标，由福州大学城污水处理厂统一控制；生产废水经厂区废水处理设施处理达标后通过市政污水管网最终排放到福州大学城污水处理厂统一处理。根据《福州市建设项目主要污染物排放总量指标管理实施细则》（修订）中规定“省级（含）以上工业园区外的工业企业新增主要污染物排放（不含使用天然气、液化石油气等作为燃料的非火电锅炉和工业炉窑的工业企业新增的二氧化硫、氮氧化物排放量），按不低于1.2倍交易”</w:t>
            </w:r>
            <w:r>
              <w:rPr>
                <w:rFonts w:hint="eastAsia"/>
                <w:bCs/>
                <w:color w:val="000000" w:themeColor="text1"/>
                <w:sz w:val="24"/>
                <w:szCs w:val="32"/>
                <w:highlight w:val="none"/>
                <w:lang w:eastAsia="zh-CN"/>
                <w14:textFill>
                  <w14:solidFill>
                    <w14:schemeClr w14:val="tx1"/>
                  </w14:solidFill>
                </w14:textFill>
              </w:rPr>
              <w:t>，</w:t>
            </w:r>
            <w:r>
              <w:rPr>
                <w:rFonts w:hint="eastAsia"/>
                <w:bCs/>
                <w:color w:val="000000" w:themeColor="text1"/>
                <w:sz w:val="24"/>
                <w:szCs w:val="32"/>
                <w:highlight w:val="none"/>
                <w14:textFill>
                  <w14:solidFill>
                    <w14:schemeClr w14:val="tx1"/>
                  </w14:solidFill>
                </w14:textFill>
              </w:rPr>
              <w:t>确认本次项目生产废水总量指标为COD≤0.</w:t>
            </w:r>
            <w:r>
              <w:rPr>
                <w:rFonts w:hint="eastAsia"/>
                <w:bCs/>
                <w:color w:val="000000" w:themeColor="text1"/>
                <w:sz w:val="24"/>
                <w:szCs w:val="32"/>
                <w:highlight w:val="none"/>
                <w:lang w:val="en-US" w:eastAsia="zh-CN"/>
                <w14:textFill>
                  <w14:solidFill>
                    <w14:schemeClr w14:val="tx1"/>
                  </w14:solidFill>
                </w14:textFill>
              </w:rPr>
              <w:t>5076</w:t>
            </w:r>
            <w:r>
              <w:rPr>
                <w:rFonts w:hint="eastAsia"/>
                <w:bCs/>
                <w:color w:val="000000" w:themeColor="text1"/>
                <w:sz w:val="24"/>
                <w:szCs w:val="32"/>
                <w:highlight w:val="none"/>
                <w14:textFill>
                  <w14:solidFill>
                    <w14:schemeClr w14:val="tx1"/>
                  </w14:solidFill>
                </w14:textFill>
              </w:rPr>
              <w:t>t/a、氨氮≤0.0</w:t>
            </w:r>
            <w:r>
              <w:rPr>
                <w:rFonts w:hint="eastAsia"/>
                <w:bCs/>
                <w:color w:val="000000" w:themeColor="text1"/>
                <w:sz w:val="24"/>
                <w:szCs w:val="32"/>
                <w:highlight w:val="none"/>
                <w:lang w:val="en-US" w:eastAsia="zh-CN"/>
                <w14:textFill>
                  <w14:solidFill>
                    <w14:schemeClr w14:val="tx1"/>
                  </w14:solidFill>
                </w14:textFill>
              </w:rPr>
              <w:t>508</w:t>
            </w:r>
            <w:r>
              <w:rPr>
                <w:rFonts w:hint="eastAsia"/>
                <w:bCs/>
                <w:color w:val="000000" w:themeColor="text1"/>
                <w:sz w:val="24"/>
                <w:szCs w:val="32"/>
                <w:highlight w:val="none"/>
                <w14:textFill>
                  <w14:solidFill>
                    <w14:schemeClr w14:val="tx1"/>
                  </w14:solidFill>
                </w14:textFill>
              </w:rPr>
              <w:t>t/a。</w:t>
            </w:r>
          </w:p>
          <w:p w14:paraId="1B7C9776">
            <w:pPr>
              <w:spacing w:line="360" w:lineRule="auto"/>
              <w:ind w:firstLine="480" w:firstLineChars="200"/>
              <w:rPr>
                <w:rFonts w:hint="default" w:eastAsia="宋体"/>
                <w:bCs/>
                <w:color w:val="000000" w:themeColor="text1"/>
                <w:sz w:val="24"/>
                <w:szCs w:val="32"/>
                <w:highlight w:val="none"/>
                <w:lang w:val="en-US" w:eastAsia="zh-CN"/>
                <w14:textFill>
                  <w14:solidFill>
                    <w14:schemeClr w14:val="tx1"/>
                  </w14:solidFill>
                </w14:textFill>
              </w:rPr>
            </w:pPr>
            <w:r>
              <w:rPr>
                <w:rFonts w:hint="eastAsia"/>
                <w:bCs/>
                <w:color w:val="000000" w:themeColor="text1"/>
                <w:sz w:val="24"/>
                <w:szCs w:val="32"/>
                <w:highlight w:val="none"/>
                <w:lang w:eastAsia="zh-CN"/>
                <w14:textFill>
                  <w14:solidFill>
                    <w14:schemeClr w14:val="tx1"/>
                  </w14:solidFill>
                </w14:textFill>
              </w:rPr>
              <w:t>（</w:t>
            </w:r>
            <w:r>
              <w:rPr>
                <w:rFonts w:hint="eastAsia"/>
                <w:bCs/>
                <w:color w:val="000000" w:themeColor="text1"/>
                <w:sz w:val="24"/>
                <w:szCs w:val="32"/>
                <w:highlight w:val="none"/>
                <w:lang w:val="en-US" w:eastAsia="zh-CN"/>
                <w14:textFill>
                  <w14:solidFill>
                    <w14:schemeClr w14:val="tx1"/>
                  </w14:solidFill>
                </w14:textFill>
              </w:rPr>
              <w:t>2</w:t>
            </w:r>
            <w:r>
              <w:rPr>
                <w:rFonts w:hint="eastAsia"/>
                <w:bCs/>
                <w:color w:val="000000" w:themeColor="text1"/>
                <w:sz w:val="24"/>
                <w:szCs w:val="32"/>
                <w:highlight w:val="none"/>
                <w:lang w:eastAsia="zh-CN"/>
                <w14:textFill>
                  <w14:solidFill>
                    <w14:schemeClr w14:val="tx1"/>
                  </w14:solidFill>
                </w14:textFill>
              </w:rPr>
              <w:t>）</w:t>
            </w:r>
            <w:r>
              <w:rPr>
                <w:rFonts w:hint="eastAsia"/>
                <w:bCs/>
                <w:color w:val="000000" w:themeColor="text1"/>
                <w:sz w:val="24"/>
                <w:szCs w:val="32"/>
                <w:highlight w:val="none"/>
                <w:lang w:val="en-US" w:eastAsia="zh-CN"/>
                <w14:textFill>
                  <w14:solidFill>
                    <w14:schemeClr w14:val="tx1"/>
                  </w14:solidFill>
                </w14:textFill>
              </w:rPr>
              <w:t>废气总量</w:t>
            </w:r>
          </w:p>
          <w:p w14:paraId="299C602E">
            <w:pPr>
              <w:spacing w:line="360" w:lineRule="auto"/>
              <w:ind w:firstLine="480" w:firstLineChars="200"/>
              <w:rPr>
                <w:rFonts w:hint="eastAsia"/>
                <w:bCs/>
                <w:color w:val="000000" w:themeColor="text1"/>
                <w:sz w:val="24"/>
                <w:szCs w:val="32"/>
                <w:highlight w:val="none"/>
                <w14:textFill>
                  <w14:solidFill>
                    <w14:schemeClr w14:val="tx1"/>
                  </w14:solidFill>
                </w14:textFill>
              </w:rPr>
            </w:pPr>
            <w:r>
              <w:rPr>
                <w:rFonts w:hint="eastAsia"/>
                <w:bCs/>
                <w:color w:val="000000" w:themeColor="text1"/>
                <w:sz w:val="24"/>
                <w:szCs w:val="32"/>
                <w:highlight w:val="none"/>
                <w14:textFill>
                  <w14:solidFill>
                    <w14:schemeClr w14:val="tx1"/>
                  </w14:solidFill>
                </w14:textFill>
              </w:rPr>
              <w:t>本项目大气污染物主要为氟化物、NO</w:t>
            </w:r>
            <w:r>
              <w:rPr>
                <w:rFonts w:hint="eastAsia"/>
                <w:bCs/>
                <w:color w:val="000000" w:themeColor="text1"/>
                <w:sz w:val="24"/>
                <w:szCs w:val="32"/>
                <w:highlight w:val="none"/>
                <w:lang w:val="en-US" w:eastAsia="zh-CN"/>
                <w14:textFill>
                  <w14:solidFill>
                    <w14:schemeClr w14:val="tx1"/>
                  </w14:solidFill>
                </w14:textFill>
              </w:rPr>
              <w:t>x</w:t>
            </w:r>
            <w:r>
              <w:rPr>
                <w:rFonts w:hint="eastAsia"/>
                <w:bCs/>
                <w:color w:val="000000" w:themeColor="text1"/>
                <w:sz w:val="24"/>
                <w:szCs w:val="32"/>
                <w:highlight w:val="none"/>
                <w14:textFill>
                  <w14:solidFill>
                    <w14:schemeClr w14:val="tx1"/>
                  </w14:solidFill>
                </w14:textFill>
              </w:rPr>
              <w:t>、HCl、硫酸雾、非甲烷总烃</w:t>
            </w:r>
            <w:r>
              <w:rPr>
                <w:rFonts w:hint="eastAsia"/>
                <w:bCs/>
                <w:color w:val="000000" w:themeColor="text1"/>
                <w:sz w:val="24"/>
                <w:szCs w:val="32"/>
                <w:highlight w:val="none"/>
                <w:lang w:val="en-US" w:eastAsia="zh-CN"/>
                <w14:textFill>
                  <w14:solidFill>
                    <w14:schemeClr w14:val="tx1"/>
                  </w14:solidFill>
                </w14:textFill>
              </w:rPr>
              <w:t>等</w:t>
            </w:r>
            <w:r>
              <w:rPr>
                <w:rFonts w:hint="eastAsia"/>
                <w:bCs/>
                <w:color w:val="000000" w:themeColor="text1"/>
                <w:sz w:val="24"/>
                <w:szCs w:val="32"/>
                <w:highlight w:val="none"/>
                <w14:textFill>
                  <w14:solidFill>
                    <w14:schemeClr w14:val="tx1"/>
                  </w14:solidFill>
                </w14:textFill>
              </w:rPr>
              <w:t>，其中NO</w:t>
            </w:r>
            <w:r>
              <w:rPr>
                <w:rFonts w:hint="eastAsia"/>
                <w:bCs/>
                <w:color w:val="000000" w:themeColor="text1"/>
                <w:sz w:val="24"/>
                <w:szCs w:val="32"/>
                <w:highlight w:val="none"/>
                <w:lang w:val="en-US" w:eastAsia="zh-CN"/>
                <w14:textFill>
                  <w14:solidFill>
                    <w14:schemeClr w14:val="tx1"/>
                  </w14:solidFill>
                </w14:textFill>
              </w:rPr>
              <w:t>x</w:t>
            </w:r>
            <w:r>
              <w:rPr>
                <w:rFonts w:hint="eastAsia"/>
                <w:bCs/>
                <w:color w:val="000000" w:themeColor="text1"/>
                <w:sz w:val="24"/>
                <w:szCs w:val="32"/>
                <w:highlight w:val="none"/>
                <w14:textFill>
                  <w14:solidFill>
                    <w14:schemeClr w14:val="tx1"/>
                  </w14:solidFill>
                </w14:textFill>
              </w:rPr>
              <w:t>、非甲烷总烃（VOCs）施行总量控制</w:t>
            </w:r>
            <w:r>
              <w:rPr>
                <w:rFonts w:hint="eastAsia"/>
                <w:bCs/>
                <w:color w:val="000000" w:themeColor="text1"/>
                <w:sz w:val="24"/>
                <w:szCs w:val="32"/>
                <w:highlight w:val="none"/>
                <w:lang w:eastAsia="zh-CN"/>
                <w14:textFill>
                  <w14:solidFill>
                    <w14:schemeClr w14:val="tx1"/>
                  </w14:solidFill>
                </w14:textFill>
              </w:rPr>
              <w:t>。</w:t>
            </w:r>
            <w:r>
              <w:rPr>
                <w:rFonts w:hint="eastAsia"/>
                <w:bCs/>
                <w:color w:val="000000" w:themeColor="text1"/>
                <w:sz w:val="24"/>
                <w:szCs w:val="32"/>
                <w:highlight w:val="none"/>
                <w14:textFill>
                  <w14:solidFill>
                    <w14:schemeClr w14:val="tx1"/>
                  </w14:solidFill>
                </w14:textFill>
              </w:rPr>
              <w:t>项目排放的废气污染物非甲烷总烃不属于国家及福州市排污权交易指标，其污染物排放总量属于企业自控考核指标，以达标排放为控制标准，作为建设单位后期向生态环境主管部门申请总量的考核依据。本项目新增非甲烷总烃排放共</w:t>
            </w:r>
            <w:r>
              <w:rPr>
                <w:rFonts w:hint="eastAsia"/>
                <w:bCs/>
                <w:color w:val="000000" w:themeColor="text1"/>
                <w:sz w:val="24"/>
                <w:szCs w:val="32"/>
                <w:highlight w:val="none"/>
                <w:lang w:val="en-US" w:eastAsia="zh-CN"/>
                <w14:textFill>
                  <w14:solidFill>
                    <w14:schemeClr w14:val="tx1"/>
                  </w14:solidFill>
                </w14:textFill>
              </w:rPr>
              <w:t>1.6273</w:t>
            </w:r>
            <w:r>
              <w:rPr>
                <w:rFonts w:hint="eastAsia"/>
                <w:bCs/>
                <w:color w:val="000000" w:themeColor="text1"/>
                <w:sz w:val="24"/>
                <w:szCs w:val="32"/>
                <w:highlight w:val="none"/>
                <w14:textFill>
                  <w14:solidFill>
                    <w14:schemeClr w14:val="tx1"/>
                  </w14:solidFill>
                </w14:textFill>
              </w:rPr>
              <w:t>t/a，需从当地环保局倍量调剂获得，废气污染物排放总量见下表。</w:t>
            </w:r>
          </w:p>
          <w:p w14:paraId="0142B8B7">
            <w:pPr>
              <w:pStyle w:val="69"/>
              <w:spacing w:line="360" w:lineRule="auto"/>
              <w:rPr>
                <w:rFonts w:hint="default"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表</w:t>
            </w:r>
            <w:r>
              <w:rPr>
                <w:rFonts w:hint="eastAsia" w:eastAsia="宋体" w:cs="宋体"/>
                <w:b/>
                <w:color w:val="000000" w:themeColor="text1"/>
                <w:kern w:val="2"/>
                <w:sz w:val="24"/>
                <w:szCs w:val="24"/>
                <w:highlight w:val="none"/>
                <w:lang w:val="en-US" w:eastAsia="zh-CN" w:bidi="ar-SA"/>
                <w14:textFill>
                  <w14:solidFill>
                    <w14:schemeClr w14:val="tx1"/>
                  </w14:solidFill>
                </w14:textFill>
              </w:rPr>
              <w:t xml:space="preserve">3.11-2  </w:t>
            </w: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项目</w:t>
            </w:r>
            <w:r>
              <w:rPr>
                <w:rFonts w:hint="eastAsia" w:eastAsia="宋体" w:cs="宋体"/>
                <w:b/>
                <w:color w:val="000000" w:themeColor="text1"/>
                <w:kern w:val="2"/>
                <w:sz w:val="24"/>
                <w:szCs w:val="24"/>
                <w:highlight w:val="none"/>
                <w:lang w:val="en-US" w:eastAsia="zh-CN" w:bidi="ar-SA"/>
                <w14:textFill>
                  <w14:solidFill>
                    <w14:schemeClr w14:val="tx1"/>
                  </w14:solidFill>
                </w14:textFill>
              </w:rPr>
              <w:t>废气</w:t>
            </w: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污染物排放总量指标</w:t>
            </w:r>
            <w:r>
              <w:rPr>
                <w:rFonts w:hint="eastAsia" w:eastAsia="宋体" w:cs="宋体"/>
                <w:b/>
                <w:color w:val="000000" w:themeColor="text1"/>
                <w:kern w:val="2"/>
                <w:sz w:val="24"/>
                <w:szCs w:val="24"/>
                <w:highlight w:val="none"/>
                <w:lang w:val="en-US" w:eastAsia="zh-CN" w:bidi="ar-SA"/>
                <w14:textFill>
                  <w14:solidFill>
                    <w14:schemeClr w14:val="tx1"/>
                  </w14:solidFill>
                </w14:textFill>
              </w:rPr>
              <w:t xml:space="preserve"> 单位：t/a</w:t>
            </w:r>
          </w:p>
          <w:tbl>
            <w:tblPr>
              <w:tblStyle w:val="30"/>
              <w:tblW w:w="5000" w:type="pct"/>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548"/>
              <w:gridCol w:w="2277"/>
              <w:gridCol w:w="2277"/>
              <w:gridCol w:w="2278"/>
            </w:tblGrid>
            <w:tr w14:paraId="3F9972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 w:hRule="atLeast"/>
              </w:trPr>
              <w:tc>
                <w:tcPr>
                  <w:tcW w:w="1548" w:type="dxa"/>
                  <w:tcBorders>
                    <w:tl2br w:val="nil"/>
                    <w:tr2bl w:val="nil"/>
                  </w:tcBorders>
                  <w:shd w:val="clear" w:color="auto" w:fill="auto"/>
                  <w:vAlign w:val="center"/>
                </w:tcPr>
                <w:p w14:paraId="29907B14">
                  <w:pPr>
                    <w:keepNext w:val="0"/>
                    <w:keepLines w:val="0"/>
                    <w:widowControl/>
                    <w:suppressLineNumbers w:val="0"/>
                    <w:jc w:val="center"/>
                    <w:textAlignment w:val="top"/>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cs="Times New Roman"/>
                      <w:i w:val="0"/>
                      <w:iCs w:val="0"/>
                      <w:color w:val="000000" w:themeColor="text1"/>
                      <w:sz w:val="21"/>
                      <w:szCs w:val="21"/>
                      <w:highlight w:val="none"/>
                      <w:u w:val="none"/>
                      <w:lang w:val="en-US" w:eastAsia="zh-CN"/>
                      <w14:textFill>
                        <w14:solidFill>
                          <w14:schemeClr w14:val="tx1"/>
                        </w14:solidFill>
                      </w14:textFill>
                    </w:rPr>
                    <w:t>污染物</w:t>
                  </w:r>
                </w:p>
              </w:tc>
              <w:tc>
                <w:tcPr>
                  <w:tcW w:w="2277" w:type="dxa"/>
                  <w:tcBorders>
                    <w:tl2br w:val="nil"/>
                    <w:tr2bl w:val="nil"/>
                  </w:tcBorders>
                  <w:shd w:val="clear" w:color="auto" w:fill="auto"/>
                  <w:vAlign w:val="center"/>
                </w:tcPr>
                <w:p w14:paraId="4A0A99C3">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现有工程</w:t>
                  </w:r>
                </w:p>
              </w:tc>
              <w:tc>
                <w:tcPr>
                  <w:tcW w:w="2277" w:type="dxa"/>
                  <w:tcBorders>
                    <w:tl2br w:val="nil"/>
                    <w:tr2bl w:val="nil"/>
                  </w:tcBorders>
                  <w:shd w:val="clear" w:color="auto" w:fill="auto"/>
                  <w:vAlign w:val="center"/>
                </w:tcPr>
                <w:p w14:paraId="73916675">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本项目</w:t>
                  </w:r>
                </w:p>
              </w:tc>
              <w:tc>
                <w:tcPr>
                  <w:tcW w:w="2278" w:type="dxa"/>
                  <w:tcBorders>
                    <w:tl2br w:val="nil"/>
                    <w:tr2bl w:val="nil"/>
                  </w:tcBorders>
                  <w:shd w:val="clear" w:color="auto" w:fill="auto"/>
                  <w:vAlign w:val="center"/>
                </w:tcPr>
                <w:p w14:paraId="2045934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扩建后全厂</w:t>
                  </w:r>
                </w:p>
              </w:tc>
            </w:tr>
            <w:tr w14:paraId="264AC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548" w:type="dxa"/>
                  <w:tcBorders>
                    <w:tl2br w:val="nil"/>
                    <w:tr2bl w:val="nil"/>
                  </w:tcBorders>
                  <w:shd w:val="clear" w:color="auto" w:fill="auto"/>
                  <w:vAlign w:val="center"/>
                </w:tcPr>
                <w:p w14:paraId="5BC7C1DC">
                  <w:pPr>
                    <w:keepNext w:val="0"/>
                    <w:keepLines w:val="0"/>
                    <w:widowControl/>
                    <w:suppressLineNumbers w:val="0"/>
                    <w:jc w:val="center"/>
                    <w:textAlignment w:val="top"/>
                    <w:rPr>
                      <w:rFonts w:hint="eastAsia" w:cs="Times New Roman"/>
                      <w:i w:val="0"/>
                      <w:iCs w:val="0"/>
                      <w:color w:val="000000" w:themeColor="text1"/>
                      <w:sz w:val="21"/>
                      <w:szCs w:val="21"/>
                      <w:highlight w:val="none"/>
                      <w:u w:val="none"/>
                      <w:lang w:val="en-US" w:eastAsia="zh-CN"/>
                      <w14:textFill>
                        <w14:solidFill>
                          <w14:schemeClr w14:val="tx1"/>
                        </w14:solidFill>
                      </w14:textFill>
                    </w:rPr>
                  </w:pPr>
                  <w:r>
                    <w:rPr>
                      <w:rFonts w:hint="eastAsia" w:cs="Times New Roman"/>
                      <w:i w:val="0"/>
                      <w:iCs w:val="0"/>
                      <w:color w:val="000000" w:themeColor="text1"/>
                      <w:sz w:val="21"/>
                      <w:szCs w:val="21"/>
                      <w:highlight w:val="none"/>
                      <w:u w:val="none"/>
                      <w:lang w:val="en-US" w:eastAsia="zh-CN"/>
                      <w14:textFill>
                        <w14:solidFill>
                          <w14:schemeClr w14:val="tx1"/>
                        </w14:solidFill>
                      </w14:textFill>
                    </w:rPr>
                    <w:t>NOx</w:t>
                  </w:r>
                </w:p>
              </w:tc>
              <w:tc>
                <w:tcPr>
                  <w:tcW w:w="2277" w:type="dxa"/>
                  <w:tcBorders>
                    <w:tl2br w:val="nil"/>
                    <w:tr2bl w:val="nil"/>
                  </w:tcBorders>
                  <w:shd w:val="clear" w:color="auto" w:fill="auto"/>
                  <w:vAlign w:val="center"/>
                </w:tcPr>
                <w:p w14:paraId="7677A302">
                  <w:pPr>
                    <w:keepNext w:val="0"/>
                    <w:keepLines w:val="0"/>
                    <w:widowControl/>
                    <w:suppressLineNumbers w:val="0"/>
                    <w:jc w:val="center"/>
                    <w:textAlignment w:val="top"/>
                    <w:rPr>
                      <w:rFonts w:hint="eastAsia" w:cs="Times New Roman"/>
                      <w:i w:val="0"/>
                      <w:iCs w:val="0"/>
                      <w:color w:val="000000" w:themeColor="text1"/>
                      <w:sz w:val="21"/>
                      <w:szCs w:val="21"/>
                      <w:highlight w:val="none"/>
                      <w:u w:val="none"/>
                      <w:lang w:val="en-US" w:eastAsia="zh-CN"/>
                      <w14:textFill>
                        <w14:solidFill>
                          <w14:schemeClr w14:val="tx1"/>
                        </w14:solidFill>
                      </w14:textFill>
                    </w:rPr>
                  </w:pPr>
                  <w:r>
                    <w:rPr>
                      <w:rFonts w:hint="eastAsia" w:cs="Times New Roman"/>
                      <w:i w:val="0"/>
                      <w:iCs w:val="0"/>
                      <w:color w:val="000000" w:themeColor="text1"/>
                      <w:sz w:val="21"/>
                      <w:szCs w:val="21"/>
                      <w:highlight w:val="none"/>
                      <w:u w:val="none"/>
                      <w:lang w:val="en-US" w:eastAsia="zh-CN"/>
                      <w14:textFill>
                        <w14:solidFill>
                          <w14:schemeClr w14:val="tx1"/>
                        </w14:solidFill>
                      </w14:textFill>
                    </w:rPr>
                    <w:t>/</w:t>
                  </w:r>
                </w:p>
              </w:tc>
              <w:tc>
                <w:tcPr>
                  <w:tcW w:w="2277" w:type="dxa"/>
                  <w:tcBorders>
                    <w:tl2br w:val="nil"/>
                    <w:tr2bl w:val="nil"/>
                  </w:tcBorders>
                  <w:shd w:val="clear" w:color="auto" w:fill="auto"/>
                  <w:vAlign w:val="center"/>
                </w:tcPr>
                <w:p w14:paraId="5422C262">
                  <w:pPr>
                    <w:keepNext w:val="0"/>
                    <w:keepLines w:val="0"/>
                    <w:widowControl/>
                    <w:suppressLineNumbers w:val="0"/>
                    <w:jc w:val="center"/>
                    <w:textAlignment w:val="top"/>
                    <w:rPr>
                      <w:rFonts w:hint="default" w:cs="Times New Roman"/>
                      <w:i w:val="0"/>
                      <w:iCs w:val="0"/>
                      <w:color w:val="000000" w:themeColor="text1"/>
                      <w:sz w:val="21"/>
                      <w:szCs w:val="21"/>
                      <w:highlight w:val="none"/>
                      <w:u w:val="none"/>
                      <w:lang w:val="en-US" w:eastAsia="zh-CN"/>
                      <w14:textFill>
                        <w14:solidFill>
                          <w14:schemeClr w14:val="tx1"/>
                        </w14:solidFill>
                      </w14:textFill>
                    </w:rPr>
                  </w:pPr>
                  <w:r>
                    <w:rPr>
                      <w:rFonts w:hint="eastAsia" w:cs="Times New Roman"/>
                      <w:i w:val="0"/>
                      <w:iCs w:val="0"/>
                      <w:color w:val="000000" w:themeColor="text1"/>
                      <w:sz w:val="21"/>
                      <w:szCs w:val="21"/>
                      <w:highlight w:val="none"/>
                      <w:u w:val="none"/>
                      <w:lang w:val="en-US" w:eastAsia="zh-CN"/>
                      <w14:textFill>
                        <w14:solidFill>
                          <w14:schemeClr w14:val="tx1"/>
                        </w14:solidFill>
                      </w14:textFill>
                    </w:rPr>
                    <w:t>0.0001</w:t>
                  </w:r>
                </w:p>
              </w:tc>
              <w:tc>
                <w:tcPr>
                  <w:tcW w:w="2278" w:type="dxa"/>
                  <w:tcBorders>
                    <w:tl2br w:val="nil"/>
                    <w:tr2bl w:val="nil"/>
                  </w:tcBorders>
                  <w:shd w:val="clear" w:color="auto" w:fill="auto"/>
                  <w:vAlign w:val="center"/>
                </w:tcPr>
                <w:p w14:paraId="7A2D4892">
                  <w:pPr>
                    <w:keepNext w:val="0"/>
                    <w:keepLines w:val="0"/>
                    <w:widowControl/>
                    <w:suppressLineNumbers w:val="0"/>
                    <w:jc w:val="center"/>
                    <w:textAlignment w:val="top"/>
                    <w:rPr>
                      <w:rFonts w:hint="eastAsia" w:cs="Times New Roman"/>
                      <w:i w:val="0"/>
                      <w:iCs w:val="0"/>
                      <w:color w:val="000000" w:themeColor="text1"/>
                      <w:sz w:val="21"/>
                      <w:szCs w:val="21"/>
                      <w:highlight w:val="none"/>
                      <w:u w:val="none"/>
                      <w:lang w:val="en-US" w:eastAsia="zh-CN"/>
                      <w14:textFill>
                        <w14:solidFill>
                          <w14:schemeClr w14:val="tx1"/>
                        </w14:solidFill>
                      </w14:textFill>
                    </w:rPr>
                  </w:pPr>
                  <w:r>
                    <w:rPr>
                      <w:rFonts w:hint="eastAsia" w:cs="Times New Roman"/>
                      <w:i w:val="0"/>
                      <w:iCs w:val="0"/>
                      <w:color w:val="000000" w:themeColor="text1"/>
                      <w:sz w:val="21"/>
                      <w:szCs w:val="21"/>
                      <w:highlight w:val="none"/>
                      <w:u w:val="none"/>
                      <w:lang w:val="en-US" w:eastAsia="zh-CN"/>
                      <w14:textFill>
                        <w14:solidFill>
                          <w14:schemeClr w14:val="tx1"/>
                        </w14:solidFill>
                      </w14:textFill>
                    </w:rPr>
                    <w:t>0.0001</w:t>
                  </w:r>
                </w:p>
              </w:tc>
            </w:tr>
            <w:tr w14:paraId="03FB7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548" w:type="dxa"/>
                  <w:tcBorders>
                    <w:tl2br w:val="nil"/>
                    <w:tr2bl w:val="nil"/>
                  </w:tcBorders>
                  <w:shd w:val="clear" w:color="auto" w:fill="auto"/>
                  <w:vAlign w:val="center"/>
                </w:tcPr>
                <w:p w14:paraId="2AE34508">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cs="Times New Roman"/>
                      <w:i w:val="0"/>
                      <w:iCs w:val="0"/>
                      <w:color w:val="000000" w:themeColor="text1"/>
                      <w:sz w:val="21"/>
                      <w:szCs w:val="21"/>
                      <w:highlight w:val="none"/>
                      <w:u w:val="none"/>
                      <w:lang w:val="en-US" w:eastAsia="zh-CN"/>
                      <w14:textFill>
                        <w14:solidFill>
                          <w14:schemeClr w14:val="tx1"/>
                        </w14:solidFill>
                      </w14:textFill>
                    </w:rPr>
                    <w:t>NMHC</w:t>
                  </w:r>
                </w:p>
              </w:tc>
              <w:tc>
                <w:tcPr>
                  <w:tcW w:w="2277" w:type="dxa"/>
                  <w:tcBorders>
                    <w:tl2br w:val="nil"/>
                    <w:tr2bl w:val="nil"/>
                  </w:tcBorders>
                  <w:shd w:val="clear" w:color="auto" w:fill="auto"/>
                  <w:vAlign w:val="center"/>
                </w:tcPr>
                <w:p w14:paraId="118FC83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cs="Times New Roman"/>
                      <w:i w:val="0"/>
                      <w:iCs w:val="0"/>
                      <w:color w:val="000000" w:themeColor="text1"/>
                      <w:sz w:val="21"/>
                      <w:szCs w:val="21"/>
                      <w:highlight w:val="none"/>
                      <w:u w:val="none"/>
                      <w:lang w:val="en-US" w:eastAsia="zh-CN"/>
                      <w14:textFill>
                        <w14:solidFill>
                          <w14:schemeClr w14:val="tx1"/>
                        </w14:solidFill>
                      </w14:textFill>
                    </w:rPr>
                    <w:t>0.3322</w:t>
                  </w:r>
                </w:p>
              </w:tc>
              <w:tc>
                <w:tcPr>
                  <w:tcW w:w="2277" w:type="dxa"/>
                  <w:tcBorders>
                    <w:tl2br w:val="nil"/>
                    <w:tr2bl w:val="nil"/>
                  </w:tcBorders>
                  <w:shd w:val="clear" w:color="auto" w:fill="auto"/>
                  <w:vAlign w:val="center"/>
                </w:tcPr>
                <w:p w14:paraId="36B798B1">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cs="Times New Roman"/>
                      <w:i w:val="0"/>
                      <w:iCs w:val="0"/>
                      <w:color w:val="000000" w:themeColor="text1"/>
                      <w:sz w:val="21"/>
                      <w:szCs w:val="21"/>
                      <w:highlight w:val="none"/>
                      <w:u w:val="none"/>
                      <w:lang w:val="en-US" w:eastAsia="zh-CN"/>
                      <w14:textFill>
                        <w14:solidFill>
                          <w14:schemeClr w14:val="tx1"/>
                        </w14:solidFill>
                      </w14:textFill>
                    </w:rPr>
                    <w:t>1.6273</w:t>
                  </w:r>
                </w:p>
              </w:tc>
              <w:tc>
                <w:tcPr>
                  <w:tcW w:w="2278" w:type="dxa"/>
                  <w:tcBorders>
                    <w:tl2br w:val="nil"/>
                    <w:tr2bl w:val="nil"/>
                  </w:tcBorders>
                  <w:shd w:val="clear" w:color="auto" w:fill="auto"/>
                  <w:vAlign w:val="center"/>
                </w:tcPr>
                <w:p w14:paraId="6A0D2969">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cs="Times New Roman"/>
                      <w:i w:val="0"/>
                      <w:iCs w:val="0"/>
                      <w:color w:val="000000" w:themeColor="text1"/>
                      <w:sz w:val="21"/>
                      <w:szCs w:val="21"/>
                      <w:highlight w:val="none"/>
                      <w:u w:val="none"/>
                      <w:lang w:val="en-US" w:eastAsia="zh-CN"/>
                      <w14:textFill>
                        <w14:solidFill>
                          <w14:schemeClr w14:val="tx1"/>
                        </w14:solidFill>
                      </w14:textFill>
                    </w:rPr>
                    <w:t>1.9595</w:t>
                  </w:r>
                </w:p>
              </w:tc>
            </w:tr>
          </w:tbl>
          <w:p w14:paraId="47031774">
            <w:pPr>
              <w:spacing w:line="360" w:lineRule="auto"/>
              <w:ind w:firstLine="480" w:firstLineChars="200"/>
              <w:rPr>
                <w:rFonts w:hint="eastAsia"/>
                <w:bCs/>
                <w:color w:val="000000" w:themeColor="text1"/>
                <w:sz w:val="24"/>
                <w:szCs w:val="32"/>
                <w:highlight w:val="none"/>
                <w:lang w:eastAsia="zh-CN"/>
                <w14:textFill>
                  <w14:solidFill>
                    <w14:schemeClr w14:val="tx1"/>
                  </w14:solidFill>
                </w14:textFill>
              </w:rPr>
            </w:pPr>
            <w:r>
              <w:rPr>
                <w:rFonts w:hint="eastAsia"/>
                <w:bCs/>
                <w:color w:val="000000" w:themeColor="text1"/>
                <w:sz w:val="24"/>
                <w:szCs w:val="32"/>
                <w:highlight w:val="none"/>
                <w:lang w:eastAsia="zh-CN"/>
                <w14:textFill>
                  <w14:solidFill>
                    <w14:schemeClr w14:val="tx1"/>
                  </w14:solidFill>
                </w14:textFill>
              </w:rPr>
              <w:t>根据报告分析可知，本项目新增VOCs(以非甲烷总烃计)的排放总量为</w:t>
            </w:r>
            <w:r>
              <w:rPr>
                <w:rFonts w:hint="eastAsia"/>
                <w:bCs/>
                <w:color w:val="000000" w:themeColor="text1"/>
                <w:sz w:val="24"/>
                <w:szCs w:val="32"/>
                <w:highlight w:val="none"/>
                <w:lang w:val="en-US" w:eastAsia="zh-CN"/>
                <w14:textFill>
                  <w14:solidFill>
                    <w14:schemeClr w14:val="tx1"/>
                  </w14:solidFill>
                </w14:textFill>
              </w:rPr>
              <w:t>1.6273</w:t>
            </w:r>
            <w:r>
              <w:rPr>
                <w:rFonts w:hint="eastAsia"/>
                <w:bCs/>
                <w:color w:val="000000" w:themeColor="text1"/>
                <w:sz w:val="24"/>
                <w:szCs w:val="32"/>
                <w:highlight w:val="none"/>
                <w:lang w:eastAsia="zh-CN"/>
                <w14:textFill>
                  <w14:solidFill>
                    <w14:schemeClr w14:val="tx1"/>
                  </w14:solidFill>
                </w14:textFill>
              </w:rPr>
              <w:t>t/a，由建设单位向生态环境主管部门申请倍量调剂获得。</w:t>
            </w:r>
          </w:p>
          <w:p w14:paraId="5C221BBC">
            <w:pPr>
              <w:spacing w:line="360" w:lineRule="auto"/>
              <w:ind w:firstLine="480" w:firstLineChars="200"/>
              <w:rPr>
                <w:rFonts w:hint="default"/>
                <w:bCs/>
                <w:color w:val="000000" w:themeColor="text1"/>
                <w:sz w:val="24"/>
                <w:szCs w:val="32"/>
                <w:highlight w:val="none"/>
                <w:lang w:val="en-US" w:eastAsia="zh-CN"/>
                <w14:textFill>
                  <w14:solidFill>
                    <w14:schemeClr w14:val="tx1"/>
                  </w14:solidFill>
                </w14:textFill>
              </w:rPr>
            </w:pPr>
            <w:r>
              <w:rPr>
                <w:rFonts w:hint="eastAsia"/>
                <w:bCs/>
                <w:color w:val="000000" w:themeColor="text1"/>
                <w:sz w:val="24"/>
                <w:szCs w:val="32"/>
                <w:highlight w:val="none"/>
                <w:lang w:eastAsia="zh-CN"/>
                <w14:textFill>
                  <w14:solidFill>
                    <w14:schemeClr w14:val="tx1"/>
                  </w14:solidFill>
                </w14:textFill>
              </w:rPr>
              <w:t>本次项目新增的NO</w:t>
            </w:r>
            <w:r>
              <w:rPr>
                <w:rFonts w:hint="eastAsia"/>
                <w:bCs/>
                <w:color w:val="000000" w:themeColor="text1"/>
                <w:sz w:val="24"/>
                <w:szCs w:val="32"/>
                <w:highlight w:val="none"/>
                <w:lang w:val="en-US" w:eastAsia="zh-CN"/>
                <w14:textFill>
                  <w14:solidFill>
                    <w14:schemeClr w14:val="tx1"/>
                  </w14:solidFill>
                </w14:textFill>
              </w:rPr>
              <w:t>x</w:t>
            </w:r>
            <w:r>
              <w:rPr>
                <w:rFonts w:hint="eastAsia"/>
                <w:bCs/>
                <w:color w:val="000000" w:themeColor="text1"/>
                <w:sz w:val="24"/>
                <w:szCs w:val="32"/>
                <w:highlight w:val="none"/>
                <w:lang w:eastAsia="zh-CN"/>
                <w14:textFill>
                  <w14:solidFill>
                    <w14:schemeClr w14:val="tx1"/>
                  </w14:solidFill>
                </w14:textFill>
              </w:rPr>
              <w:t>排放量</w:t>
            </w:r>
            <w:r>
              <w:rPr>
                <w:rFonts w:hint="eastAsia"/>
                <w:bCs/>
                <w:color w:val="000000" w:themeColor="text1"/>
                <w:sz w:val="24"/>
                <w:szCs w:val="32"/>
                <w:highlight w:val="none"/>
                <w:lang w:val="en-US" w:eastAsia="zh-CN"/>
                <w14:textFill>
                  <w14:solidFill>
                    <w14:schemeClr w14:val="tx1"/>
                  </w14:solidFill>
                </w14:textFill>
              </w:rPr>
              <w:t>0.0001</w:t>
            </w:r>
            <w:r>
              <w:rPr>
                <w:rFonts w:hint="eastAsia"/>
                <w:bCs/>
                <w:color w:val="000000" w:themeColor="text1"/>
                <w:sz w:val="24"/>
                <w:szCs w:val="32"/>
                <w:highlight w:val="none"/>
                <w:lang w:eastAsia="zh-CN"/>
                <w14:textFill>
                  <w14:solidFill>
                    <w14:schemeClr w14:val="tx1"/>
                  </w14:solidFill>
                </w14:textFill>
              </w:rPr>
              <w:t>t/a。根据《福州市生态环境局关于落实“奋勇争先”行动进一步服务和促进民营经济高质量发展的通知》（榕环保综〔20</w:t>
            </w:r>
            <w:r>
              <w:rPr>
                <w:rFonts w:hint="eastAsia"/>
                <w:bCs/>
                <w:color w:val="000000" w:themeColor="text1"/>
                <w:sz w:val="24"/>
                <w:szCs w:val="32"/>
                <w:highlight w:val="none"/>
                <w:lang w:val="en-US" w:eastAsia="zh-CN"/>
                <w14:textFill>
                  <w14:solidFill>
                    <w14:schemeClr w14:val="tx1"/>
                  </w14:solidFill>
                </w14:textFill>
              </w:rPr>
              <w:t>25</w:t>
            </w:r>
            <w:r>
              <w:rPr>
                <w:rFonts w:hint="eastAsia"/>
                <w:bCs/>
                <w:color w:val="000000" w:themeColor="text1"/>
                <w:sz w:val="24"/>
                <w:szCs w:val="32"/>
                <w:highlight w:val="none"/>
                <w:lang w:eastAsia="zh-CN"/>
                <w14:textFill>
                  <w14:solidFill>
                    <w14:schemeClr w14:val="tx1"/>
                  </w14:solidFill>
                </w14:textFill>
              </w:rPr>
              <w:t>〕47号）文件，“对于氮氧化物新增年排放量小于0.1吨的建设项目，豁免购买排污权交易指标，无需提交总量来源说明”。</w:t>
            </w:r>
            <w:r>
              <w:rPr>
                <w:rFonts w:hint="eastAsia"/>
                <w:bCs/>
                <w:color w:val="000000" w:themeColor="text1"/>
                <w:sz w:val="24"/>
                <w:szCs w:val="32"/>
                <w:highlight w:val="none"/>
                <w:lang w:val="en-US" w:eastAsia="zh-CN"/>
                <w14:textFill>
                  <w14:solidFill>
                    <w14:schemeClr w14:val="tx1"/>
                  </w14:solidFill>
                </w14:textFill>
              </w:rPr>
              <w:t>因此本项目新增的</w:t>
            </w:r>
            <w:r>
              <w:rPr>
                <w:rFonts w:hint="eastAsia"/>
                <w:bCs/>
                <w:color w:val="000000" w:themeColor="text1"/>
                <w:sz w:val="24"/>
                <w:szCs w:val="32"/>
                <w:highlight w:val="none"/>
                <w:lang w:eastAsia="zh-CN"/>
                <w14:textFill>
                  <w14:solidFill>
                    <w14:schemeClr w14:val="tx1"/>
                  </w14:solidFill>
                </w14:textFill>
              </w:rPr>
              <w:t>NO</w:t>
            </w:r>
            <w:r>
              <w:rPr>
                <w:rFonts w:hint="eastAsia"/>
                <w:bCs/>
                <w:color w:val="000000" w:themeColor="text1"/>
                <w:sz w:val="24"/>
                <w:szCs w:val="32"/>
                <w:highlight w:val="none"/>
                <w:lang w:val="en-US" w:eastAsia="zh-CN"/>
                <w14:textFill>
                  <w14:solidFill>
                    <w14:schemeClr w14:val="tx1"/>
                  </w14:solidFill>
                </w14:textFill>
              </w:rPr>
              <w:t>x</w:t>
            </w:r>
            <w:r>
              <w:rPr>
                <w:rFonts w:hint="eastAsia"/>
                <w:bCs/>
                <w:color w:val="000000" w:themeColor="text1"/>
                <w:sz w:val="24"/>
                <w:szCs w:val="32"/>
                <w:highlight w:val="none"/>
                <w:lang w:eastAsia="zh-CN"/>
                <w14:textFill>
                  <w14:solidFill>
                    <w14:schemeClr w14:val="tx1"/>
                  </w14:solidFill>
                </w14:textFill>
              </w:rPr>
              <w:t>排放量豁免购买排污权交易指标，无需提交总量来源说明。</w:t>
            </w:r>
          </w:p>
          <w:p w14:paraId="696CB5CD">
            <w:pPr>
              <w:spacing w:line="360" w:lineRule="auto"/>
              <w:ind w:firstLine="480" w:firstLineChars="200"/>
              <w:rPr>
                <w:rFonts w:hint="eastAsia"/>
                <w:bCs/>
                <w:color w:val="000000" w:themeColor="text1"/>
                <w:sz w:val="24"/>
                <w:szCs w:val="32"/>
                <w:highlight w:val="none"/>
                <w:lang w:eastAsia="zh-CN"/>
                <w14:textFill>
                  <w14:solidFill>
                    <w14:schemeClr w14:val="tx1"/>
                  </w14:solidFill>
                </w14:textFill>
              </w:rPr>
            </w:pPr>
          </w:p>
          <w:p w14:paraId="56EFA1BF">
            <w:pPr>
              <w:spacing w:line="360" w:lineRule="auto"/>
              <w:ind w:firstLine="480" w:firstLineChars="200"/>
              <w:rPr>
                <w:rFonts w:hint="eastAsia"/>
                <w:bCs/>
                <w:color w:val="000000" w:themeColor="text1"/>
                <w:sz w:val="24"/>
                <w:szCs w:val="32"/>
                <w:highlight w:val="none"/>
                <w:lang w:eastAsia="zh-CN"/>
                <w14:textFill>
                  <w14:solidFill>
                    <w14:schemeClr w14:val="tx1"/>
                  </w14:solidFill>
                </w14:textFill>
              </w:rPr>
            </w:pPr>
          </w:p>
          <w:p w14:paraId="67D630E5">
            <w:pPr>
              <w:spacing w:line="360" w:lineRule="auto"/>
              <w:ind w:firstLine="480" w:firstLineChars="200"/>
              <w:rPr>
                <w:rFonts w:hint="eastAsia"/>
                <w:bCs/>
                <w:color w:val="000000" w:themeColor="text1"/>
                <w:sz w:val="24"/>
                <w:szCs w:val="32"/>
                <w:highlight w:val="none"/>
                <w:lang w:eastAsia="zh-CN"/>
                <w14:textFill>
                  <w14:solidFill>
                    <w14:schemeClr w14:val="tx1"/>
                  </w14:solidFill>
                </w14:textFill>
              </w:rPr>
            </w:pPr>
          </w:p>
          <w:p w14:paraId="5594D983">
            <w:pPr>
              <w:spacing w:line="360" w:lineRule="auto"/>
              <w:ind w:firstLine="480" w:firstLineChars="200"/>
              <w:rPr>
                <w:rFonts w:hint="eastAsia"/>
                <w:bCs/>
                <w:color w:val="000000" w:themeColor="text1"/>
                <w:sz w:val="24"/>
                <w:szCs w:val="32"/>
                <w:highlight w:val="none"/>
                <w:lang w:eastAsia="zh-CN"/>
                <w14:textFill>
                  <w14:solidFill>
                    <w14:schemeClr w14:val="tx1"/>
                  </w14:solidFill>
                </w14:textFill>
              </w:rPr>
            </w:pPr>
          </w:p>
          <w:p w14:paraId="10C658F0">
            <w:pPr>
              <w:spacing w:line="360" w:lineRule="auto"/>
              <w:ind w:firstLine="480" w:firstLineChars="200"/>
              <w:rPr>
                <w:rFonts w:hint="eastAsia"/>
                <w:bCs/>
                <w:color w:val="000000" w:themeColor="text1"/>
                <w:sz w:val="24"/>
                <w:szCs w:val="32"/>
                <w:highlight w:val="none"/>
                <w:lang w:eastAsia="zh-CN"/>
                <w14:textFill>
                  <w14:solidFill>
                    <w14:schemeClr w14:val="tx1"/>
                  </w14:solidFill>
                </w14:textFill>
              </w:rPr>
            </w:pPr>
          </w:p>
          <w:p w14:paraId="21769987">
            <w:pPr>
              <w:spacing w:line="360" w:lineRule="auto"/>
              <w:ind w:firstLine="480" w:firstLineChars="200"/>
              <w:rPr>
                <w:rFonts w:hint="eastAsia"/>
                <w:bCs/>
                <w:color w:val="000000" w:themeColor="text1"/>
                <w:sz w:val="24"/>
                <w:szCs w:val="32"/>
                <w:highlight w:val="none"/>
                <w:lang w:eastAsia="zh-CN"/>
                <w14:textFill>
                  <w14:solidFill>
                    <w14:schemeClr w14:val="tx1"/>
                  </w14:solidFill>
                </w14:textFill>
              </w:rPr>
            </w:pPr>
          </w:p>
          <w:p w14:paraId="327AC0B0">
            <w:pPr>
              <w:spacing w:line="360" w:lineRule="auto"/>
              <w:ind w:firstLine="480" w:firstLineChars="200"/>
              <w:rPr>
                <w:rFonts w:hint="eastAsia"/>
                <w:bCs/>
                <w:color w:val="000000" w:themeColor="text1"/>
                <w:sz w:val="24"/>
                <w:szCs w:val="32"/>
                <w:highlight w:val="none"/>
                <w:lang w:eastAsia="zh-CN"/>
                <w14:textFill>
                  <w14:solidFill>
                    <w14:schemeClr w14:val="tx1"/>
                  </w14:solidFill>
                </w14:textFill>
              </w:rPr>
            </w:pPr>
          </w:p>
          <w:p w14:paraId="67780263">
            <w:pPr>
              <w:spacing w:line="360" w:lineRule="auto"/>
              <w:ind w:firstLine="480" w:firstLineChars="200"/>
              <w:rPr>
                <w:rFonts w:hint="eastAsia"/>
                <w:bCs/>
                <w:color w:val="000000" w:themeColor="text1"/>
                <w:sz w:val="24"/>
                <w:szCs w:val="32"/>
                <w:highlight w:val="none"/>
                <w:lang w:eastAsia="zh-CN"/>
                <w14:textFill>
                  <w14:solidFill>
                    <w14:schemeClr w14:val="tx1"/>
                  </w14:solidFill>
                </w14:textFill>
              </w:rPr>
            </w:pPr>
          </w:p>
          <w:p w14:paraId="52A093B1">
            <w:pPr>
              <w:spacing w:line="360" w:lineRule="auto"/>
              <w:ind w:firstLine="480" w:firstLineChars="200"/>
              <w:rPr>
                <w:rFonts w:hint="eastAsia"/>
                <w:bCs/>
                <w:color w:val="000000" w:themeColor="text1"/>
                <w:sz w:val="24"/>
                <w:szCs w:val="32"/>
                <w:highlight w:val="none"/>
                <w:lang w:eastAsia="zh-CN"/>
                <w14:textFill>
                  <w14:solidFill>
                    <w14:schemeClr w14:val="tx1"/>
                  </w14:solidFill>
                </w14:textFill>
              </w:rPr>
            </w:pPr>
          </w:p>
          <w:p w14:paraId="21C09CC4">
            <w:pPr>
              <w:spacing w:line="360" w:lineRule="auto"/>
              <w:ind w:firstLine="480" w:firstLineChars="200"/>
              <w:rPr>
                <w:rFonts w:hint="eastAsia"/>
                <w:bCs/>
                <w:color w:val="000000" w:themeColor="text1"/>
                <w:sz w:val="24"/>
                <w:szCs w:val="32"/>
                <w:highlight w:val="none"/>
                <w:lang w:eastAsia="zh-CN"/>
                <w14:textFill>
                  <w14:solidFill>
                    <w14:schemeClr w14:val="tx1"/>
                  </w14:solidFill>
                </w14:textFill>
              </w:rPr>
            </w:pPr>
          </w:p>
          <w:p w14:paraId="38E14968">
            <w:pPr>
              <w:spacing w:line="360" w:lineRule="auto"/>
              <w:ind w:firstLine="480" w:firstLineChars="200"/>
              <w:rPr>
                <w:rFonts w:hint="eastAsia"/>
                <w:bCs/>
                <w:color w:val="000000" w:themeColor="text1"/>
                <w:sz w:val="24"/>
                <w:szCs w:val="32"/>
                <w:highlight w:val="none"/>
                <w:lang w:eastAsia="zh-CN"/>
                <w14:textFill>
                  <w14:solidFill>
                    <w14:schemeClr w14:val="tx1"/>
                  </w14:solidFill>
                </w14:textFill>
              </w:rPr>
            </w:pPr>
          </w:p>
          <w:p w14:paraId="2CEC2F12">
            <w:pPr>
              <w:spacing w:line="360" w:lineRule="auto"/>
              <w:ind w:firstLine="480" w:firstLineChars="200"/>
              <w:rPr>
                <w:rFonts w:hint="eastAsia"/>
                <w:bCs/>
                <w:color w:val="000000" w:themeColor="text1"/>
                <w:sz w:val="24"/>
                <w:szCs w:val="32"/>
                <w:highlight w:val="none"/>
                <w:lang w:eastAsia="zh-CN"/>
                <w14:textFill>
                  <w14:solidFill>
                    <w14:schemeClr w14:val="tx1"/>
                  </w14:solidFill>
                </w14:textFill>
              </w:rPr>
            </w:pPr>
          </w:p>
          <w:p w14:paraId="6754378B">
            <w:pPr>
              <w:spacing w:line="360" w:lineRule="auto"/>
              <w:ind w:firstLine="480" w:firstLineChars="200"/>
              <w:rPr>
                <w:rFonts w:hint="eastAsia"/>
                <w:bCs/>
                <w:color w:val="000000" w:themeColor="text1"/>
                <w:sz w:val="24"/>
                <w:szCs w:val="32"/>
                <w:highlight w:val="none"/>
                <w:lang w:eastAsia="zh-CN"/>
                <w14:textFill>
                  <w14:solidFill>
                    <w14:schemeClr w14:val="tx1"/>
                  </w14:solidFill>
                </w14:textFill>
              </w:rPr>
            </w:pPr>
          </w:p>
          <w:p w14:paraId="15E675B8">
            <w:pPr>
              <w:spacing w:line="360" w:lineRule="auto"/>
              <w:ind w:firstLine="480" w:firstLineChars="200"/>
              <w:rPr>
                <w:rFonts w:hint="eastAsia"/>
                <w:bCs/>
                <w:color w:val="000000" w:themeColor="text1"/>
                <w:sz w:val="24"/>
                <w:szCs w:val="32"/>
                <w:highlight w:val="none"/>
                <w:lang w:eastAsia="zh-CN"/>
                <w14:textFill>
                  <w14:solidFill>
                    <w14:schemeClr w14:val="tx1"/>
                  </w14:solidFill>
                </w14:textFill>
              </w:rPr>
            </w:pPr>
          </w:p>
        </w:tc>
      </w:tr>
    </w:tbl>
    <w:p w14:paraId="683BD9F0">
      <w:pPr>
        <w:pStyle w:val="26"/>
        <w:widowControl w:val="0"/>
        <w:spacing w:before="0" w:beforeAutospacing="0" w:after="0" w:afterAutospacing="0" w:line="360" w:lineRule="auto"/>
        <w:jc w:val="both"/>
        <w:rPr>
          <w:rFonts w:ascii="Times New Roman" w:hAnsi="Times New Roman"/>
          <w:color w:val="000000" w:themeColor="text1"/>
          <w:kern w:val="2"/>
          <w:szCs w:val="36"/>
          <w:highlight w:val="none"/>
          <w14:textFill>
            <w14:solidFill>
              <w14:schemeClr w14:val="tx1"/>
            </w14:solidFill>
          </w14:textFill>
        </w:rPr>
      </w:pPr>
    </w:p>
    <w:p w14:paraId="6B93618D">
      <w:pPr>
        <w:pStyle w:val="26"/>
        <w:widowControl w:val="0"/>
        <w:spacing w:before="0" w:beforeAutospacing="0" w:after="0" w:afterAutospacing="0" w:line="360" w:lineRule="auto"/>
        <w:ind w:firstLine="480" w:firstLineChars="200"/>
        <w:jc w:val="both"/>
        <w:rPr>
          <w:rFonts w:ascii="Times New Roman" w:hAnsi="Times New Roman"/>
          <w:color w:val="000000" w:themeColor="text1"/>
          <w:kern w:val="2"/>
          <w:szCs w:val="36"/>
          <w:highlight w:val="none"/>
          <w14:textFill>
            <w14:solidFill>
              <w14:schemeClr w14:val="tx1"/>
            </w14:solidFill>
          </w14:textFill>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2C3AFB97">
      <w:pPr>
        <w:pStyle w:val="26"/>
        <w:jc w:val="center"/>
        <w:outlineLvl w:val="0"/>
        <w:rPr>
          <w:rFonts w:ascii="黑体" w:hAnsi="黑体" w:eastAsia="黑体"/>
          <w:snapToGrid w:val="0"/>
          <w:color w:val="000000" w:themeColor="text1"/>
          <w:sz w:val="30"/>
          <w:szCs w:val="30"/>
          <w:highlight w:val="none"/>
          <w14:textFill>
            <w14:solidFill>
              <w14:schemeClr w14:val="tx1"/>
            </w14:solidFill>
          </w14:textFill>
        </w:rPr>
      </w:pPr>
      <w:bookmarkStart w:id="12" w:name="_Toc5854"/>
      <w:r>
        <w:rPr>
          <w:rFonts w:hint="eastAsia" w:ascii="黑体" w:hAnsi="黑体" w:eastAsia="黑体"/>
          <w:snapToGrid w:val="0"/>
          <w:color w:val="000000" w:themeColor="text1"/>
          <w:sz w:val="30"/>
          <w:szCs w:val="30"/>
          <w:highlight w:val="none"/>
          <w14:textFill>
            <w14:solidFill>
              <w14:schemeClr w14:val="tx1"/>
            </w14:solidFill>
          </w14:textFill>
        </w:rPr>
        <w:t>四、主要环境影响和保护措施</w:t>
      </w:r>
      <w:bookmarkEnd w:id="12"/>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35"/>
        <w:gridCol w:w="8346"/>
      </w:tblGrid>
      <w:tr w14:paraId="38F635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47" w:hRule="atLeast"/>
          <w:jc w:val="center"/>
        </w:trPr>
        <w:tc>
          <w:tcPr>
            <w:tcW w:w="635" w:type="dxa"/>
            <w:tcMar>
              <w:left w:w="28" w:type="dxa"/>
              <w:right w:w="28" w:type="dxa"/>
            </w:tcMar>
            <w:vAlign w:val="center"/>
          </w:tcPr>
          <w:p w14:paraId="6DD29A42">
            <w:pPr>
              <w:pStyle w:val="26"/>
              <w:adjustRightInd w:val="0"/>
              <w:snapToGrid w:val="0"/>
              <w:spacing w:before="0" w:beforeAutospacing="0" w:after="0" w:afterAutospacing="0"/>
              <w:jc w:val="center"/>
              <w:rPr>
                <w:rFonts w:cs="宋体"/>
                <w:color w:val="000000" w:themeColor="text1"/>
                <w:kern w:val="2"/>
                <w:sz w:val="21"/>
                <w:szCs w:val="21"/>
                <w:highlight w:val="none"/>
                <w14:textFill>
                  <w14:solidFill>
                    <w14:schemeClr w14:val="tx1"/>
                  </w14:solidFill>
                </w14:textFill>
              </w:rPr>
            </w:pPr>
            <w:r>
              <w:rPr>
                <w:rFonts w:hint="eastAsia" w:cs="宋体"/>
                <w:color w:val="000000" w:themeColor="text1"/>
                <w:kern w:val="2"/>
                <w:sz w:val="21"/>
                <w:szCs w:val="21"/>
                <w:highlight w:val="none"/>
                <w14:textFill>
                  <w14:solidFill>
                    <w14:schemeClr w14:val="tx1"/>
                  </w14:solidFill>
                </w14:textFill>
              </w:rPr>
              <w:t>施工</w:t>
            </w:r>
          </w:p>
          <w:p w14:paraId="4374BDFA">
            <w:pPr>
              <w:pStyle w:val="26"/>
              <w:adjustRightInd w:val="0"/>
              <w:snapToGrid w:val="0"/>
              <w:spacing w:before="0" w:beforeAutospacing="0" w:after="0" w:afterAutospacing="0"/>
              <w:jc w:val="center"/>
              <w:rPr>
                <w:rFonts w:cs="宋体"/>
                <w:color w:val="000000" w:themeColor="text1"/>
                <w:kern w:val="2"/>
                <w:sz w:val="21"/>
                <w:szCs w:val="21"/>
                <w:highlight w:val="none"/>
                <w14:textFill>
                  <w14:solidFill>
                    <w14:schemeClr w14:val="tx1"/>
                  </w14:solidFill>
                </w14:textFill>
              </w:rPr>
            </w:pPr>
            <w:r>
              <w:rPr>
                <w:rFonts w:hint="eastAsia" w:cs="宋体"/>
                <w:color w:val="000000" w:themeColor="text1"/>
                <w:kern w:val="2"/>
                <w:sz w:val="21"/>
                <w:szCs w:val="21"/>
                <w:highlight w:val="none"/>
                <w14:textFill>
                  <w14:solidFill>
                    <w14:schemeClr w14:val="tx1"/>
                  </w14:solidFill>
                </w14:textFill>
              </w:rPr>
              <w:t>期环</w:t>
            </w:r>
          </w:p>
          <w:p w14:paraId="70A8FE27">
            <w:pPr>
              <w:pStyle w:val="26"/>
              <w:adjustRightInd w:val="0"/>
              <w:snapToGrid w:val="0"/>
              <w:spacing w:before="0" w:beforeAutospacing="0" w:after="0" w:afterAutospacing="0"/>
              <w:jc w:val="center"/>
              <w:rPr>
                <w:rFonts w:cs="宋体"/>
                <w:color w:val="000000" w:themeColor="text1"/>
                <w:kern w:val="2"/>
                <w:sz w:val="21"/>
                <w:szCs w:val="21"/>
                <w:highlight w:val="none"/>
                <w14:textFill>
                  <w14:solidFill>
                    <w14:schemeClr w14:val="tx1"/>
                  </w14:solidFill>
                </w14:textFill>
              </w:rPr>
            </w:pPr>
            <w:r>
              <w:rPr>
                <w:rFonts w:hint="eastAsia" w:cs="宋体"/>
                <w:color w:val="000000" w:themeColor="text1"/>
                <w:kern w:val="2"/>
                <w:sz w:val="21"/>
                <w:szCs w:val="21"/>
                <w:highlight w:val="none"/>
                <w14:textFill>
                  <w14:solidFill>
                    <w14:schemeClr w14:val="tx1"/>
                  </w14:solidFill>
                </w14:textFill>
              </w:rPr>
              <w:t>境保</w:t>
            </w:r>
          </w:p>
          <w:p w14:paraId="1E2B124F">
            <w:pPr>
              <w:pStyle w:val="26"/>
              <w:adjustRightInd w:val="0"/>
              <w:snapToGrid w:val="0"/>
              <w:spacing w:before="0" w:beforeAutospacing="0" w:after="0" w:afterAutospacing="0"/>
              <w:jc w:val="center"/>
              <w:rPr>
                <w:rFonts w:cs="宋体"/>
                <w:color w:val="000000" w:themeColor="text1"/>
                <w:kern w:val="2"/>
                <w:sz w:val="21"/>
                <w:szCs w:val="21"/>
                <w:highlight w:val="none"/>
                <w14:textFill>
                  <w14:solidFill>
                    <w14:schemeClr w14:val="tx1"/>
                  </w14:solidFill>
                </w14:textFill>
              </w:rPr>
            </w:pPr>
            <w:r>
              <w:rPr>
                <w:rFonts w:hint="eastAsia" w:cs="宋体"/>
                <w:color w:val="000000" w:themeColor="text1"/>
                <w:kern w:val="2"/>
                <w:sz w:val="21"/>
                <w:szCs w:val="21"/>
                <w:highlight w:val="none"/>
                <w14:textFill>
                  <w14:solidFill>
                    <w14:schemeClr w14:val="tx1"/>
                  </w14:solidFill>
                </w14:textFill>
              </w:rPr>
              <w:t>护措</w:t>
            </w:r>
          </w:p>
          <w:p w14:paraId="756A2927">
            <w:pPr>
              <w:pStyle w:val="26"/>
              <w:adjustRightInd w:val="0"/>
              <w:snapToGrid w:val="0"/>
              <w:spacing w:before="0" w:beforeAutospacing="0" w:after="0" w:afterAutospacing="0"/>
              <w:jc w:val="center"/>
              <w:rPr>
                <w:rFonts w:cs="宋体"/>
                <w:bCs/>
                <w:color w:val="000000" w:themeColor="text1"/>
                <w:kern w:val="2"/>
                <w:sz w:val="21"/>
                <w:szCs w:val="21"/>
                <w:highlight w:val="none"/>
                <w14:textFill>
                  <w14:solidFill>
                    <w14:schemeClr w14:val="tx1"/>
                  </w14:solidFill>
                </w14:textFill>
              </w:rPr>
            </w:pPr>
            <w:r>
              <w:rPr>
                <w:rFonts w:hint="eastAsia" w:cs="宋体"/>
                <w:color w:val="000000" w:themeColor="text1"/>
                <w:kern w:val="2"/>
                <w:sz w:val="21"/>
                <w:szCs w:val="21"/>
                <w:highlight w:val="none"/>
                <w14:textFill>
                  <w14:solidFill>
                    <w14:schemeClr w14:val="tx1"/>
                  </w14:solidFill>
                </w14:textFill>
              </w:rPr>
              <w:t>施</w:t>
            </w:r>
          </w:p>
        </w:tc>
        <w:tc>
          <w:tcPr>
            <w:tcW w:w="8346" w:type="dxa"/>
            <w:vAlign w:val="center"/>
          </w:tcPr>
          <w:p w14:paraId="1B86A4EF">
            <w:pPr>
              <w:pStyle w:val="26"/>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360" w:lineRule="auto"/>
              <w:ind w:firstLine="480" w:firstLineChars="200"/>
              <w:jc w:val="both"/>
              <w:textAlignment w:val="auto"/>
              <w:rPr>
                <w:rFonts w:hint="default" w:eastAsia="宋体" w:cs="宋体"/>
                <w:color w:val="000000" w:themeColor="text1"/>
                <w:sz w:val="24"/>
                <w:highlight w:val="none"/>
                <w:lang w:val="en-US" w:eastAsia="zh-CN"/>
                <w14:textFill>
                  <w14:solidFill>
                    <w14:schemeClr w14:val="tx1"/>
                  </w14:solidFill>
                </w14:textFill>
              </w:rPr>
            </w:pPr>
            <w:r>
              <w:rPr>
                <w:rFonts w:hint="eastAsia" w:ascii="Times New Roman" w:hAnsi="Times New Roman" w:cs="宋体"/>
                <w:color w:val="000000" w:themeColor="text1"/>
                <w:kern w:val="2"/>
                <w:sz w:val="24"/>
                <w:szCs w:val="24"/>
                <w:highlight w:val="none"/>
                <w14:textFill>
                  <w14:solidFill>
                    <w14:schemeClr w14:val="tx1"/>
                  </w14:solidFill>
                </w14:textFill>
              </w:rPr>
              <w:t>本项目厂址位于福州市高新区南屿镇窗厦村尧溪路3号2#厂房2层，根据现场勘查，该厂房主体结构已经建成，因此不存在厂房等主体工程施工期环境影响。项目施工期主要为厂房内部装修、设备安装、调试阶段产生的环境问题，本项目设备安装、调试简单，且时间较短，因此，随着设备安装、调试完毕后，项目施工期也将结束，施工期环境影响也</w:t>
            </w:r>
            <w:r>
              <w:rPr>
                <w:rFonts w:hint="eastAsia" w:ascii="Times New Roman" w:hAnsi="Times New Roman" w:cs="宋体"/>
                <w:color w:val="000000" w:themeColor="text1"/>
                <w:kern w:val="2"/>
                <w:sz w:val="24"/>
                <w:szCs w:val="24"/>
                <w:highlight w:val="none"/>
                <w:lang w:eastAsia="zh-CN"/>
                <w14:textFill>
                  <w14:solidFill>
                    <w14:schemeClr w14:val="tx1"/>
                  </w14:solidFill>
                </w14:textFill>
              </w:rPr>
              <w:t>随之</w:t>
            </w:r>
            <w:r>
              <w:rPr>
                <w:rFonts w:hint="eastAsia" w:ascii="Times New Roman" w:hAnsi="Times New Roman" w:cs="宋体"/>
                <w:color w:val="000000" w:themeColor="text1"/>
                <w:kern w:val="2"/>
                <w:sz w:val="24"/>
                <w:szCs w:val="24"/>
                <w:highlight w:val="none"/>
                <w14:textFill>
                  <w14:solidFill>
                    <w14:schemeClr w14:val="tx1"/>
                  </w14:solidFill>
                </w14:textFill>
              </w:rPr>
              <w:t>消失，不会对周边环境</w:t>
            </w:r>
            <w:r>
              <w:rPr>
                <w:rFonts w:hint="eastAsia" w:ascii="Times New Roman" w:hAnsi="Times New Roman" w:cs="宋体"/>
                <w:color w:val="000000" w:themeColor="text1"/>
                <w:kern w:val="2"/>
                <w:sz w:val="24"/>
                <w:szCs w:val="24"/>
                <w:highlight w:val="none"/>
                <w:lang w:val="en-US" w:eastAsia="zh-CN"/>
                <w14:textFill>
                  <w14:solidFill>
                    <w14:schemeClr w14:val="tx1"/>
                  </w14:solidFill>
                </w14:textFill>
              </w:rPr>
              <w:t>造成</w:t>
            </w:r>
            <w:r>
              <w:rPr>
                <w:rFonts w:hint="eastAsia" w:ascii="Times New Roman" w:hAnsi="Times New Roman" w:cs="宋体"/>
                <w:color w:val="000000" w:themeColor="text1"/>
                <w:kern w:val="2"/>
                <w:sz w:val="24"/>
                <w:szCs w:val="24"/>
                <w:highlight w:val="none"/>
                <w14:textFill>
                  <w14:solidFill>
                    <w14:schemeClr w14:val="tx1"/>
                  </w14:solidFill>
                </w14:textFill>
              </w:rPr>
              <w:t>影响。</w:t>
            </w:r>
          </w:p>
        </w:tc>
      </w:tr>
      <w:tr w14:paraId="5EB674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0" w:hRule="atLeast"/>
          <w:jc w:val="center"/>
        </w:trPr>
        <w:tc>
          <w:tcPr>
            <w:tcW w:w="635" w:type="dxa"/>
            <w:tcMar>
              <w:left w:w="28" w:type="dxa"/>
              <w:right w:w="28" w:type="dxa"/>
            </w:tcMar>
            <w:vAlign w:val="center"/>
          </w:tcPr>
          <w:p w14:paraId="4D60A2FB">
            <w:pPr>
              <w:adjustRightInd w:val="0"/>
              <w:snapToGrid w:val="0"/>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运营期环境影响和保护措施</w:t>
            </w:r>
          </w:p>
        </w:tc>
        <w:tc>
          <w:tcPr>
            <w:tcW w:w="8346" w:type="dxa"/>
            <w:vAlign w:val="center"/>
          </w:tcPr>
          <w:p w14:paraId="5F1F693B">
            <w:pPr>
              <w:pStyle w:val="37"/>
              <w:rPr>
                <w:color w:val="000000" w:themeColor="text1"/>
                <w:sz w:val="24"/>
                <w:szCs w:val="21"/>
                <w:highlight w:val="none"/>
                <w14:textFill>
                  <w14:solidFill>
                    <w14:schemeClr w14:val="tx1"/>
                  </w14:solidFill>
                </w14:textFill>
              </w:rPr>
            </w:pPr>
            <w:r>
              <w:rPr>
                <w:rFonts w:hint="eastAsia"/>
                <w:color w:val="000000" w:themeColor="text1"/>
                <w:sz w:val="24"/>
                <w:szCs w:val="21"/>
                <w:highlight w:val="none"/>
                <w14:textFill>
                  <w14:solidFill>
                    <w14:schemeClr w14:val="tx1"/>
                  </w14:solidFill>
                </w14:textFill>
              </w:rPr>
              <w:t>4.1 运营期大气环境影响分析和污染防治措施</w:t>
            </w:r>
          </w:p>
          <w:p w14:paraId="6CE5342E">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4.1.1废气源强核算</w:t>
            </w:r>
          </w:p>
          <w:p w14:paraId="7DEB2359">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一</w:t>
            </w:r>
            <w:r>
              <w:rPr>
                <w:rFonts w:hint="eastAsia" w:cs="宋体"/>
                <w:color w:val="000000" w:themeColor="text1"/>
                <w:sz w:val="24"/>
                <w:szCs w:val="32"/>
                <w:highlight w:val="none"/>
                <w14:textFill>
                  <w14:solidFill>
                    <w14:schemeClr w14:val="tx1"/>
                  </w14:solidFill>
                </w14:textFill>
              </w:rPr>
              <w:t>）粉尘废气</w:t>
            </w:r>
          </w:p>
          <w:p w14:paraId="700268C9">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项目拟在</w:t>
            </w:r>
            <w:r>
              <w:rPr>
                <w:rFonts w:hint="eastAsia" w:cs="宋体"/>
                <w:color w:val="000000" w:themeColor="text1"/>
                <w:sz w:val="24"/>
                <w:szCs w:val="32"/>
                <w:highlight w:val="none"/>
                <w:lang w:val="en-US" w:eastAsia="zh-CN"/>
                <w14:textFill>
                  <w14:solidFill>
                    <w14:schemeClr w14:val="tx1"/>
                  </w14:solidFill>
                </w14:textFill>
              </w:rPr>
              <w:t>细磨、抛光、切割环节会产生粉尘废气。</w:t>
            </w:r>
            <w:r>
              <w:rPr>
                <w:rFonts w:hint="eastAsia" w:cs="宋体"/>
                <w:color w:val="000000" w:themeColor="text1"/>
                <w:sz w:val="24"/>
                <w:szCs w:val="32"/>
                <w:highlight w:val="none"/>
                <w14:textFill>
                  <w14:solidFill>
                    <w14:schemeClr w14:val="tx1"/>
                  </w14:solidFill>
                </w14:textFill>
              </w:rPr>
              <w:t>参照《排放源统计调查产排污核算方法和系数手册》—38-40电子行业系数手册机械加工工序中的产排污系数表，机械加工、切割过程粉尘产污系数为0.2841g/kg-原料，本项目原料为</w:t>
            </w:r>
            <w:r>
              <w:rPr>
                <w:rFonts w:hint="eastAsia" w:cs="宋体"/>
                <w:color w:val="000000" w:themeColor="text1"/>
                <w:sz w:val="24"/>
                <w:szCs w:val="32"/>
                <w:highlight w:val="none"/>
                <w:lang w:val="en-US" w:eastAsia="zh-CN"/>
                <w14:textFill>
                  <w14:solidFill>
                    <w14:schemeClr w14:val="tx1"/>
                  </w14:solidFill>
                </w14:textFill>
              </w:rPr>
              <w:t>15.2</w:t>
            </w:r>
            <w:r>
              <w:rPr>
                <w:rFonts w:hint="eastAsia" w:cs="宋体"/>
                <w:color w:val="000000" w:themeColor="text1"/>
                <w:sz w:val="24"/>
                <w:szCs w:val="32"/>
                <w:highlight w:val="none"/>
                <w14:textFill>
                  <w14:solidFill>
                    <w14:schemeClr w14:val="tx1"/>
                  </w14:solidFill>
                </w14:textFill>
              </w:rPr>
              <w:t>t/a，则产生粉尘量为0.</w:t>
            </w:r>
            <w:r>
              <w:rPr>
                <w:rFonts w:hint="eastAsia" w:cs="宋体"/>
                <w:color w:val="000000" w:themeColor="text1"/>
                <w:sz w:val="24"/>
                <w:szCs w:val="32"/>
                <w:highlight w:val="none"/>
                <w:lang w:val="en-US" w:eastAsia="zh-CN"/>
                <w14:textFill>
                  <w14:solidFill>
                    <w14:schemeClr w14:val="tx1"/>
                  </w14:solidFill>
                </w14:textFill>
              </w:rPr>
              <w:t>0043</w:t>
            </w:r>
            <w:r>
              <w:rPr>
                <w:rFonts w:hint="eastAsia" w:cs="宋体"/>
                <w:color w:val="000000" w:themeColor="text1"/>
                <w:sz w:val="24"/>
                <w:szCs w:val="32"/>
                <w:highlight w:val="none"/>
                <w14:textFill>
                  <w14:solidFill>
                    <w14:schemeClr w14:val="tx1"/>
                  </w14:solidFill>
                </w14:textFill>
              </w:rPr>
              <w:t>t/a</w:t>
            </w:r>
            <w:r>
              <w:rPr>
                <w:rFonts w:hint="eastAsia" w:cs="宋体"/>
                <w:color w:val="000000" w:themeColor="text1"/>
                <w:sz w:val="24"/>
                <w:szCs w:val="32"/>
                <w:highlight w:val="none"/>
                <w:lang w:eastAsia="zh-CN"/>
                <w14:textFill>
                  <w14:solidFill>
                    <w14:schemeClr w14:val="tx1"/>
                  </w14:solidFill>
                </w14:textFill>
              </w:rPr>
              <w:t>。</w:t>
            </w:r>
          </w:p>
          <w:p w14:paraId="2A0F1F28">
            <w:pPr>
              <w:spacing w:line="360" w:lineRule="auto"/>
              <w:ind w:firstLine="480" w:firstLineChars="200"/>
              <w:rPr>
                <w:rFonts w:hint="eastAsia" w:eastAsia="宋体"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本项目车间各生产环节之间均进行了隔断，细磨、抛光、切割等均</w:t>
            </w:r>
            <w:r>
              <w:rPr>
                <w:rFonts w:hint="eastAsia" w:cs="宋体"/>
                <w:color w:val="000000" w:themeColor="text1"/>
                <w:sz w:val="24"/>
                <w:szCs w:val="32"/>
                <w:highlight w:val="none"/>
                <w:lang w:val="en-US" w:eastAsia="zh-CN"/>
                <w14:textFill>
                  <w14:solidFill>
                    <w14:schemeClr w14:val="tx1"/>
                  </w14:solidFill>
                </w14:textFill>
              </w:rPr>
              <w:t>采用硬质隔断，</w:t>
            </w:r>
            <w:r>
              <w:rPr>
                <w:rFonts w:hint="eastAsia" w:cs="宋体"/>
                <w:color w:val="000000" w:themeColor="text1"/>
                <w:sz w:val="24"/>
                <w:szCs w:val="32"/>
                <w:highlight w:val="none"/>
                <w14:textFill>
                  <w14:solidFill>
                    <w14:schemeClr w14:val="tx1"/>
                  </w14:solidFill>
                </w14:textFill>
              </w:rPr>
              <w:t>单独</w:t>
            </w:r>
            <w:r>
              <w:rPr>
                <w:rFonts w:hint="eastAsia" w:cs="宋体"/>
                <w:color w:val="000000" w:themeColor="text1"/>
                <w:sz w:val="24"/>
                <w:szCs w:val="32"/>
                <w:highlight w:val="none"/>
                <w:lang w:val="en-US" w:eastAsia="zh-CN"/>
                <w14:textFill>
                  <w14:solidFill>
                    <w14:schemeClr w14:val="tx1"/>
                  </w14:solidFill>
                </w14:textFill>
              </w:rPr>
              <w:t>操作间；</w:t>
            </w:r>
            <w:r>
              <w:rPr>
                <w:rFonts w:hint="eastAsia" w:cs="宋体"/>
                <w:color w:val="000000" w:themeColor="text1"/>
                <w:sz w:val="24"/>
                <w:szCs w:val="32"/>
                <w:highlight w:val="none"/>
                <w14:textFill>
                  <w14:solidFill>
                    <w14:schemeClr w14:val="tx1"/>
                  </w14:solidFill>
                </w14:textFill>
              </w:rPr>
              <w:t>项目拟在</w:t>
            </w:r>
            <w:r>
              <w:rPr>
                <w:rFonts w:hint="eastAsia" w:cs="宋体"/>
                <w:color w:val="000000" w:themeColor="text1"/>
                <w:sz w:val="24"/>
                <w:szCs w:val="32"/>
                <w:highlight w:val="none"/>
                <w:lang w:val="en-US" w:eastAsia="zh-CN"/>
                <w14:textFill>
                  <w14:solidFill>
                    <w14:schemeClr w14:val="tx1"/>
                  </w14:solidFill>
                </w14:textFill>
              </w:rPr>
              <w:t>细磨、抛光、切割</w:t>
            </w:r>
            <w:r>
              <w:rPr>
                <w:rFonts w:hint="eastAsia" w:cs="宋体"/>
                <w:color w:val="000000" w:themeColor="text1"/>
                <w:sz w:val="24"/>
                <w:szCs w:val="32"/>
                <w:highlight w:val="none"/>
                <w14:textFill>
                  <w14:solidFill>
                    <w14:schemeClr w14:val="tx1"/>
                  </w14:solidFill>
                </w14:textFill>
              </w:rPr>
              <w:t>工段上方设置集气罩收集粉尘，采用</w:t>
            </w:r>
            <w:r>
              <w:rPr>
                <w:rFonts w:hint="eastAsia" w:cs="宋体"/>
                <w:color w:val="000000" w:themeColor="text1"/>
                <w:sz w:val="24"/>
                <w:szCs w:val="32"/>
                <w:highlight w:val="none"/>
                <w:lang w:val="en-US" w:eastAsia="zh-CN"/>
                <w14:textFill>
                  <w14:solidFill>
                    <w14:schemeClr w14:val="tx1"/>
                  </w14:solidFill>
                </w14:textFill>
              </w:rPr>
              <w:t>局部</w:t>
            </w:r>
            <w:r>
              <w:rPr>
                <w:rFonts w:hint="eastAsia" w:cs="宋体"/>
                <w:color w:val="000000" w:themeColor="text1"/>
                <w:sz w:val="24"/>
                <w:szCs w:val="32"/>
                <w:highlight w:val="none"/>
                <w14:textFill>
                  <w14:solidFill>
                    <w14:schemeClr w14:val="tx1"/>
                  </w14:solidFill>
                </w14:textFill>
              </w:rPr>
              <w:t>顶吸式收集方式。本项目除尘设施设计风机风量为1800m</w:t>
            </w:r>
            <w:r>
              <w:rPr>
                <w:rFonts w:hint="eastAsia" w:cs="宋体"/>
                <w:color w:val="000000" w:themeColor="text1"/>
                <w:sz w:val="24"/>
                <w:szCs w:val="32"/>
                <w:highlight w:val="none"/>
                <w:vertAlign w:val="superscript"/>
                <w14:textFill>
                  <w14:solidFill>
                    <w14:schemeClr w14:val="tx1"/>
                  </w14:solidFill>
                </w14:textFill>
              </w:rPr>
              <w:t>3</w:t>
            </w:r>
            <w:r>
              <w:rPr>
                <w:rFonts w:hint="eastAsia" w:cs="宋体"/>
                <w:color w:val="000000" w:themeColor="text1"/>
                <w:sz w:val="24"/>
                <w:szCs w:val="32"/>
                <w:highlight w:val="none"/>
                <w14:textFill>
                  <w14:solidFill>
                    <w14:schemeClr w14:val="tx1"/>
                  </w14:solidFill>
                </w14:textFill>
              </w:rPr>
              <w:t>/h，</w:t>
            </w:r>
            <w:r>
              <w:rPr>
                <w:rFonts w:hint="eastAsia" w:cs="宋体"/>
                <w:color w:val="000000" w:themeColor="text1"/>
                <w:sz w:val="24"/>
                <w:szCs w:val="32"/>
                <w:highlight w:val="none"/>
                <w:lang w:val="en-US" w:eastAsia="zh-CN"/>
                <w14:textFill>
                  <w14:solidFill>
                    <w14:schemeClr w14:val="tx1"/>
                  </w14:solidFill>
                </w14:textFill>
              </w:rPr>
              <w:t>局部换风体积15</w:t>
            </w:r>
            <w:r>
              <w:rPr>
                <w:rFonts w:hint="eastAsia" w:cs="宋体"/>
                <w:color w:val="000000" w:themeColor="text1"/>
                <w:sz w:val="24"/>
                <w:szCs w:val="32"/>
                <w:highlight w:val="none"/>
                <w14:textFill>
                  <w14:solidFill>
                    <w14:schemeClr w14:val="tx1"/>
                  </w14:solidFill>
                </w14:textFill>
              </w:rPr>
              <w:t>0m</w:t>
            </w:r>
            <w:r>
              <w:rPr>
                <w:rFonts w:hint="eastAsia" w:cs="宋体"/>
                <w:color w:val="000000" w:themeColor="text1"/>
                <w:sz w:val="24"/>
                <w:szCs w:val="32"/>
                <w:highlight w:val="none"/>
                <w:vertAlign w:val="superscript"/>
                <w14:textFill>
                  <w14:solidFill>
                    <w14:schemeClr w14:val="tx1"/>
                  </w14:solidFill>
                </w14:textFill>
              </w:rPr>
              <w:t>3</w:t>
            </w:r>
            <w:r>
              <w:rPr>
                <w:rFonts w:hint="eastAsia" w:cs="宋体"/>
                <w:color w:val="000000" w:themeColor="text1"/>
                <w:sz w:val="24"/>
                <w:szCs w:val="32"/>
                <w:highlight w:val="none"/>
                <w14:textFill>
                  <w14:solidFill>
                    <w14:schemeClr w14:val="tx1"/>
                  </w14:solidFill>
                </w14:textFill>
              </w:rPr>
              <w:t>/h</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每小时换风次数10次，</w:t>
            </w:r>
            <w:r>
              <w:rPr>
                <w:rFonts w:hint="eastAsia" w:cs="宋体"/>
                <w:color w:val="000000" w:themeColor="text1"/>
                <w:sz w:val="24"/>
                <w:szCs w:val="32"/>
                <w:highlight w:val="none"/>
                <w14:textFill>
                  <w14:solidFill>
                    <w14:schemeClr w14:val="tx1"/>
                  </w14:solidFill>
                </w14:textFill>
              </w:rPr>
              <w:t>可满足收集要求</w:t>
            </w:r>
            <w:r>
              <w:rPr>
                <w:rFonts w:hint="eastAsia" w:cs="宋体"/>
                <w:color w:val="000000" w:themeColor="text1"/>
                <w:sz w:val="24"/>
                <w:szCs w:val="32"/>
                <w:highlight w:val="none"/>
                <w:lang w:eastAsia="zh-CN"/>
                <w14:textFill>
                  <w14:solidFill>
                    <w14:schemeClr w14:val="tx1"/>
                  </w14:solidFill>
                </w14:textFill>
              </w:rPr>
              <w:t>。</w:t>
            </w:r>
          </w:p>
          <w:p w14:paraId="3FAF183E">
            <w:pPr>
              <w:spacing w:line="360" w:lineRule="auto"/>
              <w:ind w:firstLine="480" w:firstLineChars="200"/>
              <w:rPr>
                <w:rFonts w:hint="eastAsia" w:eastAsia="宋体"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收集效率：根据《主要污染物总量减排核算技术指南（2022年修订）》，密闭式集气罩收集效率为80%；</w:t>
            </w:r>
          </w:p>
          <w:p w14:paraId="4ACB3D30">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处理效率：参照《环境工程设计手册（修订版）》（湖南科学技术出版社)，布袋除尘器对颗粒物的净化效率在99%以上，本环评取99%。</w:t>
            </w:r>
          </w:p>
          <w:p w14:paraId="71187B1F">
            <w:pPr>
              <w:spacing w:line="360" w:lineRule="auto"/>
              <w:ind w:firstLine="480" w:firstLineChars="200"/>
              <w:rPr>
                <w:rFonts w:hint="default" w:eastAsia="宋体"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粉尘废气经收集后通过“布袋除尘器”处理后通过</w:t>
            </w:r>
            <w:r>
              <w:rPr>
                <w:rFonts w:hint="eastAsia" w:cs="宋体"/>
                <w:color w:val="000000" w:themeColor="text1"/>
                <w:sz w:val="24"/>
                <w:szCs w:val="32"/>
                <w:highlight w:val="none"/>
                <w:lang w:val="en-US" w:eastAsia="zh-CN"/>
                <w14:textFill>
                  <w14:solidFill>
                    <w14:schemeClr w14:val="tx1"/>
                  </w14:solidFill>
                </w14:textFill>
              </w:rPr>
              <w:t>30</w:t>
            </w:r>
            <w:r>
              <w:rPr>
                <w:rFonts w:hint="eastAsia" w:cs="宋体"/>
                <w:color w:val="000000" w:themeColor="text1"/>
                <w:sz w:val="24"/>
                <w:szCs w:val="32"/>
                <w:highlight w:val="none"/>
                <w14:textFill>
                  <w14:solidFill>
                    <w14:schemeClr w14:val="tx1"/>
                  </w14:solidFill>
                </w14:textFill>
              </w:rPr>
              <w:t>m高排气筒排放。</w:t>
            </w:r>
            <w:r>
              <w:rPr>
                <w:rFonts w:hint="eastAsia" w:cs="宋体"/>
                <w:color w:val="000000" w:themeColor="text1"/>
                <w:sz w:val="24"/>
                <w:szCs w:val="32"/>
                <w:highlight w:val="none"/>
                <w:lang w:val="en-US" w:eastAsia="zh-CN"/>
                <w14:textFill>
                  <w14:solidFill>
                    <w14:schemeClr w14:val="tx1"/>
                  </w14:solidFill>
                </w14:textFill>
              </w:rPr>
              <w:t>本项目所在1#厂房共4层，建筑总高度23.4m，排气筒高出建筑物6.6m。</w:t>
            </w:r>
          </w:p>
          <w:p w14:paraId="1ABFA0B9">
            <w:pPr>
              <w:spacing w:line="360" w:lineRule="auto"/>
              <w:ind w:firstLine="480" w:firstLineChars="200"/>
              <w:rPr>
                <w:rFonts w:hint="eastAsia" w:eastAsia="宋体"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因此本项目粉尘废气经</w:t>
            </w:r>
            <w:r>
              <w:rPr>
                <w:rFonts w:hint="eastAsia" w:cs="宋体"/>
                <w:color w:val="000000" w:themeColor="text1"/>
                <w:sz w:val="24"/>
                <w:szCs w:val="32"/>
                <w:highlight w:val="none"/>
                <w14:textFill>
                  <w14:solidFill>
                    <w14:schemeClr w14:val="tx1"/>
                  </w14:solidFill>
                </w14:textFill>
              </w:rPr>
              <w:t>集气罩+布袋除尘器处理</w:t>
            </w:r>
            <w:r>
              <w:rPr>
                <w:rFonts w:hint="eastAsia" w:cs="宋体"/>
                <w:color w:val="000000" w:themeColor="text1"/>
                <w:sz w:val="24"/>
                <w:szCs w:val="32"/>
                <w:highlight w:val="none"/>
                <w:lang w:val="en-US" w:eastAsia="zh-CN"/>
                <w14:textFill>
                  <w14:solidFill>
                    <w14:schemeClr w14:val="tx1"/>
                  </w14:solidFill>
                </w14:textFill>
              </w:rPr>
              <w:t>后排放的颗粒物的量为0.000035</w:t>
            </w:r>
            <w:r>
              <w:rPr>
                <w:rFonts w:hint="eastAsia" w:cs="宋体"/>
                <w:color w:val="000000" w:themeColor="text1"/>
                <w:sz w:val="24"/>
                <w:szCs w:val="32"/>
                <w:highlight w:val="none"/>
                <w14:textFill>
                  <w14:solidFill>
                    <w14:schemeClr w14:val="tx1"/>
                  </w14:solidFill>
                </w14:textFill>
              </w:rPr>
              <w:t>t/a</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无组织排放量为0.0009</w:t>
            </w:r>
            <w:r>
              <w:rPr>
                <w:rFonts w:hint="eastAsia" w:cs="宋体"/>
                <w:color w:val="000000" w:themeColor="text1"/>
                <w:sz w:val="24"/>
                <w:szCs w:val="32"/>
                <w:highlight w:val="none"/>
                <w14:textFill>
                  <w14:solidFill>
                    <w14:schemeClr w14:val="tx1"/>
                  </w14:solidFill>
                </w14:textFill>
              </w:rPr>
              <w:t>t/a</w:t>
            </w:r>
            <w:r>
              <w:rPr>
                <w:rFonts w:hint="eastAsia" w:cs="宋体"/>
                <w:color w:val="000000" w:themeColor="text1"/>
                <w:sz w:val="24"/>
                <w:szCs w:val="32"/>
                <w:highlight w:val="none"/>
                <w:lang w:eastAsia="zh-CN"/>
                <w14:textFill>
                  <w14:solidFill>
                    <w14:schemeClr w14:val="tx1"/>
                  </w14:solidFill>
                </w14:textFill>
              </w:rPr>
              <w:t>。</w:t>
            </w:r>
          </w:p>
          <w:p w14:paraId="30BD5D4D">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本项目年工作时长按2000h，因此本项目有组织粉尘废气产生与排放情况见下表。</w:t>
            </w:r>
          </w:p>
          <w:p w14:paraId="0E4A87FD">
            <w:pPr>
              <w:spacing w:line="360" w:lineRule="auto"/>
              <w:jc w:val="center"/>
              <w:rPr>
                <w:rFonts w:ascii="宋体" w:cs="宋体"/>
                <w:b/>
                <w:bCs w:val="0"/>
                <w:color w:val="000000" w:themeColor="text1"/>
                <w:kern w:val="0"/>
                <w:sz w:val="24"/>
                <w:szCs w:val="24"/>
                <w:highlight w:val="none"/>
                <w14:textFill>
                  <w14:solidFill>
                    <w14:schemeClr w14:val="tx1"/>
                  </w14:solidFill>
                </w14:textFill>
              </w:rPr>
            </w:pPr>
            <w:r>
              <w:rPr>
                <w:rFonts w:hint="eastAsia" w:cs="宋体"/>
                <w:b/>
                <w:bCs w:val="0"/>
                <w:color w:val="000000" w:themeColor="text1"/>
                <w:sz w:val="24"/>
                <w:szCs w:val="24"/>
                <w:highlight w:val="none"/>
                <w14:textFill>
                  <w14:solidFill>
                    <w14:schemeClr w14:val="tx1"/>
                  </w14:solidFill>
                </w14:textFill>
              </w:rPr>
              <w:t xml:space="preserve">表 </w:t>
            </w:r>
            <w:r>
              <w:rPr>
                <w:b/>
                <w:bCs w:val="0"/>
                <w:color w:val="000000" w:themeColor="text1"/>
                <w:sz w:val="24"/>
                <w:szCs w:val="24"/>
                <w:highlight w:val="none"/>
                <w14:textFill>
                  <w14:solidFill>
                    <w14:schemeClr w14:val="tx1"/>
                  </w14:solidFill>
                </w14:textFill>
              </w:rPr>
              <w:t>4</w:t>
            </w:r>
            <w:r>
              <w:rPr>
                <w:rFonts w:hint="eastAsia"/>
                <w:b/>
                <w:bCs w:val="0"/>
                <w:color w:val="000000" w:themeColor="text1"/>
                <w:sz w:val="24"/>
                <w:szCs w:val="24"/>
                <w:highlight w:val="none"/>
                <w:lang w:val="en-US" w:eastAsia="zh-CN"/>
                <w14:textFill>
                  <w14:solidFill>
                    <w14:schemeClr w14:val="tx1"/>
                  </w14:solidFill>
                </w14:textFill>
              </w:rPr>
              <w:t>.1</w:t>
            </w:r>
            <w:r>
              <w:rPr>
                <w:b/>
                <w:bCs w:val="0"/>
                <w:color w:val="000000" w:themeColor="text1"/>
                <w:sz w:val="24"/>
                <w:szCs w:val="24"/>
                <w:highlight w:val="none"/>
                <w14:textFill>
                  <w14:solidFill>
                    <w14:schemeClr w14:val="tx1"/>
                  </w14:solidFill>
                </w14:textFill>
              </w:rPr>
              <w:t>-</w:t>
            </w:r>
            <w:r>
              <w:rPr>
                <w:rFonts w:hint="eastAsia"/>
                <w:b/>
                <w:bCs w:val="0"/>
                <w:color w:val="000000" w:themeColor="text1"/>
                <w:sz w:val="24"/>
                <w:szCs w:val="24"/>
                <w:highlight w:val="none"/>
                <w:lang w:val="en-US" w:eastAsia="zh-CN"/>
                <w14:textFill>
                  <w14:solidFill>
                    <w14:schemeClr w14:val="tx1"/>
                  </w14:solidFill>
                </w14:textFill>
              </w:rPr>
              <w:t>1</w:t>
            </w:r>
            <w:r>
              <w:rPr>
                <w:b/>
                <w:bCs w:val="0"/>
                <w:color w:val="000000" w:themeColor="text1"/>
                <w:sz w:val="24"/>
                <w:szCs w:val="24"/>
                <w:highlight w:val="none"/>
                <w14:textFill>
                  <w14:solidFill>
                    <w14:schemeClr w14:val="tx1"/>
                  </w14:solidFill>
                </w14:textFill>
              </w:rPr>
              <w:t xml:space="preserve">  </w:t>
            </w:r>
            <w:r>
              <w:rPr>
                <w:rFonts w:hint="eastAsia"/>
                <w:b/>
                <w:bCs w:val="0"/>
                <w:color w:val="000000" w:themeColor="text1"/>
                <w:sz w:val="24"/>
                <w:szCs w:val="24"/>
                <w:highlight w:val="none"/>
                <w:lang w:val="en-US" w:eastAsia="zh-CN"/>
                <w14:textFill>
                  <w14:solidFill>
                    <w14:schemeClr w14:val="tx1"/>
                  </w14:solidFill>
                </w14:textFill>
              </w:rPr>
              <w:t>本项目有组织粉尘废气产排情况</w:t>
            </w:r>
            <w:r>
              <w:rPr>
                <w:rFonts w:hint="eastAsia"/>
                <w:b/>
                <w:bCs w:val="0"/>
                <w:color w:val="000000" w:themeColor="text1"/>
                <w:sz w:val="24"/>
                <w:szCs w:val="24"/>
                <w:highlight w:val="none"/>
                <w14:textFill>
                  <w14:solidFill>
                    <w14:schemeClr w14:val="tx1"/>
                  </w14:solidFill>
                </w14:textFill>
              </w:rPr>
              <w:t>一览表</w:t>
            </w:r>
          </w:p>
          <w:tbl>
            <w:tblPr>
              <w:tblStyle w:val="31"/>
              <w:tblW w:w="5000" w:type="pct"/>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18"/>
              <w:gridCol w:w="475"/>
              <w:gridCol w:w="550"/>
              <w:gridCol w:w="663"/>
              <w:gridCol w:w="662"/>
              <w:gridCol w:w="654"/>
              <w:gridCol w:w="690"/>
              <w:gridCol w:w="420"/>
              <w:gridCol w:w="600"/>
              <w:gridCol w:w="660"/>
              <w:gridCol w:w="645"/>
              <w:gridCol w:w="420"/>
              <w:gridCol w:w="420"/>
              <w:gridCol w:w="375"/>
              <w:gridCol w:w="368"/>
            </w:tblGrid>
            <w:tr w14:paraId="6F0A3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1" w:hRule="atLeast"/>
              </w:trPr>
              <w:tc>
                <w:tcPr>
                  <w:tcW w:w="518" w:type="dxa"/>
                  <w:vMerge w:val="restart"/>
                  <w:shd w:val="clear" w:color="auto" w:fill="auto"/>
                  <w:vAlign w:val="center"/>
                </w:tcPr>
                <w:p w14:paraId="3CD2B76B">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排气筒名称</w:t>
                  </w:r>
                </w:p>
              </w:tc>
              <w:tc>
                <w:tcPr>
                  <w:tcW w:w="475" w:type="dxa"/>
                  <w:vMerge w:val="restart"/>
                  <w:shd w:val="clear" w:color="auto" w:fill="auto"/>
                  <w:vAlign w:val="center"/>
                </w:tcPr>
                <w:p w14:paraId="1F4D59AE">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排放源名称</w:t>
                  </w:r>
                </w:p>
              </w:tc>
              <w:tc>
                <w:tcPr>
                  <w:tcW w:w="550" w:type="dxa"/>
                  <w:vMerge w:val="restart"/>
                  <w:shd w:val="clear" w:color="auto" w:fill="auto"/>
                  <w:vAlign w:val="center"/>
                </w:tcPr>
                <w:p w14:paraId="4FE1C03F">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污染物名称</w:t>
                  </w:r>
                </w:p>
              </w:tc>
              <w:tc>
                <w:tcPr>
                  <w:tcW w:w="1979" w:type="dxa"/>
                  <w:gridSpan w:val="3"/>
                  <w:shd w:val="clear" w:color="auto" w:fill="auto"/>
                  <w:vAlign w:val="center"/>
                </w:tcPr>
                <w:p w14:paraId="3204A839">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产生情况</w:t>
                  </w:r>
                </w:p>
              </w:tc>
              <w:tc>
                <w:tcPr>
                  <w:tcW w:w="690" w:type="dxa"/>
                  <w:vMerge w:val="restart"/>
                  <w:shd w:val="clear" w:color="auto" w:fill="auto"/>
                  <w:vAlign w:val="center"/>
                </w:tcPr>
                <w:p w14:paraId="3625EB57">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治理措施</w:t>
                  </w:r>
                </w:p>
              </w:tc>
              <w:tc>
                <w:tcPr>
                  <w:tcW w:w="420" w:type="dxa"/>
                  <w:vMerge w:val="restart"/>
                  <w:shd w:val="clear" w:color="auto" w:fill="auto"/>
                  <w:vAlign w:val="center"/>
                </w:tcPr>
                <w:p w14:paraId="4D7E84A7">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去除率</w:t>
                  </w:r>
                </w:p>
              </w:tc>
              <w:tc>
                <w:tcPr>
                  <w:tcW w:w="1905" w:type="dxa"/>
                  <w:gridSpan w:val="3"/>
                  <w:shd w:val="clear" w:color="auto" w:fill="auto"/>
                  <w:vAlign w:val="center"/>
                </w:tcPr>
                <w:p w14:paraId="780F7B48">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排放情况</w:t>
                  </w:r>
                </w:p>
              </w:tc>
              <w:tc>
                <w:tcPr>
                  <w:tcW w:w="1583" w:type="dxa"/>
                  <w:gridSpan w:val="4"/>
                  <w:shd w:val="clear" w:color="auto" w:fill="auto"/>
                  <w:vAlign w:val="center"/>
                </w:tcPr>
                <w:p w14:paraId="36F15A5B">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排放口参数</w:t>
                  </w:r>
                </w:p>
              </w:tc>
            </w:tr>
            <w:tr w14:paraId="2ACE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1" w:hRule="atLeast"/>
              </w:trPr>
              <w:tc>
                <w:tcPr>
                  <w:tcW w:w="518" w:type="dxa"/>
                  <w:vMerge w:val="continue"/>
                  <w:shd w:val="clear" w:color="auto" w:fill="auto"/>
                  <w:vAlign w:val="center"/>
                </w:tcPr>
                <w:p w14:paraId="1C5DB0E0">
                  <w:pPr>
                    <w:jc w:val="center"/>
                    <w:rPr>
                      <w:rFonts w:hint="default" w:eastAsia="宋体"/>
                      <w:color w:val="000000" w:themeColor="text1"/>
                      <w:sz w:val="21"/>
                      <w:szCs w:val="21"/>
                      <w:highlight w:val="none"/>
                      <w:lang w:val="en-US" w:eastAsia="zh-CN"/>
                      <w14:textFill>
                        <w14:solidFill>
                          <w14:schemeClr w14:val="tx1"/>
                        </w14:solidFill>
                      </w14:textFill>
                    </w:rPr>
                  </w:pPr>
                </w:p>
              </w:tc>
              <w:tc>
                <w:tcPr>
                  <w:tcW w:w="475" w:type="dxa"/>
                  <w:vMerge w:val="continue"/>
                  <w:shd w:val="clear" w:color="auto" w:fill="auto"/>
                  <w:vAlign w:val="center"/>
                </w:tcPr>
                <w:p w14:paraId="27834F44">
                  <w:pPr>
                    <w:jc w:val="center"/>
                    <w:rPr>
                      <w:rFonts w:hint="default" w:eastAsia="宋体"/>
                      <w:color w:val="000000" w:themeColor="text1"/>
                      <w:sz w:val="21"/>
                      <w:szCs w:val="21"/>
                      <w:highlight w:val="none"/>
                      <w:lang w:val="en-US" w:eastAsia="zh-CN"/>
                      <w14:textFill>
                        <w14:solidFill>
                          <w14:schemeClr w14:val="tx1"/>
                        </w14:solidFill>
                      </w14:textFill>
                    </w:rPr>
                  </w:pPr>
                </w:p>
              </w:tc>
              <w:tc>
                <w:tcPr>
                  <w:tcW w:w="550" w:type="dxa"/>
                  <w:vMerge w:val="continue"/>
                  <w:shd w:val="clear" w:color="auto" w:fill="auto"/>
                  <w:vAlign w:val="center"/>
                </w:tcPr>
                <w:p w14:paraId="6594B202">
                  <w:pPr>
                    <w:jc w:val="center"/>
                    <w:rPr>
                      <w:rFonts w:hint="default" w:eastAsia="宋体"/>
                      <w:color w:val="000000" w:themeColor="text1"/>
                      <w:sz w:val="21"/>
                      <w:szCs w:val="21"/>
                      <w:highlight w:val="none"/>
                      <w:lang w:val="en-US" w:eastAsia="zh-CN"/>
                      <w14:textFill>
                        <w14:solidFill>
                          <w14:schemeClr w14:val="tx1"/>
                        </w14:solidFill>
                      </w14:textFill>
                    </w:rPr>
                  </w:pPr>
                </w:p>
              </w:tc>
              <w:tc>
                <w:tcPr>
                  <w:tcW w:w="663" w:type="dxa"/>
                  <w:shd w:val="clear" w:color="auto" w:fill="auto"/>
                  <w:vAlign w:val="center"/>
                </w:tcPr>
                <w:p w14:paraId="38903390">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浓度mg/m</w:t>
                  </w:r>
                  <w:r>
                    <w:rPr>
                      <w:rFonts w:hint="eastAsia"/>
                      <w:color w:val="000000" w:themeColor="text1"/>
                      <w:sz w:val="21"/>
                      <w:szCs w:val="21"/>
                      <w:highlight w:val="none"/>
                      <w:vertAlign w:val="superscript"/>
                      <w:lang w:val="en-US" w:eastAsia="zh-CN"/>
                      <w14:textFill>
                        <w14:solidFill>
                          <w14:schemeClr w14:val="tx1"/>
                        </w14:solidFill>
                      </w14:textFill>
                    </w:rPr>
                    <w:t>3</w:t>
                  </w:r>
                </w:p>
              </w:tc>
              <w:tc>
                <w:tcPr>
                  <w:tcW w:w="662" w:type="dxa"/>
                  <w:shd w:val="clear" w:color="auto" w:fill="auto"/>
                  <w:vAlign w:val="center"/>
                </w:tcPr>
                <w:p w14:paraId="08216A37">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速率kg/h</w:t>
                  </w:r>
                </w:p>
              </w:tc>
              <w:tc>
                <w:tcPr>
                  <w:tcW w:w="654" w:type="dxa"/>
                  <w:shd w:val="clear" w:color="auto" w:fill="auto"/>
                  <w:vAlign w:val="center"/>
                </w:tcPr>
                <w:p w14:paraId="6949B7F1">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产生量t/a</w:t>
                  </w:r>
                </w:p>
              </w:tc>
              <w:tc>
                <w:tcPr>
                  <w:tcW w:w="690" w:type="dxa"/>
                  <w:vMerge w:val="continue"/>
                  <w:shd w:val="clear" w:color="auto" w:fill="auto"/>
                  <w:vAlign w:val="center"/>
                </w:tcPr>
                <w:p w14:paraId="4A8F166E">
                  <w:pPr>
                    <w:jc w:val="center"/>
                    <w:rPr>
                      <w:color w:val="000000" w:themeColor="text1"/>
                      <w:sz w:val="21"/>
                      <w:szCs w:val="21"/>
                      <w:highlight w:val="none"/>
                      <w14:textFill>
                        <w14:solidFill>
                          <w14:schemeClr w14:val="tx1"/>
                        </w14:solidFill>
                      </w14:textFill>
                    </w:rPr>
                  </w:pPr>
                </w:p>
              </w:tc>
              <w:tc>
                <w:tcPr>
                  <w:tcW w:w="420" w:type="dxa"/>
                  <w:vMerge w:val="continue"/>
                  <w:shd w:val="clear" w:color="auto" w:fill="auto"/>
                  <w:vAlign w:val="center"/>
                </w:tcPr>
                <w:p w14:paraId="1A997413">
                  <w:pPr>
                    <w:jc w:val="center"/>
                    <w:rPr>
                      <w:color w:val="000000" w:themeColor="text1"/>
                      <w:sz w:val="21"/>
                      <w:szCs w:val="21"/>
                      <w:highlight w:val="none"/>
                      <w14:textFill>
                        <w14:solidFill>
                          <w14:schemeClr w14:val="tx1"/>
                        </w14:solidFill>
                      </w14:textFill>
                    </w:rPr>
                  </w:pPr>
                </w:p>
              </w:tc>
              <w:tc>
                <w:tcPr>
                  <w:tcW w:w="600" w:type="dxa"/>
                  <w:shd w:val="clear" w:color="auto" w:fill="auto"/>
                  <w:vAlign w:val="center"/>
                </w:tcPr>
                <w:p w14:paraId="79861F7A">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浓度mg/m</w:t>
                  </w:r>
                  <w:r>
                    <w:rPr>
                      <w:rFonts w:hint="eastAsia"/>
                      <w:color w:val="000000" w:themeColor="text1"/>
                      <w:sz w:val="21"/>
                      <w:szCs w:val="21"/>
                      <w:highlight w:val="none"/>
                      <w:vertAlign w:val="superscript"/>
                      <w:lang w:val="en-US" w:eastAsia="zh-CN"/>
                      <w14:textFill>
                        <w14:solidFill>
                          <w14:schemeClr w14:val="tx1"/>
                        </w14:solidFill>
                      </w14:textFill>
                    </w:rPr>
                    <w:t>3</w:t>
                  </w:r>
                </w:p>
              </w:tc>
              <w:tc>
                <w:tcPr>
                  <w:tcW w:w="660" w:type="dxa"/>
                  <w:shd w:val="clear" w:color="auto" w:fill="auto"/>
                  <w:vAlign w:val="center"/>
                </w:tcPr>
                <w:p w14:paraId="43723283">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速率kg/h</w:t>
                  </w:r>
                </w:p>
              </w:tc>
              <w:tc>
                <w:tcPr>
                  <w:tcW w:w="645" w:type="dxa"/>
                  <w:shd w:val="clear" w:color="auto" w:fill="auto"/>
                  <w:vAlign w:val="center"/>
                </w:tcPr>
                <w:p w14:paraId="5A2239B5">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排放量t/a</w:t>
                  </w:r>
                </w:p>
              </w:tc>
              <w:tc>
                <w:tcPr>
                  <w:tcW w:w="420" w:type="dxa"/>
                  <w:shd w:val="clear" w:color="auto" w:fill="auto"/>
                  <w:vAlign w:val="center"/>
                </w:tcPr>
                <w:p w14:paraId="739AE3A9">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高度m</w:t>
                  </w:r>
                </w:p>
              </w:tc>
              <w:tc>
                <w:tcPr>
                  <w:tcW w:w="420" w:type="dxa"/>
                  <w:shd w:val="clear" w:color="auto" w:fill="auto"/>
                  <w:vAlign w:val="center"/>
                </w:tcPr>
                <w:p w14:paraId="778D620A">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内径m</w:t>
                  </w:r>
                </w:p>
              </w:tc>
              <w:tc>
                <w:tcPr>
                  <w:tcW w:w="375" w:type="dxa"/>
                  <w:shd w:val="clear" w:color="auto" w:fill="auto"/>
                  <w:vAlign w:val="center"/>
                </w:tcPr>
                <w:p w14:paraId="36F09A78">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温度℃</w:t>
                  </w:r>
                </w:p>
              </w:tc>
              <w:tc>
                <w:tcPr>
                  <w:tcW w:w="368" w:type="dxa"/>
                  <w:shd w:val="clear" w:color="auto" w:fill="auto"/>
                  <w:vAlign w:val="center"/>
                </w:tcPr>
                <w:p w14:paraId="1584152C">
                  <w:pPr>
                    <w:jc w:val="center"/>
                    <w:rPr>
                      <w:rFonts w:hint="eastAsia"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方式</w:t>
                  </w:r>
                </w:p>
              </w:tc>
            </w:tr>
            <w:tr w14:paraId="7EC53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18" w:type="dxa"/>
                  <w:shd w:val="clear" w:color="auto" w:fill="auto"/>
                  <w:vAlign w:val="center"/>
                </w:tcPr>
                <w:p w14:paraId="2FAD1E70">
                  <w:pPr>
                    <w:keepNext w:val="0"/>
                    <w:keepLines w:val="0"/>
                    <w:widowControl/>
                    <w:suppressLineNumbers w:val="0"/>
                    <w:jc w:val="center"/>
                    <w:textAlignment w:val="center"/>
                    <w:rPr>
                      <w:rFonts w:hint="default" w:eastAsia="宋体"/>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DA00</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4</w:t>
                  </w:r>
                </w:p>
              </w:tc>
              <w:tc>
                <w:tcPr>
                  <w:tcW w:w="475" w:type="dxa"/>
                  <w:shd w:val="clear" w:color="auto" w:fill="auto"/>
                  <w:vAlign w:val="center"/>
                </w:tcPr>
                <w:p w14:paraId="65BF21FA">
                  <w:pPr>
                    <w:keepNext w:val="0"/>
                    <w:keepLines w:val="0"/>
                    <w:widowControl/>
                    <w:suppressLineNumbers w:val="0"/>
                    <w:jc w:val="center"/>
                    <w:textAlignment w:val="center"/>
                    <w:rPr>
                      <w:rFonts w:hint="default" w:eastAsia="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粉尘废气</w:t>
                  </w:r>
                </w:p>
              </w:tc>
              <w:tc>
                <w:tcPr>
                  <w:tcW w:w="550" w:type="dxa"/>
                  <w:shd w:val="clear" w:color="auto" w:fill="auto"/>
                  <w:vAlign w:val="center"/>
                </w:tcPr>
                <w:p w14:paraId="6EAD31EE">
                  <w:pPr>
                    <w:keepNext w:val="0"/>
                    <w:keepLines w:val="0"/>
                    <w:widowControl/>
                    <w:suppressLineNumbers w:val="0"/>
                    <w:jc w:val="center"/>
                    <w:textAlignment w:val="center"/>
                    <w:rPr>
                      <w:rFonts w:hint="default" w:eastAsia="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颗粒物</w:t>
                  </w:r>
                </w:p>
              </w:tc>
              <w:tc>
                <w:tcPr>
                  <w:tcW w:w="663" w:type="dxa"/>
                  <w:shd w:val="clear" w:color="auto" w:fill="auto"/>
                  <w:vAlign w:val="center"/>
                </w:tcPr>
                <w:p w14:paraId="5DC63CA8">
                  <w:pPr>
                    <w:keepNext w:val="0"/>
                    <w:keepLines w:val="0"/>
                    <w:widowControl/>
                    <w:suppressLineNumbers w:val="0"/>
                    <w:jc w:val="center"/>
                    <w:textAlignment w:val="center"/>
                    <w:rPr>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200</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 </w:t>
                  </w:r>
                </w:p>
              </w:tc>
              <w:tc>
                <w:tcPr>
                  <w:tcW w:w="662" w:type="dxa"/>
                  <w:shd w:val="clear" w:color="auto" w:fill="auto"/>
                  <w:vAlign w:val="center"/>
                </w:tcPr>
                <w:p w14:paraId="45CB0E18">
                  <w:pPr>
                    <w:keepNext w:val="0"/>
                    <w:keepLines w:val="0"/>
                    <w:widowControl/>
                    <w:suppressLineNumbers w:val="0"/>
                    <w:jc w:val="center"/>
                    <w:textAlignment w:val="center"/>
                    <w:rPr>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22</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 </w:t>
                  </w:r>
                </w:p>
              </w:tc>
              <w:tc>
                <w:tcPr>
                  <w:tcW w:w="654" w:type="dxa"/>
                  <w:shd w:val="clear" w:color="auto" w:fill="auto"/>
                  <w:vAlign w:val="center"/>
                </w:tcPr>
                <w:p w14:paraId="24C2BAB2">
                  <w:pPr>
                    <w:keepNext w:val="0"/>
                    <w:keepLines w:val="0"/>
                    <w:widowControl/>
                    <w:suppressLineNumbers w:val="0"/>
                    <w:jc w:val="center"/>
                    <w:textAlignment w:val="center"/>
                    <w:rPr>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0.0043 </w:t>
                  </w:r>
                </w:p>
              </w:tc>
              <w:tc>
                <w:tcPr>
                  <w:tcW w:w="690" w:type="dxa"/>
                  <w:shd w:val="clear" w:color="auto" w:fill="auto"/>
                  <w:vAlign w:val="center"/>
                </w:tcPr>
                <w:p w14:paraId="43F7E660">
                  <w:pPr>
                    <w:keepNext w:val="0"/>
                    <w:keepLines w:val="0"/>
                    <w:widowControl/>
                    <w:suppressLineNumbers w:val="0"/>
                    <w:jc w:val="center"/>
                    <w:textAlignment w:val="center"/>
                    <w:rPr>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集气罩</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布袋除尘器</w:t>
                  </w:r>
                </w:p>
              </w:tc>
              <w:tc>
                <w:tcPr>
                  <w:tcW w:w="420" w:type="dxa"/>
                  <w:shd w:val="clear" w:color="auto" w:fill="auto"/>
                  <w:vAlign w:val="center"/>
                </w:tcPr>
                <w:p w14:paraId="382B7D38">
                  <w:pPr>
                    <w:keepNext w:val="0"/>
                    <w:keepLines w:val="0"/>
                    <w:widowControl/>
                    <w:suppressLineNumbers w:val="0"/>
                    <w:jc w:val="center"/>
                    <w:textAlignment w:val="center"/>
                    <w:rPr>
                      <w:rFonts w:hint="default" w:eastAsia="宋体"/>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99</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600" w:type="dxa"/>
                  <w:shd w:val="clear" w:color="auto" w:fill="auto"/>
                  <w:vAlign w:val="center"/>
                </w:tcPr>
                <w:p w14:paraId="41A44063">
                  <w:pPr>
                    <w:keepNext w:val="0"/>
                    <w:keepLines w:val="0"/>
                    <w:widowControl/>
                    <w:suppressLineNumbers w:val="0"/>
                    <w:jc w:val="center"/>
                    <w:textAlignment w:val="center"/>
                    <w:rPr>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96</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 </w:t>
                  </w:r>
                </w:p>
              </w:tc>
              <w:tc>
                <w:tcPr>
                  <w:tcW w:w="660" w:type="dxa"/>
                  <w:shd w:val="clear" w:color="auto" w:fill="auto"/>
                  <w:vAlign w:val="center"/>
                </w:tcPr>
                <w:p w14:paraId="5E174003">
                  <w:pPr>
                    <w:keepNext w:val="0"/>
                    <w:keepLines w:val="0"/>
                    <w:widowControl/>
                    <w:suppressLineNumbers w:val="0"/>
                    <w:jc w:val="center"/>
                    <w:textAlignment w:val="center"/>
                    <w:rPr>
                      <w:color w:val="000000" w:themeColor="text1"/>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0.000017</w:t>
                  </w:r>
                </w:p>
              </w:tc>
              <w:tc>
                <w:tcPr>
                  <w:tcW w:w="645" w:type="dxa"/>
                  <w:shd w:val="clear" w:color="auto" w:fill="auto"/>
                  <w:vAlign w:val="center"/>
                </w:tcPr>
                <w:p w14:paraId="5AB27C93">
                  <w:pPr>
                    <w:keepNext w:val="0"/>
                    <w:keepLines w:val="0"/>
                    <w:widowControl/>
                    <w:suppressLineNumbers w:val="0"/>
                    <w:jc w:val="center"/>
                    <w:textAlignment w:val="center"/>
                    <w:rPr>
                      <w:color w:val="000000" w:themeColor="text1"/>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0.0000</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345</w:t>
                  </w:r>
                </w:p>
              </w:tc>
              <w:tc>
                <w:tcPr>
                  <w:tcW w:w="420" w:type="dxa"/>
                  <w:shd w:val="clear" w:color="auto" w:fill="auto"/>
                  <w:vAlign w:val="center"/>
                </w:tcPr>
                <w:p w14:paraId="63DA4DF4">
                  <w:pPr>
                    <w:keepNext w:val="0"/>
                    <w:keepLines w:val="0"/>
                    <w:widowControl/>
                    <w:suppressLineNumbers w:val="0"/>
                    <w:jc w:val="center"/>
                    <w:textAlignment w:val="center"/>
                    <w:rPr>
                      <w:rFonts w:hint="default" w:eastAsia="宋体"/>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30</w:t>
                  </w:r>
                </w:p>
              </w:tc>
              <w:tc>
                <w:tcPr>
                  <w:tcW w:w="420" w:type="dxa"/>
                  <w:shd w:val="clear" w:color="auto" w:fill="auto"/>
                  <w:vAlign w:val="center"/>
                </w:tcPr>
                <w:p w14:paraId="4116A42B">
                  <w:pPr>
                    <w:keepNext w:val="0"/>
                    <w:keepLines w:val="0"/>
                    <w:widowControl/>
                    <w:suppressLineNumbers w:val="0"/>
                    <w:jc w:val="center"/>
                    <w:textAlignment w:val="center"/>
                    <w:rPr>
                      <w:rFonts w:hint="default" w:eastAsia="宋体"/>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0.25</w:t>
                  </w:r>
                </w:p>
              </w:tc>
              <w:tc>
                <w:tcPr>
                  <w:tcW w:w="375" w:type="dxa"/>
                  <w:shd w:val="clear" w:color="auto" w:fill="auto"/>
                  <w:vAlign w:val="center"/>
                </w:tcPr>
                <w:p w14:paraId="6FB6F6BA">
                  <w:pPr>
                    <w:keepNext w:val="0"/>
                    <w:keepLines w:val="0"/>
                    <w:widowControl/>
                    <w:suppressLineNumbers w:val="0"/>
                    <w:jc w:val="center"/>
                    <w:textAlignment w:val="center"/>
                    <w:rPr>
                      <w:rFonts w:hint="default" w:eastAsia="宋体"/>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25</w:t>
                  </w:r>
                </w:p>
              </w:tc>
              <w:tc>
                <w:tcPr>
                  <w:tcW w:w="368" w:type="dxa"/>
                  <w:shd w:val="clear" w:color="auto" w:fill="auto"/>
                  <w:vAlign w:val="center"/>
                </w:tcPr>
                <w:p w14:paraId="5ED2E3C3">
                  <w:pPr>
                    <w:keepNext w:val="0"/>
                    <w:keepLines w:val="0"/>
                    <w:widowControl/>
                    <w:suppressLineNumbers w:val="0"/>
                    <w:jc w:val="center"/>
                    <w:textAlignment w:val="center"/>
                    <w:rPr>
                      <w:rFonts w:hint="eastAsia" w:eastAsia="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连续</w:t>
                  </w:r>
                </w:p>
              </w:tc>
            </w:tr>
          </w:tbl>
          <w:p w14:paraId="4976FA93">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eastAsia="宋体"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二</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有机废气</w:t>
            </w:r>
          </w:p>
          <w:p w14:paraId="494569D5">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本</w:t>
            </w:r>
            <w:r>
              <w:rPr>
                <w:rFonts w:hint="eastAsia" w:cs="宋体"/>
                <w:color w:val="000000" w:themeColor="text1"/>
                <w:sz w:val="24"/>
                <w:szCs w:val="32"/>
                <w:highlight w:val="none"/>
                <w14:textFill>
                  <w14:solidFill>
                    <w14:schemeClr w14:val="tx1"/>
                  </w14:solidFill>
                </w14:textFill>
              </w:rPr>
              <w:t>项目</w:t>
            </w:r>
            <w:r>
              <w:rPr>
                <w:rFonts w:hint="eastAsia" w:cs="宋体"/>
                <w:color w:val="000000" w:themeColor="text1"/>
                <w:sz w:val="24"/>
                <w:szCs w:val="32"/>
                <w:highlight w:val="none"/>
                <w:lang w:val="en-US" w:eastAsia="zh-CN"/>
                <w14:textFill>
                  <w14:solidFill>
                    <w14:schemeClr w14:val="tx1"/>
                  </w14:solidFill>
                </w14:textFill>
              </w:rPr>
              <w:t>产品1的</w:t>
            </w:r>
            <w:r>
              <w:rPr>
                <w:rFonts w:hint="eastAsia" w:cs="宋体"/>
                <w:color w:val="000000" w:themeColor="text1"/>
                <w:sz w:val="24"/>
                <w:szCs w:val="32"/>
                <w:highlight w:val="none"/>
                <w14:textFill>
                  <w14:solidFill>
                    <w14:schemeClr w14:val="tx1"/>
                  </w14:solidFill>
                </w14:textFill>
              </w:rPr>
              <w:t>清洗</w:t>
            </w:r>
            <w:r>
              <w:rPr>
                <w:rFonts w:hint="eastAsia" w:cs="宋体"/>
                <w:color w:val="000000" w:themeColor="text1"/>
                <w:sz w:val="24"/>
                <w:szCs w:val="32"/>
                <w:highlight w:val="none"/>
                <w:lang w:val="en-US" w:eastAsia="zh-CN"/>
                <w14:textFill>
                  <w14:solidFill>
                    <w14:schemeClr w14:val="tx1"/>
                  </w14:solidFill>
                </w14:textFill>
              </w:rPr>
              <w:t>检验</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装配、检测等环节，以及产品2的清洗、涂胶、烘烤、去残胶、清洁检测等环节，</w:t>
            </w:r>
            <w:r>
              <w:rPr>
                <w:rFonts w:hint="eastAsia" w:cs="宋体"/>
                <w:color w:val="000000" w:themeColor="text1"/>
                <w:sz w:val="24"/>
                <w:szCs w:val="32"/>
                <w:highlight w:val="none"/>
                <w14:textFill>
                  <w14:solidFill>
                    <w14:schemeClr w14:val="tx1"/>
                  </w14:solidFill>
                </w14:textFill>
              </w:rPr>
              <w:t>将产生有机废气（以非甲烷总烃计）。</w:t>
            </w:r>
          </w:p>
          <w:p w14:paraId="6824EA07">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1</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14:textFill>
                  <w14:solidFill>
                    <w14:schemeClr w14:val="tx1"/>
                  </w14:solidFill>
                </w14:textFill>
              </w:rPr>
              <w:t>清洗检验工段中超声波清洗环节使用清洗剂有机废气</w:t>
            </w:r>
          </w:p>
          <w:p w14:paraId="09DEC4A8">
            <w:pPr>
              <w:spacing w:line="360" w:lineRule="auto"/>
              <w:ind w:firstLine="480" w:firstLineChars="200"/>
              <w:rPr>
                <w:rFonts w:hint="eastAsia" w:eastAsia="宋体"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根据清洗剂理化性质可知，清洗剂挥发性有机物占比为60%～80%（本报告以70%计），由于清洗剂成分中脂肪</w:t>
            </w:r>
            <w:r>
              <w:rPr>
                <w:rFonts w:hint="eastAsia" w:cs="宋体"/>
                <w:color w:val="000000" w:themeColor="text1"/>
                <w:sz w:val="24"/>
                <w:szCs w:val="32"/>
                <w:highlight w:val="none"/>
                <w:lang w:val="en-US" w:eastAsia="zh-CN"/>
                <w14:textFill>
                  <w14:solidFill>
                    <w14:schemeClr w14:val="tx1"/>
                  </w14:solidFill>
                </w14:textFill>
              </w:rPr>
              <w:t>醚</w:t>
            </w:r>
            <w:r>
              <w:rPr>
                <w:rFonts w:hint="eastAsia" w:cs="宋体"/>
                <w:color w:val="000000" w:themeColor="text1"/>
                <w:sz w:val="24"/>
                <w:szCs w:val="32"/>
                <w:highlight w:val="none"/>
                <w14:textFill>
                  <w14:solidFill>
                    <w14:schemeClr w14:val="tx1"/>
                  </w14:solidFill>
                </w14:textFill>
              </w:rPr>
              <w:t>、脂肪醇的沸点较高，挥发性有机物</w:t>
            </w:r>
            <w:r>
              <w:rPr>
                <w:rFonts w:hint="eastAsia" w:cs="宋体"/>
                <w:color w:val="000000" w:themeColor="text1"/>
                <w:sz w:val="24"/>
                <w:szCs w:val="32"/>
                <w:highlight w:val="none"/>
                <w:lang w:val="en-US" w:eastAsia="zh-CN"/>
                <w14:textFill>
                  <w14:solidFill>
                    <w14:schemeClr w14:val="tx1"/>
                  </w14:solidFill>
                </w14:textFill>
              </w:rPr>
              <w:t>挥发率一般为15%～30%，</w:t>
            </w:r>
            <w:r>
              <w:rPr>
                <w:rFonts w:hint="eastAsia" w:cs="宋体"/>
                <w:color w:val="000000" w:themeColor="text1"/>
                <w:sz w:val="24"/>
                <w:szCs w:val="32"/>
                <w:highlight w:val="none"/>
                <w14:textFill>
                  <w14:solidFill>
                    <w14:schemeClr w14:val="tx1"/>
                  </w14:solidFill>
                </w14:textFill>
              </w:rPr>
              <w:t>本报告以最不利影响计（</w:t>
            </w:r>
            <w:r>
              <w:rPr>
                <w:rFonts w:hint="eastAsia" w:cs="宋体"/>
                <w:color w:val="000000" w:themeColor="text1"/>
                <w:sz w:val="24"/>
                <w:szCs w:val="32"/>
                <w:highlight w:val="none"/>
                <w:lang w:val="en-US" w:eastAsia="zh-CN"/>
                <w14:textFill>
                  <w14:solidFill>
                    <w14:schemeClr w14:val="tx1"/>
                  </w14:solidFill>
                </w14:textFill>
              </w:rPr>
              <w:t>3</w:t>
            </w:r>
            <w:r>
              <w:rPr>
                <w:rFonts w:hint="eastAsia" w:cs="宋体"/>
                <w:color w:val="000000" w:themeColor="text1"/>
                <w:sz w:val="24"/>
                <w:szCs w:val="32"/>
                <w:highlight w:val="none"/>
                <w14:textFill>
                  <w14:solidFill>
                    <w14:schemeClr w14:val="tx1"/>
                  </w14:solidFill>
                </w14:textFill>
              </w:rPr>
              <w:t>0%挥发），项目清洗剂用量为</w:t>
            </w:r>
            <w:r>
              <w:rPr>
                <w:rFonts w:hint="eastAsia" w:cs="宋体"/>
                <w:color w:val="000000" w:themeColor="text1"/>
                <w:sz w:val="24"/>
                <w:szCs w:val="32"/>
                <w:highlight w:val="none"/>
                <w:lang w:val="en-US" w:eastAsia="zh-CN"/>
                <w14:textFill>
                  <w14:solidFill>
                    <w14:schemeClr w14:val="tx1"/>
                  </w14:solidFill>
                </w14:textFill>
              </w:rPr>
              <w:t>12</w:t>
            </w:r>
            <w:r>
              <w:rPr>
                <w:rFonts w:hint="eastAsia" w:cs="宋体"/>
                <w:color w:val="000000" w:themeColor="text1"/>
                <w:sz w:val="24"/>
                <w:szCs w:val="32"/>
                <w:highlight w:val="none"/>
                <w14:textFill>
                  <w14:solidFill>
                    <w14:schemeClr w14:val="tx1"/>
                  </w14:solidFill>
                </w14:textFill>
              </w:rPr>
              <w:t>t/a，则产生的有机废气为</w:t>
            </w:r>
            <w:r>
              <w:rPr>
                <w:rFonts w:hint="eastAsia" w:cs="宋体"/>
                <w:color w:val="000000" w:themeColor="text1"/>
                <w:sz w:val="24"/>
                <w:szCs w:val="32"/>
                <w:highlight w:val="none"/>
                <w:lang w:val="en-US" w:eastAsia="zh-CN"/>
                <w14:textFill>
                  <w14:solidFill>
                    <w14:schemeClr w14:val="tx1"/>
                  </w14:solidFill>
                </w14:textFill>
              </w:rPr>
              <w:t>2.52</w:t>
            </w:r>
            <w:r>
              <w:rPr>
                <w:rFonts w:hint="eastAsia" w:cs="宋体"/>
                <w:color w:val="000000" w:themeColor="text1"/>
                <w:sz w:val="24"/>
                <w:szCs w:val="32"/>
                <w:highlight w:val="none"/>
                <w14:textFill>
                  <w14:solidFill>
                    <w14:schemeClr w14:val="tx1"/>
                  </w14:solidFill>
                </w14:textFill>
              </w:rPr>
              <w:t>t/a。</w:t>
            </w:r>
          </w:p>
          <w:p w14:paraId="26ED7C03">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（2）胶装工段使用胶水有机废气</w:t>
            </w:r>
          </w:p>
          <w:p w14:paraId="5F47D711">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参照《排放源统计调查产排污核算方法和系数手册》—机械行业系数手册粘接工序中的产排污系数表，粘接过程产污系数为60kg/t-原料，本项目胶水总用量为2.835kg/a，则有机废气产生量为0.0002t/a。</w:t>
            </w:r>
          </w:p>
          <w:p w14:paraId="739C39B3">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（3）产品1检测工段使用无水乙醇、无水乙醚、丙酮过程产生的有机废气</w:t>
            </w:r>
          </w:p>
          <w:p w14:paraId="42DE08C8">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检测过程使用有机溶剂（无水乙醇、无水乙醚、丙酮）产生的有机废气， 本报告以最不利影响计（100%挥发），检测环节使用的无水乙醇、无水乙醚、丙酮用量分别为2t/a、0.3t/a、1t/a，则产生的有机废气为3.3t/a。</w:t>
            </w:r>
          </w:p>
          <w:p w14:paraId="0AEC19D3">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（4）产品2清洗、去残胶、清洁检测工段使用无水乙醇、无水乙醚、丙酮等产生的有机废气</w:t>
            </w:r>
          </w:p>
          <w:p w14:paraId="7D28C030">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产品2清洗、去残胶、清洁检测工段使用有机溶剂（无水乙醇、无水乙醚、丙酮）产生的有机废气，本报告以最不利影响计（100%挥发），上述环节使用的无水乙醇、无水乙醚、丙酮用量分别为0.3t/a、0.3t/a、0.2t/a，则产生的有机废气为0.8t/a。</w:t>
            </w:r>
          </w:p>
          <w:p w14:paraId="0D12271B">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去残胶过程使用的NMP沸点＞200℃，去残胶在常温下进行，故不考虑 NMP的挥发。</w:t>
            </w:r>
          </w:p>
          <w:p w14:paraId="3E84705E">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（5）产品2涂胶、烘烤工段使用AZ光刻胶、增粘剂六甲基二硅杂氮烷、稀释剂1,2-丙二醇甲醚醋酸酯产生的有机废气</w:t>
            </w:r>
          </w:p>
          <w:p w14:paraId="1BF731F3">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光刻胶主要成分为酚醛树脂和丙二醇甲醚乙酸酯，其中丙二醇甲醚乙酸酯沸点在146℃左右，含量约占80%。年使用量50L，密度0.966g/cm</w:t>
            </w:r>
            <w:r>
              <w:rPr>
                <w:rFonts w:hint="eastAsia" w:cs="宋体"/>
                <w:color w:val="000000" w:themeColor="text1"/>
                <w:sz w:val="24"/>
                <w:szCs w:val="32"/>
                <w:highlight w:val="none"/>
                <w:vertAlign w:val="superscript"/>
                <w:lang w:val="en-US" w:eastAsia="zh-CN"/>
                <w14:textFill>
                  <w14:solidFill>
                    <w14:schemeClr w14:val="tx1"/>
                  </w14:solidFill>
                </w14:textFill>
              </w:rPr>
              <w:t>3</w:t>
            </w:r>
            <w:r>
              <w:rPr>
                <w:rFonts w:hint="eastAsia" w:cs="宋体"/>
                <w:color w:val="000000" w:themeColor="text1"/>
                <w:sz w:val="24"/>
                <w:szCs w:val="32"/>
                <w:highlight w:val="none"/>
                <w:lang w:val="en-US" w:eastAsia="zh-CN"/>
                <w14:textFill>
                  <w14:solidFill>
                    <w14:schemeClr w14:val="tx1"/>
                  </w14:solidFill>
                </w14:textFill>
              </w:rPr>
              <w:t>，经折算使用量0.0483t/a，挥发性有机物含量为0.0386t/a。</w:t>
            </w:r>
          </w:p>
          <w:p w14:paraId="51D72989">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增粘剂成分为六甲基二硅胺烷，沸点在126℃左右。年使用量5L，密度0.774g/cm</w:t>
            </w:r>
            <w:r>
              <w:rPr>
                <w:rFonts w:hint="eastAsia" w:cs="宋体"/>
                <w:color w:val="000000" w:themeColor="text1"/>
                <w:sz w:val="24"/>
                <w:szCs w:val="32"/>
                <w:highlight w:val="none"/>
                <w:vertAlign w:val="superscript"/>
                <w:lang w:val="en-US" w:eastAsia="zh-CN"/>
                <w14:textFill>
                  <w14:solidFill>
                    <w14:schemeClr w14:val="tx1"/>
                  </w14:solidFill>
                </w14:textFill>
              </w:rPr>
              <w:t>3</w:t>
            </w:r>
            <w:r>
              <w:rPr>
                <w:rFonts w:hint="eastAsia" w:cs="宋体"/>
                <w:color w:val="000000" w:themeColor="text1"/>
                <w:sz w:val="24"/>
                <w:szCs w:val="32"/>
                <w:highlight w:val="none"/>
                <w:lang w:val="en-US" w:eastAsia="zh-CN"/>
                <w14:textFill>
                  <w14:solidFill>
                    <w14:schemeClr w14:val="tx1"/>
                  </w14:solidFill>
                </w14:textFill>
              </w:rPr>
              <w:t>，经折算使用量0.00387t/a。</w:t>
            </w:r>
          </w:p>
          <w:p w14:paraId="1B1B718C">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稀释剂成分为1,2-丙二醇甲醚醋酸酯，沸点在146℃左右。年使用量20L，密度0.96g/cm</w:t>
            </w:r>
            <w:r>
              <w:rPr>
                <w:rFonts w:hint="eastAsia" w:cs="宋体"/>
                <w:color w:val="000000" w:themeColor="text1"/>
                <w:sz w:val="24"/>
                <w:szCs w:val="32"/>
                <w:highlight w:val="none"/>
                <w:vertAlign w:val="superscript"/>
                <w:lang w:val="en-US" w:eastAsia="zh-CN"/>
                <w14:textFill>
                  <w14:solidFill>
                    <w14:schemeClr w14:val="tx1"/>
                  </w14:solidFill>
                </w14:textFill>
              </w:rPr>
              <w:t>3</w:t>
            </w:r>
            <w:r>
              <w:rPr>
                <w:rFonts w:hint="eastAsia" w:cs="宋体"/>
                <w:color w:val="000000" w:themeColor="text1"/>
                <w:sz w:val="24"/>
                <w:szCs w:val="32"/>
                <w:highlight w:val="none"/>
                <w:lang w:val="en-US" w:eastAsia="zh-CN"/>
                <w14:textFill>
                  <w14:solidFill>
                    <w14:schemeClr w14:val="tx1"/>
                  </w14:solidFill>
                </w14:textFill>
              </w:rPr>
              <w:t>，经折算使用量0.0192t/a。</w:t>
            </w:r>
          </w:p>
          <w:p w14:paraId="4FEEBC68">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涂胶、烘烤环节上述原辅料残留约20%～30%于光刻胶干膜中，未残留的70%～80%按照涂胶、烘烤环节全部挥发考虑，本次评价按保守未残留的80%全部挥发考虑，则产生的有机废气为0.0494t/a。</w:t>
            </w:r>
          </w:p>
          <w:p w14:paraId="2ED3A266">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上述（1）~（5）有机废气污染物产生量合计为6.6694t/a。</w:t>
            </w:r>
          </w:p>
          <w:p w14:paraId="66319045">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（6）收集效率、处理效率及排放量</w:t>
            </w:r>
          </w:p>
          <w:p w14:paraId="7ADE6113">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收集效率：</w:t>
            </w:r>
            <w:r>
              <w:rPr>
                <w:rFonts w:hint="eastAsia" w:cs="宋体"/>
                <w:color w:val="000000" w:themeColor="text1"/>
                <w:sz w:val="24"/>
                <w:szCs w:val="32"/>
                <w:highlight w:val="none"/>
                <w14:textFill>
                  <w14:solidFill>
                    <w14:schemeClr w14:val="tx1"/>
                  </w14:solidFill>
                </w14:textFill>
              </w:rPr>
              <w:t>本项目车间除出入外，其他均为密闭，</w:t>
            </w:r>
            <w:r>
              <w:rPr>
                <w:rFonts w:hint="eastAsia" w:cs="宋体"/>
                <w:color w:val="000000" w:themeColor="text1"/>
                <w:sz w:val="24"/>
                <w:szCs w:val="32"/>
                <w:highlight w:val="none"/>
                <w:lang w:val="en-US" w:eastAsia="zh-CN"/>
                <w14:textFill>
                  <w14:solidFill>
                    <w14:schemeClr w14:val="tx1"/>
                  </w14:solidFill>
                </w14:textFill>
              </w:rPr>
              <w:t>集气罩负压收集，</w:t>
            </w:r>
            <w:r>
              <w:rPr>
                <w:rFonts w:hint="eastAsia" w:cs="宋体"/>
                <w:color w:val="000000" w:themeColor="text1"/>
                <w:sz w:val="24"/>
                <w:szCs w:val="32"/>
                <w:highlight w:val="none"/>
                <w14:textFill>
                  <w14:solidFill>
                    <w14:schemeClr w14:val="tx1"/>
                  </w14:solidFill>
                </w14:textFill>
              </w:rPr>
              <w:t>要求废气收集系统与生产设备自动同步启动</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根据《主要污染物总量减排核算技术指南（2022年修订）》，密闭式集气罩负压收集效率为90%；因此本项目有机废气无组织排放量为0.6669</w:t>
            </w:r>
            <w:r>
              <w:rPr>
                <w:rFonts w:hint="eastAsia" w:cs="宋体"/>
                <w:color w:val="000000" w:themeColor="text1"/>
                <w:sz w:val="24"/>
                <w:szCs w:val="32"/>
                <w:highlight w:val="none"/>
                <w14:textFill>
                  <w14:solidFill>
                    <w14:schemeClr w14:val="tx1"/>
                  </w14:solidFill>
                </w14:textFill>
              </w:rPr>
              <w:t>t/a</w:t>
            </w:r>
            <w:r>
              <w:rPr>
                <w:rFonts w:hint="eastAsia" w:cs="宋体"/>
                <w:color w:val="000000" w:themeColor="text1"/>
                <w:sz w:val="24"/>
                <w:szCs w:val="32"/>
                <w:highlight w:val="none"/>
                <w:lang w:eastAsia="zh-CN"/>
                <w14:textFill>
                  <w14:solidFill>
                    <w14:schemeClr w14:val="tx1"/>
                  </w14:solidFill>
                </w14:textFill>
              </w:rPr>
              <w:t>。</w:t>
            </w:r>
          </w:p>
          <w:p w14:paraId="780DE126">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处理效率：本项目采用</w:t>
            </w:r>
            <w:r>
              <w:rPr>
                <w:rFonts w:hint="eastAsia" w:cs="宋体"/>
                <w:color w:val="000000" w:themeColor="text1"/>
                <w:sz w:val="24"/>
                <w:szCs w:val="32"/>
                <w:highlight w:val="none"/>
                <w:lang w:val="en-US" w:eastAsia="zh-CN"/>
                <w14:textFill>
                  <w14:solidFill>
                    <w14:schemeClr w14:val="tx1"/>
                  </w14:solidFill>
                </w14:textFill>
              </w:rPr>
              <w:t>密闭式</w:t>
            </w:r>
            <w:r>
              <w:rPr>
                <w:rFonts w:hint="eastAsia" w:cs="宋体"/>
                <w:color w:val="000000" w:themeColor="text1"/>
                <w:sz w:val="24"/>
                <w:szCs w:val="32"/>
                <w:highlight w:val="none"/>
                <w14:textFill>
                  <w14:solidFill>
                    <w14:schemeClr w14:val="tx1"/>
                  </w14:solidFill>
                </w14:textFill>
              </w:rPr>
              <w:t>集气罩</w:t>
            </w:r>
            <w:r>
              <w:rPr>
                <w:rFonts w:hint="eastAsia" w:cs="宋体"/>
                <w:color w:val="000000" w:themeColor="text1"/>
                <w:sz w:val="24"/>
                <w:szCs w:val="32"/>
                <w:highlight w:val="none"/>
                <w:lang w:val="en-US" w:eastAsia="zh-CN"/>
                <w14:textFill>
                  <w14:solidFill>
                    <w14:schemeClr w14:val="tx1"/>
                  </w14:solidFill>
                </w14:textFill>
              </w:rPr>
              <w:t>负压收集</w:t>
            </w:r>
            <w:r>
              <w:rPr>
                <w:rFonts w:hint="eastAsia" w:cs="宋体"/>
                <w:color w:val="000000" w:themeColor="text1"/>
                <w:sz w:val="24"/>
                <w:szCs w:val="32"/>
                <w:highlight w:val="none"/>
                <w14:textFill>
                  <w14:solidFill>
                    <w14:schemeClr w14:val="tx1"/>
                  </w14:solidFill>
                </w14:textFill>
              </w:rPr>
              <w:t>+二级活性炭吸附处理产生的废气。</w:t>
            </w:r>
            <w:r>
              <w:rPr>
                <w:rFonts w:hint="eastAsia" w:cs="宋体"/>
                <w:color w:val="000000" w:themeColor="text1"/>
                <w:sz w:val="24"/>
                <w:szCs w:val="32"/>
                <w:highlight w:val="none"/>
                <w:lang w:val="en-US" w:eastAsia="zh-CN"/>
                <w14:textFill>
                  <w14:solidFill>
                    <w14:schemeClr w14:val="tx1"/>
                  </w14:solidFill>
                </w14:textFill>
              </w:rPr>
              <w:t>参照《深圳市工业有机废气治理用活性炭更换技术指引(试行)》(深环办〔2023〕66号)附录A的工业有机废气治理用活性炭技术指标及试验方法，活性炭单级吸附效率为60%；本项目有机废气主要利用二级活性炭吸附处理，则本项目采用的二级活性炭吸附总处理效率为1-(1-60%)×(1-60%)=84%。</w:t>
            </w:r>
          </w:p>
          <w:p w14:paraId="34871209">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各股有机废气经各自集气罩收集后合并引至“二级活性炭吸附装置”处理后由一根30米高排气筒排放。本项目所在1#厂房共4层，建筑总高度23.4m，排气筒高出建筑物6.6m。</w:t>
            </w:r>
          </w:p>
          <w:p w14:paraId="2C1CEEE4">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本项目</w:t>
            </w:r>
            <w:r>
              <w:rPr>
                <w:rFonts w:hint="eastAsia" w:cs="宋体"/>
                <w:color w:val="000000" w:themeColor="text1"/>
                <w:sz w:val="24"/>
                <w:szCs w:val="32"/>
                <w:highlight w:val="none"/>
                <w:lang w:val="en-US" w:eastAsia="zh-CN"/>
                <w14:textFill>
                  <w14:solidFill>
                    <w14:schemeClr w14:val="tx1"/>
                  </w14:solidFill>
                </w14:textFill>
              </w:rPr>
              <w:t>产品1的</w:t>
            </w:r>
            <w:r>
              <w:rPr>
                <w:rFonts w:hint="eastAsia" w:cs="宋体"/>
                <w:color w:val="000000" w:themeColor="text1"/>
                <w:sz w:val="24"/>
                <w:szCs w:val="32"/>
                <w:highlight w:val="none"/>
                <w14:textFill>
                  <w14:solidFill>
                    <w14:schemeClr w14:val="tx1"/>
                  </w14:solidFill>
                </w14:textFill>
              </w:rPr>
              <w:t>清洗</w:t>
            </w:r>
            <w:r>
              <w:rPr>
                <w:rFonts w:hint="eastAsia" w:cs="宋体"/>
                <w:color w:val="000000" w:themeColor="text1"/>
                <w:sz w:val="24"/>
                <w:szCs w:val="32"/>
                <w:highlight w:val="none"/>
                <w:lang w:val="en-US" w:eastAsia="zh-CN"/>
                <w14:textFill>
                  <w14:solidFill>
                    <w14:schemeClr w14:val="tx1"/>
                  </w14:solidFill>
                </w14:textFill>
              </w:rPr>
              <w:t>检验</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装配、检测等环节，以及产品2的清洗、涂胶、烘烤、去残胶、清洁检测等环节，</w:t>
            </w:r>
            <w:r>
              <w:rPr>
                <w:rFonts w:hint="eastAsia" w:cs="宋体"/>
                <w:color w:val="000000" w:themeColor="text1"/>
                <w:sz w:val="24"/>
                <w:szCs w:val="32"/>
                <w:highlight w:val="none"/>
                <w14:textFill>
                  <w14:solidFill>
                    <w14:schemeClr w14:val="tx1"/>
                  </w14:solidFill>
                </w14:textFill>
              </w:rPr>
              <w:t>均</w:t>
            </w:r>
            <w:r>
              <w:rPr>
                <w:rFonts w:hint="eastAsia" w:cs="宋体"/>
                <w:color w:val="000000" w:themeColor="text1"/>
                <w:sz w:val="24"/>
                <w:szCs w:val="32"/>
                <w:highlight w:val="none"/>
                <w:lang w:val="en-US" w:eastAsia="zh-CN"/>
                <w14:textFill>
                  <w14:solidFill>
                    <w14:schemeClr w14:val="tx1"/>
                  </w14:solidFill>
                </w14:textFill>
              </w:rPr>
              <w:t>采用硬质隔断，</w:t>
            </w:r>
            <w:r>
              <w:rPr>
                <w:rFonts w:hint="eastAsia" w:cs="宋体"/>
                <w:color w:val="000000" w:themeColor="text1"/>
                <w:sz w:val="24"/>
                <w:szCs w:val="32"/>
                <w:highlight w:val="none"/>
                <w14:textFill>
                  <w14:solidFill>
                    <w14:schemeClr w14:val="tx1"/>
                  </w14:solidFill>
                </w14:textFill>
              </w:rPr>
              <w:t>单独</w:t>
            </w:r>
            <w:r>
              <w:rPr>
                <w:rFonts w:hint="eastAsia" w:cs="宋体"/>
                <w:color w:val="000000" w:themeColor="text1"/>
                <w:sz w:val="24"/>
                <w:szCs w:val="32"/>
                <w:highlight w:val="none"/>
                <w:lang w:val="en-US" w:eastAsia="zh-CN"/>
                <w14:textFill>
                  <w14:solidFill>
                    <w14:schemeClr w14:val="tx1"/>
                  </w14:solidFill>
                </w14:textFill>
              </w:rPr>
              <w:t>操作间；</w:t>
            </w:r>
            <w:r>
              <w:rPr>
                <w:rFonts w:hint="eastAsia" w:cs="宋体"/>
                <w:color w:val="000000" w:themeColor="text1"/>
                <w:sz w:val="24"/>
                <w:szCs w:val="32"/>
                <w:highlight w:val="none"/>
                <w14:textFill>
                  <w14:solidFill>
                    <w14:schemeClr w14:val="tx1"/>
                  </w14:solidFill>
                </w14:textFill>
              </w:rPr>
              <w:t>项目拟在</w:t>
            </w:r>
            <w:r>
              <w:rPr>
                <w:rFonts w:hint="eastAsia" w:cs="宋体"/>
                <w:color w:val="000000" w:themeColor="text1"/>
                <w:sz w:val="24"/>
                <w:szCs w:val="32"/>
                <w:highlight w:val="none"/>
                <w:lang w:val="en-US" w:eastAsia="zh-CN"/>
                <w14:textFill>
                  <w14:solidFill>
                    <w14:schemeClr w14:val="tx1"/>
                  </w14:solidFill>
                </w14:textFill>
              </w:rPr>
              <w:t>各环节</w:t>
            </w:r>
            <w:r>
              <w:rPr>
                <w:rFonts w:hint="eastAsia" w:cs="宋体"/>
                <w:color w:val="000000" w:themeColor="text1"/>
                <w:sz w:val="24"/>
                <w:szCs w:val="32"/>
                <w:highlight w:val="none"/>
                <w14:textFill>
                  <w14:solidFill>
                    <w14:schemeClr w14:val="tx1"/>
                  </w14:solidFill>
                </w14:textFill>
              </w:rPr>
              <w:t>上方设置集气罩收集</w:t>
            </w:r>
            <w:r>
              <w:rPr>
                <w:rFonts w:hint="eastAsia" w:cs="宋体"/>
                <w:color w:val="000000" w:themeColor="text1"/>
                <w:sz w:val="24"/>
                <w:szCs w:val="32"/>
                <w:highlight w:val="none"/>
                <w:lang w:val="en-US" w:eastAsia="zh-CN"/>
                <w14:textFill>
                  <w14:solidFill>
                    <w14:schemeClr w14:val="tx1"/>
                  </w14:solidFill>
                </w14:textFill>
              </w:rPr>
              <w:t>有机废气</w:t>
            </w:r>
            <w:r>
              <w:rPr>
                <w:rFonts w:hint="eastAsia" w:cs="宋体"/>
                <w:color w:val="000000" w:themeColor="text1"/>
                <w:sz w:val="24"/>
                <w:szCs w:val="32"/>
                <w:highlight w:val="none"/>
                <w14:textFill>
                  <w14:solidFill>
                    <w14:schemeClr w14:val="tx1"/>
                  </w14:solidFill>
                </w14:textFill>
              </w:rPr>
              <w:t>，采用</w:t>
            </w:r>
            <w:r>
              <w:rPr>
                <w:rFonts w:hint="eastAsia" w:cs="宋体"/>
                <w:color w:val="000000" w:themeColor="text1"/>
                <w:sz w:val="24"/>
                <w:szCs w:val="32"/>
                <w:highlight w:val="none"/>
                <w:lang w:val="en-US" w:eastAsia="zh-CN"/>
                <w14:textFill>
                  <w14:solidFill>
                    <w14:schemeClr w14:val="tx1"/>
                  </w14:solidFill>
                </w14:textFill>
              </w:rPr>
              <w:t>局部</w:t>
            </w:r>
            <w:r>
              <w:rPr>
                <w:rFonts w:hint="eastAsia" w:cs="宋体"/>
                <w:color w:val="000000" w:themeColor="text1"/>
                <w:sz w:val="24"/>
                <w:szCs w:val="32"/>
                <w:highlight w:val="none"/>
                <w14:textFill>
                  <w14:solidFill>
                    <w14:schemeClr w14:val="tx1"/>
                  </w14:solidFill>
                </w14:textFill>
              </w:rPr>
              <w:t>顶吸式收集方式。本项目</w:t>
            </w:r>
            <w:r>
              <w:rPr>
                <w:rFonts w:hint="eastAsia" w:cs="宋体"/>
                <w:color w:val="000000" w:themeColor="text1"/>
                <w:sz w:val="24"/>
                <w:szCs w:val="32"/>
                <w:highlight w:val="none"/>
                <w:lang w:val="en-US" w:eastAsia="zh-CN"/>
                <w14:textFill>
                  <w14:solidFill>
                    <w14:schemeClr w14:val="tx1"/>
                  </w14:solidFill>
                </w14:textFill>
              </w:rPr>
              <w:t>有机废气收集</w:t>
            </w:r>
            <w:r>
              <w:rPr>
                <w:rFonts w:hint="eastAsia" w:cs="宋体"/>
                <w:color w:val="000000" w:themeColor="text1"/>
                <w:sz w:val="24"/>
                <w:szCs w:val="32"/>
                <w:highlight w:val="none"/>
                <w14:textFill>
                  <w14:solidFill>
                    <w14:schemeClr w14:val="tx1"/>
                  </w14:solidFill>
                </w14:textFill>
              </w:rPr>
              <w:t>设施设计风机风量为</w:t>
            </w:r>
            <w:r>
              <w:rPr>
                <w:rFonts w:hint="eastAsia" w:cs="宋体"/>
                <w:color w:val="000000" w:themeColor="text1"/>
                <w:sz w:val="24"/>
                <w:szCs w:val="32"/>
                <w:highlight w:val="none"/>
                <w:lang w:val="en-US" w:eastAsia="zh-CN"/>
                <w14:textFill>
                  <w14:solidFill>
                    <w14:schemeClr w14:val="tx1"/>
                  </w14:solidFill>
                </w14:textFill>
              </w:rPr>
              <w:t>72</w:t>
            </w:r>
            <w:r>
              <w:rPr>
                <w:rFonts w:hint="eastAsia" w:cs="宋体"/>
                <w:color w:val="000000" w:themeColor="text1"/>
                <w:sz w:val="24"/>
                <w:szCs w:val="32"/>
                <w:highlight w:val="none"/>
                <w14:textFill>
                  <w14:solidFill>
                    <w14:schemeClr w14:val="tx1"/>
                  </w14:solidFill>
                </w14:textFill>
              </w:rPr>
              <w:t>00m</w:t>
            </w:r>
            <w:r>
              <w:rPr>
                <w:rFonts w:hint="eastAsia" w:cs="宋体"/>
                <w:color w:val="000000" w:themeColor="text1"/>
                <w:sz w:val="24"/>
                <w:szCs w:val="32"/>
                <w:highlight w:val="none"/>
                <w:vertAlign w:val="superscript"/>
                <w14:textFill>
                  <w14:solidFill>
                    <w14:schemeClr w14:val="tx1"/>
                  </w14:solidFill>
                </w14:textFill>
              </w:rPr>
              <w:t>3</w:t>
            </w:r>
            <w:r>
              <w:rPr>
                <w:rFonts w:hint="eastAsia" w:cs="宋体"/>
                <w:color w:val="000000" w:themeColor="text1"/>
                <w:sz w:val="24"/>
                <w:szCs w:val="32"/>
                <w:highlight w:val="none"/>
                <w14:textFill>
                  <w14:solidFill>
                    <w14:schemeClr w14:val="tx1"/>
                  </w14:solidFill>
                </w14:textFill>
              </w:rPr>
              <w:t>/h，</w:t>
            </w:r>
            <w:r>
              <w:rPr>
                <w:rFonts w:hint="eastAsia" w:cs="宋体"/>
                <w:color w:val="000000" w:themeColor="text1"/>
                <w:sz w:val="24"/>
                <w:szCs w:val="32"/>
                <w:highlight w:val="none"/>
                <w:lang w:val="en-US" w:eastAsia="zh-CN"/>
                <w14:textFill>
                  <w14:solidFill>
                    <w14:schemeClr w14:val="tx1"/>
                  </w14:solidFill>
                </w14:textFill>
              </w:rPr>
              <w:t>局部换风体积550</w:t>
            </w:r>
            <w:r>
              <w:rPr>
                <w:rFonts w:hint="eastAsia" w:cs="宋体"/>
                <w:color w:val="000000" w:themeColor="text1"/>
                <w:sz w:val="24"/>
                <w:szCs w:val="32"/>
                <w:highlight w:val="none"/>
                <w14:textFill>
                  <w14:solidFill>
                    <w14:schemeClr w14:val="tx1"/>
                  </w14:solidFill>
                </w14:textFill>
              </w:rPr>
              <w:t>m</w:t>
            </w:r>
            <w:r>
              <w:rPr>
                <w:rFonts w:hint="eastAsia" w:cs="宋体"/>
                <w:color w:val="000000" w:themeColor="text1"/>
                <w:sz w:val="24"/>
                <w:szCs w:val="32"/>
                <w:highlight w:val="none"/>
                <w:vertAlign w:val="superscript"/>
                <w14:textFill>
                  <w14:solidFill>
                    <w14:schemeClr w14:val="tx1"/>
                  </w14:solidFill>
                </w14:textFill>
              </w:rPr>
              <w:t>3</w:t>
            </w:r>
            <w:r>
              <w:rPr>
                <w:rFonts w:hint="eastAsia" w:cs="宋体"/>
                <w:color w:val="000000" w:themeColor="text1"/>
                <w:sz w:val="24"/>
                <w:szCs w:val="32"/>
                <w:highlight w:val="none"/>
                <w14:textFill>
                  <w14:solidFill>
                    <w14:schemeClr w14:val="tx1"/>
                  </w14:solidFill>
                </w14:textFill>
              </w:rPr>
              <w:t>/h</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每小时换风次数12次，</w:t>
            </w:r>
            <w:r>
              <w:rPr>
                <w:rFonts w:hint="eastAsia" w:cs="宋体"/>
                <w:color w:val="000000" w:themeColor="text1"/>
                <w:sz w:val="24"/>
                <w:szCs w:val="32"/>
                <w:highlight w:val="none"/>
                <w14:textFill>
                  <w14:solidFill>
                    <w14:schemeClr w14:val="tx1"/>
                  </w14:solidFill>
                </w14:textFill>
              </w:rPr>
              <w:t>可满足收集要求</w:t>
            </w:r>
            <w:r>
              <w:rPr>
                <w:rFonts w:hint="eastAsia" w:cs="宋体"/>
                <w:color w:val="000000" w:themeColor="text1"/>
                <w:sz w:val="24"/>
                <w:szCs w:val="32"/>
                <w:highlight w:val="none"/>
                <w:lang w:eastAsia="zh-CN"/>
                <w14:textFill>
                  <w14:solidFill>
                    <w14:schemeClr w14:val="tx1"/>
                  </w14:solidFill>
                </w14:textFill>
              </w:rPr>
              <w:t>。</w:t>
            </w:r>
          </w:p>
          <w:p w14:paraId="27C8AFB2">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本项目年工作时长按2000h，因此本项目有机废气产生与排放情况见下表。</w:t>
            </w:r>
          </w:p>
          <w:p w14:paraId="2109B167">
            <w:pPr>
              <w:spacing w:line="360" w:lineRule="auto"/>
              <w:jc w:val="center"/>
              <w:rPr>
                <w:rFonts w:ascii="宋体" w:cs="宋体"/>
                <w:b/>
                <w:bCs w:val="0"/>
                <w:color w:val="000000" w:themeColor="text1"/>
                <w:kern w:val="0"/>
                <w:sz w:val="24"/>
                <w:szCs w:val="24"/>
                <w:highlight w:val="none"/>
                <w14:textFill>
                  <w14:solidFill>
                    <w14:schemeClr w14:val="tx1"/>
                  </w14:solidFill>
                </w14:textFill>
              </w:rPr>
            </w:pPr>
            <w:r>
              <w:rPr>
                <w:rFonts w:hint="eastAsia" w:cs="宋体"/>
                <w:b/>
                <w:bCs w:val="0"/>
                <w:color w:val="000000" w:themeColor="text1"/>
                <w:sz w:val="24"/>
                <w:szCs w:val="24"/>
                <w:highlight w:val="none"/>
                <w14:textFill>
                  <w14:solidFill>
                    <w14:schemeClr w14:val="tx1"/>
                  </w14:solidFill>
                </w14:textFill>
              </w:rPr>
              <w:t xml:space="preserve">表 </w:t>
            </w:r>
            <w:r>
              <w:rPr>
                <w:b/>
                <w:bCs w:val="0"/>
                <w:color w:val="000000" w:themeColor="text1"/>
                <w:sz w:val="24"/>
                <w:szCs w:val="24"/>
                <w:highlight w:val="none"/>
                <w14:textFill>
                  <w14:solidFill>
                    <w14:schemeClr w14:val="tx1"/>
                  </w14:solidFill>
                </w14:textFill>
              </w:rPr>
              <w:t>4</w:t>
            </w:r>
            <w:r>
              <w:rPr>
                <w:rFonts w:hint="eastAsia"/>
                <w:b/>
                <w:bCs w:val="0"/>
                <w:color w:val="000000" w:themeColor="text1"/>
                <w:sz w:val="24"/>
                <w:szCs w:val="24"/>
                <w:highlight w:val="none"/>
                <w:lang w:val="en-US" w:eastAsia="zh-CN"/>
                <w14:textFill>
                  <w14:solidFill>
                    <w14:schemeClr w14:val="tx1"/>
                  </w14:solidFill>
                </w14:textFill>
              </w:rPr>
              <w:t>.1</w:t>
            </w:r>
            <w:r>
              <w:rPr>
                <w:b/>
                <w:bCs w:val="0"/>
                <w:color w:val="000000" w:themeColor="text1"/>
                <w:sz w:val="24"/>
                <w:szCs w:val="24"/>
                <w:highlight w:val="none"/>
                <w14:textFill>
                  <w14:solidFill>
                    <w14:schemeClr w14:val="tx1"/>
                  </w14:solidFill>
                </w14:textFill>
              </w:rPr>
              <w:t>-</w:t>
            </w:r>
            <w:r>
              <w:rPr>
                <w:rFonts w:hint="eastAsia"/>
                <w:b/>
                <w:bCs w:val="0"/>
                <w:color w:val="000000" w:themeColor="text1"/>
                <w:sz w:val="24"/>
                <w:szCs w:val="24"/>
                <w:highlight w:val="none"/>
                <w:lang w:val="en-US" w:eastAsia="zh-CN"/>
                <w14:textFill>
                  <w14:solidFill>
                    <w14:schemeClr w14:val="tx1"/>
                  </w14:solidFill>
                </w14:textFill>
              </w:rPr>
              <w:t>2</w:t>
            </w:r>
            <w:r>
              <w:rPr>
                <w:b/>
                <w:bCs w:val="0"/>
                <w:color w:val="000000" w:themeColor="text1"/>
                <w:sz w:val="24"/>
                <w:szCs w:val="24"/>
                <w:highlight w:val="none"/>
                <w14:textFill>
                  <w14:solidFill>
                    <w14:schemeClr w14:val="tx1"/>
                  </w14:solidFill>
                </w14:textFill>
              </w:rPr>
              <w:t xml:space="preserve">  </w:t>
            </w:r>
            <w:r>
              <w:rPr>
                <w:rFonts w:hint="eastAsia"/>
                <w:b/>
                <w:bCs w:val="0"/>
                <w:color w:val="000000" w:themeColor="text1"/>
                <w:sz w:val="24"/>
                <w:szCs w:val="24"/>
                <w:highlight w:val="none"/>
                <w:lang w:val="en-US" w:eastAsia="zh-CN"/>
                <w14:textFill>
                  <w14:solidFill>
                    <w14:schemeClr w14:val="tx1"/>
                  </w14:solidFill>
                </w14:textFill>
              </w:rPr>
              <w:t>本项目有组织有机废气产排情况</w:t>
            </w:r>
            <w:r>
              <w:rPr>
                <w:rFonts w:hint="eastAsia"/>
                <w:b/>
                <w:bCs w:val="0"/>
                <w:color w:val="000000" w:themeColor="text1"/>
                <w:sz w:val="24"/>
                <w:szCs w:val="24"/>
                <w:highlight w:val="none"/>
                <w14:textFill>
                  <w14:solidFill>
                    <w14:schemeClr w14:val="tx1"/>
                  </w14:solidFill>
                </w14:textFill>
              </w:rPr>
              <w:t>一览表</w:t>
            </w:r>
          </w:p>
          <w:tbl>
            <w:tblPr>
              <w:tblStyle w:val="31"/>
              <w:tblW w:w="5000" w:type="pct"/>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18"/>
              <w:gridCol w:w="475"/>
              <w:gridCol w:w="550"/>
              <w:gridCol w:w="663"/>
              <w:gridCol w:w="662"/>
              <w:gridCol w:w="654"/>
              <w:gridCol w:w="690"/>
              <w:gridCol w:w="420"/>
              <w:gridCol w:w="600"/>
              <w:gridCol w:w="660"/>
              <w:gridCol w:w="645"/>
              <w:gridCol w:w="420"/>
              <w:gridCol w:w="420"/>
              <w:gridCol w:w="375"/>
              <w:gridCol w:w="368"/>
            </w:tblGrid>
            <w:tr w14:paraId="1106A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1" w:hRule="atLeast"/>
              </w:trPr>
              <w:tc>
                <w:tcPr>
                  <w:tcW w:w="518" w:type="dxa"/>
                  <w:vMerge w:val="restart"/>
                  <w:shd w:val="clear" w:color="auto" w:fill="auto"/>
                  <w:vAlign w:val="center"/>
                </w:tcPr>
                <w:p w14:paraId="5C9F7D6F">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排气筒名称</w:t>
                  </w:r>
                </w:p>
              </w:tc>
              <w:tc>
                <w:tcPr>
                  <w:tcW w:w="475" w:type="dxa"/>
                  <w:vMerge w:val="restart"/>
                  <w:shd w:val="clear" w:color="auto" w:fill="auto"/>
                  <w:vAlign w:val="center"/>
                </w:tcPr>
                <w:p w14:paraId="65F5A403">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排放源名称</w:t>
                  </w:r>
                </w:p>
              </w:tc>
              <w:tc>
                <w:tcPr>
                  <w:tcW w:w="550" w:type="dxa"/>
                  <w:vMerge w:val="restart"/>
                  <w:shd w:val="clear" w:color="auto" w:fill="auto"/>
                  <w:vAlign w:val="center"/>
                </w:tcPr>
                <w:p w14:paraId="6C049166">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污染物名称</w:t>
                  </w:r>
                </w:p>
              </w:tc>
              <w:tc>
                <w:tcPr>
                  <w:tcW w:w="1979" w:type="dxa"/>
                  <w:gridSpan w:val="3"/>
                  <w:shd w:val="clear" w:color="auto" w:fill="auto"/>
                  <w:vAlign w:val="center"/>
                </w:tcPr>
                <w:p w14:paraId="64F5C427">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产生情况</w:t>
                  </w:r>
                </w:p>
              </w:tc>
              <w:tc>
                <w:tcPr>
                  <w:tcW w:w="690" w:type="dxa"/>
                  <w:vMerge w:val="restart"/>
                  <w:shd w:val="clear" w:color="auto" w:fill="auto"/>
                  <w:vAlign w:val="center"/>
                </w:tcPr>
                <w:p w14:paraId="01526774">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治理措施</w:t>
                  </w:r>
                </w:p>
              </w:tc>
              <w:tc>
                <w:tcPr>
                  <w:tcW w:w="420" w:type="dxa"/>
                  <w:vMerge w:val="restart"/>
                  <w:shd w:val="clear" w:color="auto" w:fill="auto"/>
                  <w:vAlign w:val="center"/>
                </w:tcPr>
                <w:p w14:paraId="62F85684">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去除率</w:t>
                  </w:r>
                </w:p>
              </w:tc>
              <w:tc>
                <w:tcPr>
                  <w:tcW w:w="1905" w:type="dxa"/>
                  <w:gridSpan w:val="3"/>
                  <w:shd w:val="clear" w:color="auto" w:fill="auto"/>
                  <w:vAlign w:val="center"/>
                </w:tcPr>
                <w:p w14:paraId="58D504DF">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排放情况</w:t>
                  </w:r>
                </w:p>
              </w:tc>
              <w:tc>
                <w:tcPr>
                  <w:tcW w:w="1583" w:type="dxa"/>
                  <w:gridSpan w:val="4"/>
                  <w:shd w:val="clear" w:color="auto" w:fill="auto"/>
                  <w:vAlign w:val="center"/>
                </w:tcPr>
                <w:p w14:paraId="6A9D4677">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排放口参数</w:t>
                  </w:r>
                </w:p>
              </w:tc>
            </w:tr>
            <w:tr w14:paraId="56009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1" w:hRule="atLeast"/>
              </w:trPr>
              <w:tc>
                <w:tcPr>
                  <w:tcW w:w="518" w:type="dxa"/>
                  <w:vMerge w:val="continue"/>
                  <w:shd w:val="clear" w:color="auto" w:fill="auto"/>
                  <w:vAlign w:val="center"/>
                </w:tcPr>
                <w:p w14:paraId="1ABAC50F">
                  <w:pPr>
                    <w:jc w:val="center"/>
                    <w:rPr>
                      <w:rFonts w:hint="default" w:eastAsia="宋体"/>
                      <w:color w:val="000000" w:themeColor="text1"/>
                      <w:sz w:val="21"/>
                      <w:szCs w:val="21"/>
                      <w:highlight w:val="none"/>
                      <w:lang w:val="en-US" w:eastAsia="zh-CN"/>
                      <w14:textFill>
                        <w14:solidFill>
                          <w14:schemeClr w14:val="tx1"/>
                        </w14:solidFill>
                      </w14:textFill>
                    </w:rPr>
                  </w:pPr>
                </w:p>
              </w:tc>
              <w:tc>
                <w:tcPr>
                  <w:tcW w:w="475" w:type="dxa"/>
                  <w:vMerge w:val="continue"/>
                  <w:shd w:val="clear" w:color="auto" w:fill="auto"/>
                  <w:vAlign w:val="center"/>
                </w:tcPr>
                <w:p w14:paraId="4D410E8A">
                  <w:pPr>
                    <w:jc w:val="center"/>
                    <w:rPr>
                      <w:rFonts w:hint="default" w:eastAsia="宋体"/>
                      <w:color w:val="000000" w:themeColor="text1"/>
                      <w:sz w:val="21"/>
                      <w:szCs w:val="21"/>
                      <w:highlight w:val="none"/>
                      <w:lang w:val="en-US" w:eastAsia="zh-CN"/>
                      <w14:textFill>
                        <w14:solidFill>
                          <w14:schemeClr w14:val="tx1"/>
                        </w14:solidFill>
                      </w14:textFill>
                    </w:rPr>
                  </w:pPr>
                </w:p>
              </w:tc>
              <w:tc>
                <w:tcPr>
                  <w:tcW w:w="550" w:type="dxa"/>
                  <w:vMerge w:val="continue"/>
                  <w:shd w:val="clear" w:color="auto" w:fill="auto"/>
                  <w:vAlign w:val="center"/>
                </w:tcPr>
                <w:p w14:paraId="34542222">
                  <w:pPr>
                    <w:jc w:val="center"/>
                    <w:rPr>
                      <w:rFonts w:hint="default" w:eastAsia="宋体"/>
                      <w:color w:val="000000" w:themeColor="text1"/>
                      <w:sz w:val="21"/>
                      <w:szCs w:val="21"/>
                      <w:highlight w:val="none"/>
                      <w:lang w:val="en-US" w:eastAsia="zh-CN"/>
                      <w14:textFill>
                        <w14:solidFill>
                          <w14:schemeClr w14:val="tx1"/>
                        </w14:solidFill>
                      </w14:textFill>
                    </w:rPr>
                  </w:pPr>
                </w:p>
              </w:tc>
              <w:tc>
                <w:tcPr>
                  <w:tcW w:w="663" w:type="dxa"/>
                  <w:shd w:val="clear" w:color="auto" w:fill="auto"/>
                  <w:vAlign w:val="center"/>
                </w:tcPr>
                <w:p w14:paraId="2C207CAE">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浓度mg/m</w:t>
                  </w:r>
                  <w:r>
                    <w:rPr>
                      <w:rFonts w:hint="eastAsia"/>
                      <w:color w:val="000000" w:themeColor="text1"/>
                      <w:sz w:val="21"/>
                      <w:szCs w:val="21"/>
                      <w:highlight w:val="none"/>
                      <w:vertAlign w:val="superscript"/>
                      <w:lang w:val="en-US" w:eastAsia="zh-CN"/>
                      <w14:textFill>
                        <w14:solidFill>
                          <w14:schemeClr w14:val="tx1"/>
                        </w14:solidFill>
                      </w14:textFill>
                    </w:rPr>
                    <w:t>3</w:t>
                  </w:r>
                </w:p>
              </w:tc>
              <w:tc>
                <w:tcPr>
                  <w:tcW w:w="662" w:type="dxa"/>
                  <w:shd w:val="clear" w:color="auto" w:fill="auto"/>
                  <w:vAlign w:val="center"/>
                </w:tcPr>
                <w:p w14:paraId="4AB88FAC">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速率kg/h</w:t>
                  </w:r>
                </w:p>
              </w:tc>
              <w:tc>
                <w:tcPr>
                  <w:tcW w:w="654" w:type="dxa"/>
                  <w:shd w:val="clear" w:color="auto" w:fill="auto"/>
                  <w:vAlign w:val="center"/>
                </w:tcPr>
                <w:p w14:paraId="78A2A7E9">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产生量t/a</w:t>
                  </w:r>
                </w:p>
              </w:tc>
              <w:tc>
                <w:tcPr>
                  <w:tcW w:w="690" w:type="dxa"/>
                  <w:vMerge w:val="continue"/>
                  <w:shd w:val="clear" w:color="auto" w:fill="auto"/>
                  <w:vAlign w:val="center"/>
                </w:tcPr>
                <w:p w14:paraId="1E0B8E8C">
                  <w:pPr>
                    <w:jc w:val="center"/>
                    <w:rPr>
                      <w:color w:val="000000" w:themeColor="text1"/>
                      <w:sz w:val="21"/>
                      <w:szCs w:val="21"/>
                      <w:highlight w:val="none"/>
                      <w14:textFill>
                        <w14:solidFill>
                          <w14:schemeClr w14:val="tx1"/>
                        </w14:solidFill>
                      </w14:textFill>
                    </w:rPr>
                  </w:pPr>
                </w:p>
              </w:tc>
              <w:tc>
                <w:tcPr>
                  <w:tcW w:w="420" w:type="dxa"/>
                  <w:vMerge w:val="continue"/>
                  <w:shd w:val="clear" w:color="auto" w:fill="auto"/>
                  <w:vAlign w:val="center"/>
                </w:tcPr>
                <w:p w14:paraId="0CC00F3B">
                  <w:pPr>
                    <w:jc w:val="center"/>
                    <w:rPr>
                      <w:color w:val="000000" w:themeColor="text1"/>
                      <w:sz w:val="21"/>
                      <w:szCs w:val="21"/>
                      <w:highlight w:val="none"/>
                      <w14:textFill>
                        <w14:solidFill>
                          <w14:schemeClr w14:val="tx1"/>
                        </w14:solidFill>
                      </w14:textFill>
                    </w:rPr>
                  </w:pPr>
                </w:p>
              </w:tc>
              <w:tc>
                <w:tcPr>
                  <w:tcW w:w="600" w:type="dxa"/>
                  <w:shd w:val="clear" w:color="auto" w:fill="auto"/>
                  <w:vAlign w:val="center"/>
                </w:tcPr>
                <w:p w14:paraId="353DF78F">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浓度mg/m</w:t>
                  </w:r>
                  <w:r>
                    <w:rPr>
                      <w:rFonts w:hint="eastAsia"/>
                      <w:color w:val="000000" w:themeColor="text1"/>
                      <w:sz w:val="21"/>
                      <w:szCs w:val="21"/>
                      <w:highlight w:val="none"/>
                      <w:vertAlign w:val="superscript"/>
                      <w:lang w:val="en-US" w:eastAsia="zh-CN"/>
                      <w14:textFill>
                        <w14:solidFill>
                          <w14:schemeClr w14:val="tx1"/>
                        </w14:solidFill>
                      </w14:textFill>
                    </w:rPr>
                    <w:t>3</w:t>
                  </w:r>
                </w:p>
              </w:tc>
              <w:tc>
                <w:tcPr>
                  <w:tcW w:w="660" w:type="dxa"/>
                  <w:shd w:val="clear" w:color="auto" w:fill="auto"/>
                  <w:vAlign w:val="center"/>
                </w:tcPr>
                <w:p w14:paraId="46B6D0FA">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速率kg/h</w:t>
                  </w:r>
                </w:p>
              </w:tc>
              <w:tc>
                <w:tcPr>
                  <w:tcW w:w="645" w:type="dxa"/>
                  <w:shd w:val="clear" w:color="auto" w:fill="auto"/>
                  <w:vAlign w:val="center"/>
                </w:tcPr>
                <w:p w14:paraId="252716E7">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排放量t/a</w:t>
                  </w:r>
                </w:p>
              </w:tc>
              <w:tc>
                <w:tcPr>
                  <w:tcW w:w="420" w:type="dxa"/>
                  <w:shd w:val="clear" w:color="auto" w:fill="auto"/>
                  <w:vAlign w:val="center"/>
                </w:tcPr>
                <w:p w14:paraId="4E779AED">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高度m</w:t>
                  </w:r>
                </w:p>
              </w:tc>
              <w:tc>
                <w:tcPr>
                  <w:tcW w:w="420" w:type="dxa"/>
                  <w:shd w:val="clear" w:color="auto" w:fill="auto"/>
                  <w:vAlign w:val="center"/>
                </w:tcPr>
                <w:p w14:paraId="5EC02CEC">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内径m</w:t>
                  </w:r>
                </w:p>
              </w:tc>
              <w:tc>
                <w:tcPr>
                  <w:tcW w:w="375" w:type="dxa"/>
                  <w:shd w:val="clear" w:color="auto" w:fill="auto"/>
                  <w:vAlign w:val="center"/>
                </w:tcPr>
                <w:p w14:paraId="2A35BC7F">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温度℃</w:t>
                  </w:r>
                </w:p>
              </w:tc>
              <w:tc>
                <w:tcPr>
                  <w:tcW w:w="368" w:type="dxa"/>
                  <w:shd w:val="clear" w:color="auto" w:fill="auto"/>
                  <w:vAlign w:val="center"/>
                </w:tcPr>
                <w:p w14:paraId="7B40E193">
                  <w:pPr>
                    <w:jc w:val="center"/>
                    <w:rPr>
                      <w:rFonts w:hint="eastAsia"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方式</w:t>
                  </w:r>
                </w:p>
              </w:tc>
            </w:tr>
            <w:tr w14:paraId="24FB7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18" w:type="dxa"/>
                  <w:shd w:val="clear" w:color="auto" w:fill="auto"/>
                  <w:vAlign w:val="center"/>
                </w:tcPr>
                <w:p w14:paraId="7EC2E416">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DA00</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5</w:t>
                  </w:r>
                </w:p>
              </w:tc>
              <w:tc>
                <w:tcPr>
                  <w:tcW w:w="475" w:type="dxa"/>
                  <w:shd w:val="clear" w:color="auto" w:fill="auto"/>
                  <w:vAlign w:val="center"/>
                </w:tcPr>
                <w:p w14:paraId="2546AD89">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有机废气</w:t>
                  </w:r>
                </w:p>
              </w:tc>
              <w:tc>
                <w:tcPr>
                  <w:tcW w:w="550" w:type="dxa"/>
                  <w:shd w:val="clear" w:color="auto" w:fill="auto"/>
                  <w:vAlign w:val="center"/>
                </w:tcPr>
                <w:p w14:paraId="7E587543">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NMHC</w:t>
                  </w:r>
                </w:p>
              </w:tc>
              <w:tc>
                <w:tcPr>
                  <w:tcW w:w="663" w:type="dxa"/>
                  <w:shd w:val="clear" w:color="auto" w:fill="auto"/>
                  <w:vAlign w:val="center"/>
                </w:tcPr>
                <w:p w14:paraId="2D92F9B7">
                  <w:pPr>
                    <w:keepNext w:val="0"/>
                    <w:keepLines w:val="0"/>
                    <w:widowControl/>
                    <w:suppressLineNumbers w:val="0"/>
                    <w:jc w:val="center"/>
                    <w:textAlignment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463.15</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 </w:t>
                  </w:r>
                </w:p>
              </w:tc>
              <w:tc>
                <w:tcPr>
                  <w:tcW w:w="662" w:type="dxa"/>
                  <w:shd w:val="clear" w:color="auto" w:fill="auto"/>
                  <w:vAlign w:val="center"/>
                </w:tcPr>
                <w:p w14:paraId="079EEE78">
                  <w:pPr>
                    <w:keepNext w:val="0"/>
                    <w:keepLines w:val="0"/>
                    <w:widowControl/>
                    <w:suppressLineNumbers w:val="0"/>
                    <w:jc w:val="center"/>
                    <w:textAlignment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3.3347 </w:t>
                  </w:r>
                </w:p>
              </w:tc>
              <w:tc>
                <w:tcPr>
                  <w:tcW w:w="654" w:type="dxa"/>
                  <w:shd w:val="clear" w:color="auto" w:fill="auto"/>
                  <w:vAlign w:val="center"/>
                </w:tcPr>
                <w:p w14:paraId="55A52E11">
                  <w:pPr>
                    <w:keepNext w:val="0"/>
                    <w:keepLines w:val="0"/>
                    <w:widowControl/>
                    <w:suppressLineNumbers w:val="0"/>
                    <w:jc w:val="center"/>
                    <w:textAlignment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6.6694 </w:t>
                  </w:r>
                </w:p>
              </w:tc>
              <w:tc>
                <w:tcPr>
                  <w:tcW w:w="690" w:type="dxa"/>
                  <w:shd w:val="clear" w:color="auto" w:fill="auto"/>
                  <w:vAlign w:val="center"/>
                </w:tcPr>
                <w:p w14:paraId="62A165A4">
                  <w:pPr>
                    <w:keepNext w:val="0"/>
                    <w:keepLines w:val="0"/>
                    <w:widowControl/>
                    <w:suppressLineNumbers w:val="0"/>
                    <w:jc w:val="center"/>
                    <w:textAlignment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集气罩</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+二级活性炭</w:t>
                  </w:r>
                </w:p>
              </w:tc>
              <w:tc>
                <w:tcPr>
                  <w:tcW w:w="420" w:type="dxa"/>
                  <w:shd w:val="clear" w:color="auto" w:fill="auto"/>
                  <w:vAlign w:val="center"/>
                </w:tcPr>
                <w:p w14:paraId="5E9296A0">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84</w:t>
                  </w:r>
                  <w:r>
                    <w:rPr>
                      <w:rFonts w:hint="eastAsia"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600" w:type="dxa"/>
                  <w:shd w:val="clear" w:color="auto" w:fill="auto"/>
                  <w:vAlign w:val="center"/>
                </w:tcPr>
                <w:p w14:paraId="44A29716">
                  <w:pPr>
                    <w:keepNext w:val="0"/>
                    <w:keepLines w:val="0"/>
                    <w:widowControl/>
                    <w:suppressLineNumbers w:val="0"/>
                    <w:jc w:val="center"/>
                    <w:textAlignment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66.69</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 </w:t>
                  </w:r>
                </w:p>
              </w:tc>
              <w:tc>
                <w:tcPr>
                  <w:tcW w:w="660" w:type="dxa"/>
                  <w:shd w:val="clear" w:color="auto" w:fill="auto"/>
                  <w:vAlign w:val="center"/>
                </w:tcPr>
                <w:p w14:paraId="15D59261">
                  <w:pPr>
                    <w:keepNext w:val="0"/>
                    <w:keepLines w:val="0"/>
                    <w:widowControl/>
                    <w:suppressLineNumbers w:val="0"/>
                    <w:jc w:val="center"/>
                    <w:textAlignment w:val="center"/>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0.4802</w:t>
                  </w:r>
                </w:p>
              </w:tc>
              <w:tc>
                <w:tcPr>
                  <w:tcW w:w="645" w:type="dxa"/>
                  <w:shd w:val="clear" w:color="auto" w:fill="auto"/>
                  <w:vAlign w:val="center"/>
                </w:tcPr>
                <w:p w14:paraId="34996D1E">
                  <w:pPr>
                    <w:keepNext w:val="0"/>
                    <w:keepLines w:val="0"/>
                    <w:widowControl/>
                    <w:suppressLineNumbers w:val="0"/>
                    <w:jc w:val="center"/>
                    <w:textAlignment w:val="center"/>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0.9604</w:t>
                  </w:r>
                </w:p>
              </w:tc>
              <w:tc>
                <w:tcPr>
                  <w:tcW w:w="420" w:type="dxa"/>
                  <w:shd w:val="clear" w:color="auto" w:fill="auto"/>
                  <w:vAlign w:val="center"/>
                </w:tcPr>
                <w:p w14:paraId="5455B0F3">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30</w:t>
                  </w:r>
                </w:p>
              </w:tc>
              <w:tc>
                <w:tcPr>
                  <w:tcW w:w="420" w:type="dxa"/>
                  <w:shd w:val="clear" w:color="auto" w:fill="auto"/>
                  <w:vAlign w:val="center"/>
                </w:tcPr>
                <w:p w14:paraId="06B6E597">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0.35</w:t>
                  </w:r>
                </w:p>
              </w:tc>
              <w:tc>
                <w:tcPr>
                  <w:tcW w:w="375" w:type="dxa"/>
                  <w:shd w:val="clear" w:color="auto" w:fill="auto"/>
                  <w:vAlign w:val="center"/>
                </w:tcPr>
                <w:p w14:paraId="0BF78824">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25</w:t>
                  </w:r>
                </w:p>
              </w:tc>
              <w:tc>
                <w:tcPr>
                  <w:tcW w:w="368" w:type="dxa"/>
                  <w:shd w:val="clear" w:color="auto" w:fill="auto"/>
                  <w:vAlign w:val="center"/>
                </w:tcPr>
                <w:p w14:paraId="7C6573E0">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连续</w:t>
                  </w:r>
                </w:p>
              </w:tc>
            </w:tr>
          </w:tbl>
          <w:p w14:paraId="044DD5CC">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eastAsia="宋体"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三</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酸性废气</w:t>
            </w:r>
          </w:p>
          <w:p w14:paraId="0F2031C7">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本</w:t>
            </w:r>
            <w:r>
              <w:rPr>
                <w:rFonts w:hint="eastAsia" w:cs="宋体"/>
                <w:color w:val="000000" w:themeColor="text1"/>
                <w:sz w:val="24"/>
                <w:szCs w:val="32"/>
                <w:highlight w:val="none"/>
                <w14:textFill>
                  <w14:solidFill>
                    <w14:schemeClr w14:val="tx1"/>
                  </w14:solidFill>
                </w14:textFill>
              </w:rPr>
              <w:t>项目</w:t>
            </w:r>
            <w:r>
              <w:rPr>
                <w:rFonts w:hint="eastAsia" w:cs="宋体"/>
                <w:color w:val="000000" w:themeColor="text1"/>
                <w:sz w:val="24"/>
                <w:szCs w:val="32"/>
                <w:highlight w:val="none"/>
                <w:lang w:val="en-US" w:eastAsia="zh-CN"/>
                <w14:textFill>
                  <w14:solidFill>
                    <w14:schemeClr w14:val="tx1"/>
                  </w14:solidFill>
                </w14:textFill>
              </w:rPr>
              <w:t>产品1的</w:t>
            </w:r>
            <w:r>
              <w:rPr>
                <w:rFonts w:hint="eastAsia" w:cs="宋体"/>
                <w:color w:val="000000" w:themeColor="text1"/>
                <w:sz w:val="24"/>
                <w:szCs w:val="32"/>
                <w:highlight w:val="none"/>
                <w14:textFill>
                  <w14:solidFill>
                    <w14:schemeClr w14:val="tx1"/>
                  </w14:solidFill>
                </w14:textFill>
              </w:rPr>
              <w:t>清洗</w:t>
            </w:r>
            <w:r>
              <w:rPr>
                <w:rFonts w:hint="eastAsia" w:cs="宋体"/>
                <w:color w:val="000000" w:themeColor="text1"/>
                <w:sz w:val="24"/>
                <w:szCs w:val="32"/>
                <w:highlight w:val="none"/>
                <w:lang w:val="en-US" w:eastAsia="zh-CN"/>
                <w14:textFill>
                  <w14:solidFill>
                    <w14:schemeClr w14:val="tx1"/>
                  </w14:solidFill>
                </w14:textFill>
              </w:rPr>
              <w:t>检验环节，以及产品2的金属刻蚀、玻璃刻蚀等环节，</w:t>
            </w:r>
            <w:r>
              <w:rPr>
                <w:rFonts w:hint="eastAsia" w:cs="宋体"/>
                <w:color w:val="000000" w:themeColor="text1"/>
                <w:sz w:val="24"/>
                <w:szCs w:val="32"/>
                <w:highlight w:val="none"/>
                <w14:textFill>
                  <w14:solidFill>
                    <w14:schemeClr w14:val="tx1"/>
                  </w14:solidFill>
                </w14:textFill>
              </w:rPr>
              <w:t>将产生</w:t>
            </w:r>
            <w:r>
              <w:rPr>
                <w:rFonts w:hint="eastAsia" w:cs="宋体"/>
                <w:color w:val="000000" w:themeColor="text1"/>
                <w:sz w:val="24"/>
                <w:szCs w:val="32"/>
                <w:highlight w:val="none"/>
                <w:lang w:val="en-US" w:eastAsia="zh-CN"/>
                <w14:textFill>
                  <w14:solidFill>
                    <w14:schemeClr w14:val="tx1"/>
                  </w14:solidFill>
                </w14:textFill>
              </w:rPr>
              <w:t>酸性</w:t>
            </w:r>
            <w:r>
              <w:rPr>
                <w:rFonts w:hint="eastAsia" w:cs="宋体"/>
                <w:color w:val="000000" w:themeColor="text1"/>
                <w:sz w:val="24"/>
                <w:szCs w:val="32"/>
                <w:highlight w:val="none"/>
                <w14:textFill>
                  <w14:solidFill>
                    <w14:schemeClr w14:val="tx1"/>
                  </w14:solidFill>
                </w14:textFill>
              </w:rPr>
              <w:t>废气。</w:t>
            </w:r>
          </w:p>
          <w:p w14:paraId="52CA78ED">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（1）</w:t>
            </w:r>
            <w:r>
              <w:rPr>
                <w:rFonts w:hint="eastAsia" w:cs="宋体"/>
                <w:color w:val="000000" w:themeColor="text1"/>
                <w:sz w:val="24"/>
                <w:szCs w:val="32"/>
                <w:highlight w:val="none"/>
                <w14:textFill>
                  <w14:solidFill>
                    <w14:schemeClr w14:val="tx1"/>
                  </w14:solidFill>
                </w14:textFill>
              </w:rPr>
              <w:t>清洗</w:t>
            </w:r>
            <w:r>
              <w:rPr>
                <w:rFonts w:hint="eastAsia" w:cs="宋体"/>
                <w:color w:val="000000" w:themeColor="text1"/>
                <w:sz w:val="24"/>
                <w:szCs w:val="32"/>
                <w:highlight w:val="none"/>
                <w:lang w:val="en-US" w:eastAsia="zh-CN"/>
                <w14:textFill>
                  <w14:solidFill>
                    <w14:schemeClr w14:val="tx1"/>
                  </w14:solidFill>
                </w14:textFill>
              </w:rPr>
              <w:t>检验工序的酸性废气</w:t>
            </w:r>
          </w:p>
          <w:p w14:paraId="20629D47">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产品1采用硫酸进行清洗检验，清洗过程产生硫酸雾。本项目年使用98%硫酸20t。浓硫酸是高沸点难挥发的强酸，其挥发性远小于盐酸、硝酸、氢氟酸等，浓硫酸挥发量占使用量比例保守按0.05%，则本项目硫酸雾产生量0.0098t/a。</w:t>
            </w:r>
          </w:p>
          <w:p w14:paraId="7BF0F251">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（2）金属刻蚀、玻璃刻蚀等工序的酸性废气</w:t>
            </w:r>
          </w:p>
          <w:p w14:paraId="5ABA26BC">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产品2的金属刻蚀环节使用磷酸、硝酸，会产生硫酸雾、硝酸雾，玻璃刻蚀使用氢氟酸、盐酸，会产生氟化物、氯化氢。</w:t>
            </w:r>
          </w:p>
          <w:p w14:paraId="666193FD">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磷酸为高沸点难挥发酸，磷酸雾产生量可忽略不计。</w:t>
            </w:r>
          </w:p>
          <w:p w14:paraId="160D1E8D">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68%硝酸年使用量100L，其密度1.408g/cm</w:t>
            </w:r>
            <w:r>
              <w:rPr>
                <w:rFonts w:hint="eastAsia" w:cs="宋体"/>
                <w:color w:val="000000" w:themeColor="text1"/>
                <w:sz w:val="24"/>
                <w:szCs w:val="32"/>
                <w:highlight w:val="none"/>
                <w:vertAlign w:val="superscript"/>
                <w:lang w:val="en-US" w:eastAsia="zh-CN"/>
                <w14:textFill>
                  <w14:solidFill>
                    <w14:schemeClr w14:val="tx1"/>
                  </w14:solidFill>
                </w14:textFill>
              </w:rPr>
              <w:t>3</w:t>
            </w:r>
            <w:r>
              <w:rPr>
                <w:rFonts w:hint="eastAsia" w:cs="宋体"/>
                <w:color w:val="000000" w:themeColor="text1"/>
                <w:sz w:val="24"/>
                <w:szCs w:val="32"/>
                <w:highlight w:val="none"/>
                <w:lang w:val="en-US" w:eastAsia="zh-CN"/>
                <w14:textFill>
                  <w14:solidFill>
                    <w14:schemeClr w14:val="tx1"/>
                  </w14:solidFill>
                </w14:textFill>
              </w:rPr>
              <w:t>，经折算使用量0.0957t/a。硝酸挥发量占使用量比例保守按0.5%，则本项目硝酸雾产生量0.0005</w:t>
            </w:r>
            <w:r>
              <w:rPr>
                <w:rFonts w:hint="eastAsia" w:cs="宋体"/>
                <w:color w:val="000000" w:themeColor="text1"/>
                <w:sz w:val="24"/>
                <w:szCs w:val="32"/>
                <w:highlight w:val="none"/>
                <w14:textFill>
                  <w14:solidFill>
                    <w14:schemeClr w14:val="tx1"/>
                  </w14:solidFill>
                </w14:textFill>
              </w:rPr>
              <w:t>t/a</w:t>
            </w:r>
            <w:r>
              <w:rPr>
                <w:rFonts w:hint="eastAsia" w:cs="宋体"/>
                <w:color w:val="000000" w:themeColor="text1"/>
                <w:sz w:val="24"/>
                <w:szCs w:val="32"/>
                <w:highlight w:val="none"/>
                <w:lang w:val="en-US" w:eastAsia="zh-CN"/>
                <w14:textFill>
                  <w14:solidFill>
                    <w14:schemeClr w14:val="tx1"/>
                  </w14:solidFill>
                </w14:textFill>
              </w:rPr>
              <w:t>。</w:t>
            </w:r>
          </w:p>
          <w:p w14:paraId="36BB6555">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10%氢氟酸年使用量2500L，其密度1.038g/cm</w:t>
            </w:r>
            <w:r>
              <w:rPr>
                <w:rFonts w:hint="eastAsia" w:cs="宋体"/>
                <w:color w:val="000000" w:themeColor="text1"/>
                <w:sz w:val="24"/>
                <w:szCs w:val="32"/>
                <w:highlight w:val="none"/>
                <w:vertAlign w:val="superscript"/>
                <w:lang w:val="en-US" w:eastAsia="zh-CN"/>
                <w14:textFill>
                  <w14:solidFill>
                    <w14:schemeClr w14:val="tx1"/>
                  </w14:solidFill>
                </w14:textFill>
              </w:rPr>
              <w:t>3</w:t>
            </w:r>
            <w:r>
              <w:rPr>
                <w:rFonts w:hint="eastAsia" w:cs="宋体"/>
                <w:color w:val="000000" w:themeColor="text1"/>
                <w:sz w:val="24"/>
                <w:szCs w:val="32"/>
                <w:highlight w:val="none"/>
                <w:lang w:val="en-US" w:eastAsia="zh-CN"/>
                <w14:textFill>
                  <w14:solidFill>
                    <w14:schemeClr w14:val="tx1"/>
                  </w14:solidFill>
                </w14:textFill>
              </w:rPr>
              <w:t>，经折算使用量0.26t/a。氢氟酸挥发量占使用量比例保守按1.0%，则氟化物产生量0.0026</w:t>
            </w:r>
            <w:r>
              <w:rPr>
                <w:rFonts w:hint="eastAsia" w:cs="宋体"/>
                <w:color w:val="000000" w:themeColor="text1"/>
                <w:sz w:val="24"/>
                <w:szCs w:val="32"/>
                <w:highlight w:val="none"/>
                <w14:textFill>
                  <w14:solidFill>
                    <w14:schemeClr w14:val="tx1"/>
                  </w14:solidFill>
                </w14:textFill>
              </w:rPr>
              <w:t>t/a</w:t>
            </w:r>
            <w:r>
              <w:rPr>
                <w:rFonts w:hint="eastAsia" w:cs="宋体"/>
                <w:color w:val="000000" w:themeColor="text1"/>
                <w:sz w:val="24"/>
                <w:szCs w:val="32"/>
                <w:highlight w:val="none"/>
                <w:lang w:val="en-US" w:eastAsia="zh-CN"/>
                <w14:textFill>
                  <w14:solidFill>
                    <w14:schemeClr w14:val="tx1"/>
                  </w14:solidFill>
                </w14:textFill>
              </w:rPr>
              <w:t>。</w:t>
            </w:r>
          </w:p>
          <w:p w14:paraId="6D9EEE9C">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氟化铵年使用量0.03t。1mol氟化铵分解出1molHF，分解率保守按10%，则氟化物产生量0.0016</w:t>
            </w:r>
            <w:r>
              <w:rPr>
                <w:rFonts w:hint="eastAsia" w:cs="宋体"/>
                <w:color w:val="000000" w:themeColor="text1"/>
                <w:sz w:val="24"/>
                <w:szCs w:val="32"/>
                <w:highlight w:val="none"/>
                <w14:textFill>
                  <w14:solidFill>
                    <w14:schemeClr w14:val="tx1"/>
                  </w14:solidFill>
                </w14:textFill>
              </w:rPr>
              <w:t>t/a</w:t>
            </w:r>
            <w:r>
              <w:rPr>
                <w:rFonts w:hint="eastAsia" w:cs="宋体"/>
                <w:color w:val="000000" w:themeColor="text1"/>
                <w:sz w:val="24"/>
                <w:szCs w:val="32"/>
                <w:highlight w:val="none"/>
                <w:lang w:val="en-US" w:eastAsia="zh-CN"/>
                <w14:textFill>
                  <w14:solidFill>
                    <w14:schemeClr w14:val="tx1"/>
                  </w14:solidFill>
                </w14:textFill>
              </w:rPr>
              <w:t>。</w:t>
            </w:r>
          </w:p>
          <w:p w14:paraId="3E28B3B9">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37%盐酸年使用量30L，其密度1.189g/cm</w:t>
            </w:r>
            <w:r>
              <w:rPr>
                <w:rFonts w:hint="eastAsia" w:cs="宋体"/>
                <w:color w:val="000000" w:themeColor="text1"/>
                <w:sz w:val="24"/>
                <w:szCs w:val="32"/>
                <w:highlight w:val="none"/>
                <w:vertAlign w:val="superscript"/>
                <w:lang w:val="en-US" w:eastAsia="zh-CN"/>
                <w14:textFill>
                  <w14:solidFill>
                    <w14:schemeClr w14:val="tx1"/>
                  </w14:solidFill>
                </w14:textFill>
              </w:rPr>
              <w:t>3</w:t>
            </w:r>
            <w:r>
              <w:rPr>
                <w:rFonts w:hint="eastAsia" w:cs="宋体"/>
                <w:color w:val="000000" w:themeColor="text1"/>
                <w:sz w:val="24"/>
                <w:szCs w:val="32"/>
                <w:highlight w:val="none"/>
                <w:lang w:val="en-US" w:eastAsia="zh-CN"/>
                <w14:textFill>
                  <w14:solidFill>
                    <w14:schemeClr w14:val="tx1"/>
                  </w14:solidFill>
                </w14:textFill>
              </w:rPr>
              <w:t>，经折算使用量0.0132t/a。硝酸挥发量占使用量比例保守按0.8%，则本项目硝酸雾产生量0.0001</w:t>
            </w:r>
            <w:r>
              <w:rPr>
                <w:rFonts w:hint="eastAsia" w:cs="宋体"/>
                <w:color w:val="000000" w:themeColor="text1"/>
                <w:sz w:val="24"/>
                <w:szCs w:val="32"/>
                <w:highlight w:val="none"/>
                <w14:textFill>
                  <w14:solidFill>
                    <w14:schemeClr w14:val="tx1"/>
                  </w14:solidFill>
                </w14:textFill>
              </w:rPr>
              <w:t>t/a</w:t>
            </w:r>
            <w:r>
              <w:rPr>
                <w:rFonts w:hint="eastAsia" w:cs="宋体"/>
                <w:color w:val="000000" w:themeColor="text1"/>
                <w:sz w:val="24"/>
                <w:szCs w:val="32"/>
                <w:highlight w:val="none"/>
                <w:lang w:val="en-US" w:eastAsia="zh-CN"/>
                <w14:textFill>
                  <w14:solidFill>
                    <w14:schemeClr w14:val="tx1"/>
                  </w14:solidFill>
                </w14:textFill>
              </w:rPr>
              <w:t>。</w:t>
            </w:r>
          </w:p>
          <w:p w14:paraId="0D873150">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（3）收集效率、处理效率及排放量</w:t>
            </w:r>
          </w:p>
          <w:p w14:paraId="658E50EA">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收集效率：</w:t>
            </w:r>
            <w:r>
              <w:rPr>
                <w:rFonts w:hint="eastAsia" w:cs="宋体"/>
                <w:color w:val="000000" w:themeColor="text1"/>
                <w:sz w:val="24"/>
                <w:szCs w:val="32"/>
                <w:highlight w:val="none"/>
                <w14:textFill>
                  <w14:solidFill>
                    <w14:schemeClr w14:val="tx1"/>
                  </w14:solidFill>
                </w14:textFill>
              </w:rPr>
              <w:t>本项目生产车间为微负压超洁净车间，生产线自动化程度高，全封闭操作，废气经</w:t>
            </w:r>
            <w:r>
              <w:rPr>
                <w:rFonts w:hint="eastAsia" w:cs="宋体"/>
                <w:color w:val="000000" w:themeColor="text1"/>
                <w:sz w:val="24"/>
                <w:szCs w:val="32"/>
                <w:highlight w:val="none"/>
                <w:lang w:val="en-US" w:eastAsia="zh-CN"/>
                <w14:textFill>
                  <w14:solidFill>
                    <w14:schemeClr w14:val="tx1"/>
                  </w14:solidFill>
                </w14:textFill>
              </w:rPr>
              <w:t>密闭</w:t>
            </w:r>
            <w:r>
              <w:rPr>
                <w:rFonts w:hint="eastAsia" w:cs="宋体"/>
                <w:color w:val="000000" w:themeColor="text1"/>
                <w:sz w:val="24"/>
                <w:szCs w:val="32"/>
                <w:highlight w:val="none"/>
                <w14:textFill>
                  <w14:solidFill>
                    <w14:schemeClr w14:val="tx1"/>
                  </w14:solidFill>
                </w14:textFill>
              </w:rPr>
              <w:t>集气管道收集至酸性气体处理系统处理</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根据《主要污染物总量减排核算技术指南（2022年修订）》，密闭管道收集效率为95%。</w:t>
            </w:r>
          </w:p>
          <w:p w14:paraId="3929FAB3">
            <w:pPr>
              <w:spacing w:line="360" w:lineRule="auto"/>
              <w:ind w:firstLine="480" w:firstLineChars="200"/>
              <w:rPr>
                <w:rFonts w:hint="default" w:eastAsia="宋体"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处理效率：</w:t>
            </w:r>
            <w:r>
              <w:rPr>
                <w:rFonts w:hint="eastAsia" w:cs="宋体"/>
                <w:color w:val="000000" w:themeColor="text1"/>
                <w:sz w:val="24"/>
                <w:szCs w:val="32"/>
                <w:highlight w:val="none"/>
                <w:lang w:val="en-US" w:eastAsia="zh-CN"/>
                <w14:textFill>
                  <w14:solidFill>
                    <w14:schemeClr w14:val="tx1"/>
                  </w14:solidFill>
                </w14:textFill>
              </w:rPr>
              <w:t>本项目采用洗涤塔喷淋中和液(NaOH溶液)处理酸性废气。参考同类型厦门天马显示科技有限公司第6代柔性AMOLED生产线项目，碱液喷淋塔对酸性废气的处理效率保守取90%。</w:t>
            </w:r>
          </w:p>
          <w:p w14:paraId="50C86AE8">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各股酸性废气经各自密闭</w:t>
            </w:r>
            <w:r>
              <w:rPr>
                <w:rFonts w:hint="eastAsia" w:cs="宋体"/>
                <w:color w:val="000000" w:themeColor="text1"/>
                <w:sz w:val="24"/>
                <w:szCs w:val="32"/>
                <w:highlight w:val="none"/>
                <w14:textFill>
                  <w14:solidFill>
                    <w14:schemeClr w14:val="tx1"/>
                  </w14:solidFill>
                </w14:textFill>
              </w:rPr>
              <w:t>集气管道</w:t>
            </w:r>
            <w:r>
              <w:rPr>
                <w:rFonts w:hint="eastAsia" w:cs="宋体"/>
                <w:color w:val="000000" w:themeColor="text1"/>
                <w:sz w:val="24"/>
                <w:szCs w:val="32"/>
                <w:highlight w:val="none"/>
                <w:lang w:val="en-US" w:eastAsia="zh-CN"/>
                <w14:textFill>
                  <w14:solidFill>
                    <w14:schemeClr w14:val="tx1"/>
                  </w14:solidFill>
                </w14:textFill>
              </w:rPr>
              <w:t>收集至碱液喷淋塔处理后由一根30米高排气筒排放。本项目所在1#厂房共4层，建筑总高度23.4m，排气筒高出建筑物6.6m。</w:t>
            </w:r>
          </w:p>
          <w:p w14:paraId="10E120D3">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本项目</w:t>
            </w:r>
            <w:r>
              <w:rPr>
                <w:rFonts w:hint="eastAsia" w:cs="宋体"/>
                <w:color w:val="000000" w:themeColor="text1"/>
                <w:sz w:val="24"/>
                <w:szCs w:val="32"/>
                <w:highlight w:val="none"/>
                <w:lang w:val="en-US" w:eastAsia="zh-CN"/>
                <w14:textFill>
                  <w14:solidFill>
                    <w14:schemeClr w14:val="tx1"/>
                  </w14:solidFill>
                </w14:textFill>
              </w:rPr>
              <w:t>产品1的</w:t>
            </w:r>
            <w:r>
              <w:rPr>
                <w:rFonts w:hint="eastAsia" w:cs="宋体"/>
                <w:color w:val="000000" w:themeColor="text1"/>
                <w:sz w:val="24"/>
                <w:szCs w:val="32"/>
                <w:highlight w:val="none"/>
                <w14:textFill>
                  <w14:solidFill>
                    <w14:schemeClr w14:val="tx1"/>
                  </w14:solidFill>
                </w14:textFill>
              </w:rPr>
              <w:t>清洗</w:t>
            </w:r>
            <w:r>
              <w:rPr>
                <w:rFonts w:hint="eastAsia" w:cs="宋体"/>
                <w:color w:val="000000" w:themeColor="text1"/>
                <w:sz w:val="24"/>
                <w:szCs w:val="32"/>
                <w:highlight w:val="none"/>
                <w:lang w:val="en-US" w:eastAsia="zh-CN"/>
                <w14:textFill>
                  <w14:solidFill>
                    <w14:schemeClr w14:val="tx1"/>
                  </w14:solidFill>
                </w14:textFill>
              </w:rPr>
              <w:t>检验环节，以及产品2的金属刻蚀、玻璃刻蚀等环节，</w:t>
            </w:r>
            <w:r>
              <w:rPr>
                <w:rFonts w:hint="eastAsia" w:cs="宋体"/>
                <w:color w:val="000000" w:themeColor="text1"/>
                <w:sz w:val="24"/>
                <w:szCs w:val="32"/>
                <w:highlight w:val="none"/>
                <w14:textFill>
                  <w14:solidFill>
                    <w14:schemeClr w14:val="tx1"/>
                  </w14:solidFill>
                </w14:textFill>
              </w:rPr>
              <w:t>均</w:t>
            </w:r>
            <w:r>
              <w:rPr>
                <w:rFonts w:hint="eastAsia" w:cs="宋体"/>
                <w:color w:val="000000" w:themeColor="text1"/>
                <w:sz w:val="24"/>
                <w:szCs w:val="32"/>
                <w:highlight w:val="none"/>
                <w:lang w:val="en-US" w:eastAsia="zh-CN"/>
                <w14:textFill>
                  <w14:solidFill>
                    <w14:schemeClr w14:val="tx1"/>
                  </w14:solidFill>
                </w14:textFill>
              </w:rPr>
              <w:t>采用硬质隔断，</w:t>
            </w:r>
            <w:r>
              <w:rPr>
                <w:rFonts w:hint="eastAsia" w:cs="宋体"/>
                <w:color w:val="000000" w:themeColor="text1"/>
                <w:sz w:val="24"/>
                <w:szCs w:val="32"/>
                <w:highlight w:val="none"/>
                <w14:textFill>
                  <w14:solidFill>
                    <w14:schemeClr w14:val="tx1"/>
                  </w14:solidFill>
                </w14:textFill>
              </w:rPr>
              <w:t>单独</w:t>
            </w:r>
            <w:r>
              <w:rPr>
                <w:rFonts w:hint="eastAsia" w:cs="宋体"/>
                <w:color w:val="000000" w:themeColor="text1"/>
                <w:sz w:val="24"/>
                <w:szCs w:val="32"/>
                <w:highlight w:val="none"/>
                <w:lang w:val="en-US" w:eastAsia="zh-CN"/>
                <w14:textFill>
                  <w14:solidFill>
                    <w14:schemeClr w14:val="tx1"/>
                  </w14:solidFill>
                </w14:textFill>
              </w:rPr>
              <w:t>操作间；</w:t>
            </w:r>
            <w:r>
              <w:rPr>
                <w:rFonts w:hint="eastAsia" w:cs="宋体"/>
                <w:color w:val="000000" w:themeColor="text1"/>
                <w:sz w:val="24"/>
                <w:szCs w:val="32"/>
                <w:highlight w:val="none"/>
                <w14:textFill>
                  <w14:solidFill>
                    <w14:schemeClr w14:val="tx1"/>
                  </w14:solidFill>
                </w14:textFill>
              </w:rPr>
              <w:t>项目拟在</w:t>
            </w:r>
            <w:r>
              <w:rPr>
                <w:rFonts w:hint="eastAsia" w:cs="宋体"/>
                <w:color w:val="000000" w:themeColor="text1"/>
                <w:sz w:val="24"/>
                <w:szCs w:val="32"/>
                <w:highlight w:val="none"/>
                <w:lang w:val="en-US" w:eastAsia="zh-CN"/>
                <w14:textFill>
                  <w14:solidFill>
                    <w14:schemeClr w14:val="tx1"/>
                  </w14:solidFill>
                </w14:textFill>
              </w:rPr>
              <w:t>各环节</w:t>
            </w:r>
            <w:r>
              <w:rPr>
                <w:rFonts w:hint="eastAsia" w:cs="宋体"/>
                <w:color w:val="000000" w:themeColor="text1"/>
                <w:sz w:val="24"/>
                <w:szCs w:val="32"/>
                <w:highlight w:val="none"/>
                <w14:textFill>
                  <w14:solidFill>
                    <w14:schemeClr w14:val="tx1"/>
                  </w14:solidFill>
                </w14:textFill>
              </w:rPr>
              <w:t>上方设置集气罩收集</w:t>
            </w:r>
            <w:r>
              <w:rPr>
                <w:rFonts w:hint="eastAsia" w:cs="宋体"/>
                <w:color w:val="000000" w:themeColor="text1"/>
                <w:sz w:val="24"/>
                <w:szCs w:val="32"/>
                <w:highlight w:val="none"/>
                <w:lang w:val="en-US" w:eastAsia="zh-CN"/>
                <w14:textFill>
                  <w14:solidFill>
                    <w14:schemeClr w14:val="tx1"/>
                  </w14:solidFill>
                </w14:textFill>
              </w:rPr>
              <w:t>酸性废气</w:t>
            </w:r>
            <w:r>
              <w:rPr>
                <w:rFonts w:hint="eastAsia" w:cs="宋体"/>
                <w:color w:val="000000" w:themeColor="text1"/>
                <w:sz w:val="24"/>
                <w:szCs w:val="32"/>
                <w:highlight w:val="none"/>
                <w14:textFill>
                  <w14:solidFill>
                    <w14:schemeClr w14:val="tx1"/>
                  </w14:solidFill>
                </w14:textFill>
              </w:rPr>
              <w:t>，采用</w:t>
            </w:r>
            <w:r>
              <w:rPr>
                <w:rFonts w:hint="eastAsia" w:cs="宋体"/>
                <w:color w:val="000000" w:themeColor="text1"/>
                <w:sz w:val="24"/>
                <w:szCs w:val="32"/>
                <w:highlight w:val="none"/>
                <w:lang w:val="en-US" w:eastAsia="zh-CN"/>
                <w14:textFill>
                  <w14:solidFill>
                    <w14:schemeClr w14:val="tx1"/>
                  </w14:solidFill>
                </w14:textFill>
              </w:rPr>
              <w:t>局部</w:t>
            </w:r>
            <w:r>
              <w:rPr>
                <w:rFonts w:hint="eastAsia" w:cs="宋体"/>
                <w:color w:val="000000" w:themeColor="text1"/>
                <w:sz w:val="24"/>
                <w:szCs w:val="32"/>
                <w:highlight w:val="none"/>
                <w14:textFill>
                  <w14:solidFill>
                    <w14:schemeClr w14:val="tx1"/>
                  </w14:solidFill>
                </w14:textFill>
              </w:rPr>
              <w:t>顶吸式收集方式。本项目</w:t>
            </w:r>
            <w:r>
              <w:rPr>
                <w:rFonts w:hint="eastAsia" w:cs="宋体"/>
                <w:color w:val="000000" w:themeColor="text1"/>
                <w:sz w:val="24"/>
                <w:szCs w:val="32"/>
                <w:highlight w:val="none"/>
                <w:lang w:val="en-US" w:eastAsia="zh-CN"/>
                <w14:textFill>
                  <w14:solidFill>
                    <w14:schemeClr w14:val="tx1"/>
                  </w14:solidFill>
                </w14:textFill>
              </w:rPr>
              <w:t>酸性废气收集</w:t>
            </w:r>
            <w:r>
              <w:rPr>
                <w:rFonts w:hint="eastAsia" w:cs="宋体"/>
                <w:color w:val="000000" w:themeColor="text1"/>
                <w:sz w:val="24"/>
                <w:szCs w:val="32"/>
                <w:highlight w:val="none"/>
                <w14:textFill>
                  <w14:solidFill>
                    <w14:schemeClr w14:val="tx1"/>
                  </w14:solidFill>
                </w14:textFill>
              </w:rPr>
              <w:t>设施设计风机风量为</w:t>
            </w:r>
            <w:r>
              <w:rPr>
                <w:rFonts w:hint="eastAsia" w:cs="宋体"/>
                <w:color w:val="000000" w:themeColor="text1"/>
                <w:sz w:val="24"/>
                <w:szCs w:val="32"/>
                <w:highlight w:val="none"/>
                <w:lang w:val="en-US" w:eastAsia="zh-CN"/>
                <w14:textFill>
                  <w14:solidFill>
                    <w14:schemeClr w14:val="tx1"/>
                  </w14:solidFill>
                </w14:textFill>
              </w:rPr>
              <w:t>45</w:t>
            </w:r>
            <w:r>
              <w:rPr>
                <w:rFonts w:hint="eastAsia" w:cs="宋体"/>
                <w:color w:val="000000" w:themeColor="text1"/>
                <w:sz w:val="24"/>
                <w:szCs w:val="32"/>
                <w:highlight w:val="none"/>
                <w14:textFill>
                  <w14:solidFill>
                    <w14:schemeClr w14:val="tx1"/>
                  </w14:solidFill>
                </w14:textFill>
              </w:rPr>
              <w:t>00m</w:t>
            </w:r>
            <w:r>
              <w:rPr>
                <w:rFonts w:hint="eastAsia" w:cs="宋体"/>
                <w:color w:val="000000" w:themeColor="text1"/>
                <w:sz w:val="24"/>
                <w:szCs w:val="32"/>
                <w:highlight w:val="none"/>
                <w:vertAlign w:val="superscript"/>
                <w14:textFill>
                  <w14:solidFill>
                    <w14:schemeClr w14:val="tx1"/>
                  </w14:solidFill>
                </w14:textFill>
              </w:rPr>
              <w:t>3</w:t>
            </w:r>
            <w:r>
              <w:rPr>
                <w:rFonts w:hint="eastAsia" w:cs="宋体"/>
                <w:color w:val="000000" w:themeColor="text1"/>
                <w:sz w:val="24"/>
                <w:szCs w:val="32"/>
                <w:highlight w:val="none"/>
                <w14:textFill>
                  <w14:solidFill>
                    <w14:schemeClr w14:val="tx1"/>
                  </w14:solidFill>
                </w14:textFill>
              </w:rPr>
              <w:t>/h，</w:t>
            </w:r>
            <w:r>
              <w:rPr>
                <w:rFonts w:hint="eastAsia" w:cs="宋体"/>
                <w:color w:val="000000" w:themeColor="text1"/>
                <w:sz w:val="24"/>
                <w:szCs w:val="32"/>
                <w:highlight w:val="none"/>
                <w:lang w:val="en-US" w:eastAsia="zh-CN"/>
                <w14:textFill>
                  <w14:solidFill>
                    <w14:schemeClr w14:val="tx1"/>
                  </w14:solidFill>
                </w14:textFill>
              </w:rPr>
              <w:t>局部换风体积350</w:t>
            </w:r>
            <w:r>
              <w:rPr>
                <w:rFonts w:hint="eastAsia" w:cs="宋体"/>
                <w:color w:val="000000" w:themeColor="text1"/>
                <w:sz w:val="24"/>
                <w:szCs w:val="32"/>
                <w:highlight w:val="none"/>
                <w14:textFill>
                  <w14:solidFill>
                    <w14:schemeClr w14:val="tx1"/>
                  </w14:solidFill>
                </w14:textFill>
              </w:rPr>
              <w:t>m</w:t>
            </w:r>
            <w:r>
              <w:rPr>
                <w:rFonts w:hint="eastAsia" w:cs="宋体"/>
                <w:color w:val="000000" w:themeColor="text1"/>
                <w:sz w:val="24"/>
                <w:szCs w:val="32"/>
                <w:highlight w:val="none"/>
                <w:vertAlign w:val="superscript"/>
                <w14:textFill>
                  <w14:solidFill>
                    <w14:schemeClr w14:val="tx1"/>
                  </w14:solidFill>
                </w14:textFill>
              </w:rPr>
              <w:t>3</w:t>
            </w:r>
            <w:r>
              <w:rPr>
                <w:rFonts w:hint="eastAsia" w:cs="宋体"/>
                <w:color w:val="000000" w:themeColor="text1"/>
                <w:sz w:val="24"/>
                <w:szCs w:val="32"/>
                <w:highlight w:val="none"/>
                <w14:textFill>
                  <w14:solidFill>
                    <w14:schemeClr w14:val="tx1"/>
                  </w14:solidFill>
                </w14:textFill>
              </w:rPr>
              <w:t>/h</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每小时换风次数12次，</w:t>
            </w:r>
            <w:r>
              <w:rPr>
                <w:rFonts w:hint="eastAsia" w:cs="宋体"/>
                <w:color w:val="000000" w:themeColor="text1"/>
                <w:sz w:val="24"/>
                <w:szCs w:val="32"/>
                <w:highlight w:val="none"/>
                <w14:textFill>
                  <w14:solidFill>
                    <w14:schemeClr w14:val="tx1"/>
                  </w14:solidFill>
                </w14:textFill>
              </w:rPr>
              <w:t>可满足收集要求</w:t>
            </w:r>
            <w:r>
              <w:rPr>
                <w:rFonts w:hint="eastAsia" w:cs="宋体"/>
                <w:color w:val="000000" w:themeColor="text1"/>
                <w:sz w:val="24"/>
                <w:szCs w:val="32"/>
                <w:highlight w:val="none"/>
                <w:lang w:eastAsia="zh-CN"/>
                <w14:textFill>
                  <w14:solidFill>
                    <w14:schemeClr w14:val="tx1"/>
                  </w14:solidFill>
                </w14:textFill>
              </w:rPr>
              <w:t>。</w:t>
            </w:r>
          </w:p>
          <w:p w14:paraId="506511C0">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本项目年工作时长按2000h，因此本项目酸性废气产生与排放情况见下表。</w:t>
            </w:r>
          </w:p>
          <w:p w14:paraId="08A9B6B2">
            <w:pPr>
              <w:spacing w:line="360" w:lineRule="auto"/>
              <w:jc w:val="center"/>
              <w:rPr>
                <w:rFonts w:hint="eastAsia"/>
                <w:b/>
                <w:bCs w:val="0"/>
                <w:color w:val="000000" w:themeColor="text1"/>
                <w:sz w:val="24"/>
                <w:szCs w:val="24"/>
                <w:highlight w:val="none"/>
                <w14:textFill>
                  <w14:solidFill>
                    <w14:schemeClr w14:val="tx1"/>
                  </w14:solidFill>
                </w14:textFill>
              </w:rPr>
            </w:pPr>
            <w:r>
              <w:rPr>
                <w:rFonts w:hint="eastAsia" w:cs="宋体"/>
                <w:b/>
                <w:bCs w:val="0"/>
                <w:color w:val="000000" w:themeColor="text1"/>
                <w:sz w:val="24"/>
                <w:szCs w:val="24"/>
                <w:highlight w:val="none"/>
                <w14:textFill>
                  <w14:solidFill>
                    <w14:schemeClr w14:val="tx1"/>
                  </w14:solidFill>
                </w14:textFill>
              </w:rPr>
              <w:t xml:space="preserve">表 </w:t>
            </w:r>
            <w:r>
              <w:rPr>
                <w:b/>
                <w:bCs w:val="0"/>
                <w:color w:val="000000" w:themeColor="text1"/>
                <w:sz w:val="24"/>
                <w:szCs w:val="24"/>
                <w:highlight w:val="none"/>
                <w14:textFill>
                  <w14:solidFill>
                    <w14:schemeClr w14:val="tx1"/>
                  </w14:solidFill>
                </w14:textFill>
              </w:rPr>
              <w:t>4</w:t>
            </w:r>
            <w:r>
              <w:rPr>
                <w:rFonts w:hint="eastAsia"/>
                <w:b/>
                <w:bCs w:val="0"/>
                <w:color w:val="000000" w:themeColor="text1"/>
                <w:sz w:val="24"/>
                <w:szCs w:val="24"/>
                <w:highlight w:val="none"/>
                <w:lang w:val="en-US" w:eastAsia="zh-CN"/>
                <w14:textFill>
                  <w14:solidFill>
                    <w14:schemeClr w14:val="tx1"/>
                  </w14:solidFill>
                </w14:textFill>
              </w:rPr>
              <w:t>.1</w:t>
            </w:r>
            <w:r>
              <w:rPr>
                <w:b/>
                <w:bCs w:val="0"/>
                <w:color w:val="000000" w:themeColor="text1"/>
                <w:sz w:val="24"/>
                <w:szCs w:val="24"/>
                <w:highlight w:val="none"/>
                <w14:textFill>
                  <w14:solidFill>
                    <w14:schemeClr w14:val="tx1"/>
                  </w14:solidFill>
                </w14:textFill>
              </w:rPr>
              <w:t>-</w:t>
            </w:r>
            <w:r>
              <w:rPr>
                <w:rFonts w:hint="eastAsia"/>
                <w:b/>
                <w:bCs w:val="0"/>
                <w:color w:val="000000" w:themeColor="text1"/>
                <w:sz w:val="24"/>
                <w:szCs w:val="24"/>
                <w:highlight w:val="none"/>
                <w:lang w:val="en-US" w:eastAsia="zh-CN"/>
                <w14:textFill>
                  <w14:solidFill>
                    <w14:schemeClr w14:val="tx1"/>
                  </w14:solidFill>
                </w14:textFill>
              </w:rPr>
              <w:t>3</w:t>
            </w:r>
            <w:r>
              <w:rPr>
                <w:b/>
                <w:bCs w:val="0"/>
                <w:color w:val="000000" w:themeColor="text1"/>
                <w:sz w:val="24"/>
                <w:szCs w:val="24"/>
                <w:highlight w:val="none"/>
                <w14:textFill>
                  <w14:solidFill>
                    <w14:schemeClr w14:val="tx1"/>
                  </w14:solidFill>
                </w14:textFill>
              </w:rPr>
              <w:t xml:space="preserve">  </w:t>
            </w:r>
            <w:r>
              <w:rPr>
                <w:rFonts w:hint="eastAsia"/>
                <w:b/>
                <w:bCs w:val="0"/>
                <w:color w:val="000000" w:themeColor="text1"/>
                <w:sz w:val="24"/>
                <w:szCs w:val="24"/>
                <w:highlight w:val="none"/>
                <w:lang w:val="en-US" w:eastAsia="zh-CN"/>
                <w14:textFill>
                  <w14:solidFill>
                    <w14:schemeClr w14:val="tx1"/>
                  </w14:solidFill>
                </w14:textFill>
              </w:rPr>
              <w:t>本项目有组织酸性废气产排情况</w:t>
            </w:r>
            <w:r>
              <w:rPr>
                <w:rFonts w:hint="eastAsia"/>
                <w:b/>
                <w:bCs w:val="0"/>
                <w:color w:val="000000" w:themeColor="text1"/>
                <w:sz w:val="24"/>
                <w:szCs w:val="24"/>
                <w:highlight w:val="none"/>
                <w14:textFill>
                  <w14:solidFill>
                    <w14:schemeClr w14:val="tx1"/>
                  </w14:solidFill>
                </w14:textFill>
              </w:rPr>
              <w:t>一览表</w:t>
            </w:r>
          </w:p>
          <w:tbl>
            <w:tblPr>
              <w:tblStyle w:val="30"/>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61"/>
              <w:gridCol w:w="493"/>
              <w:gridCol w:w="571"/>
              <w:gridCol w:w="558"/>
              <w:gridCol w:w="558"/>
              <w:gridCol w:w="675"/>
              <w:gridCol w:w="481"/>
              <w:gridCol w:w="481"/>
              <w:gridCol w:w="612"/>
              <w:gridCol w:w="558"/>
              <w:gridCol w:w="558"/>
              <w:gridCol w:w="481"/>
              <w:gridCol w:w="481"/>
              <w:gridCol w:w="481"/>
              <w:gridCol w:w="481"/>
            </w:tblGrid>
            <w:tr w14:paraId="2CDA2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833FA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排气筒名称</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28E63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排放源名称</w:t>
                  </w: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A65FD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污染物名称</w:t>
                  </w:r>
                </w:p>
              </w:tc>
              <w:tc>
                <w:tcPr>
                  <w:tcW w:w="4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566D1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产生情况</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FB891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治理措施</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40BFD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去除率%</w:t>
                  </w:r>
                </w:p>
              </w:tc>
              <w:tc>
                <w:tcPr>
                  <w:tcW w:w="41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B8777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排放情况</w:t>
                  </w:r>
                </w:p>
              </w:tc>
              <w:tc>
                <w:tcPr>
                  <w:tcW w:w="43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E0C8C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排放口参数</w:t>
                  </w:r>
                </w:p>
              </w:tc>
            </w:tr>
            <w:tr w14:paraId="68BEC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60E37">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3F3B7">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2562B">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383F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浓度mg/m</w:t>
                  </w:r>
                  <w:r>
                    <w:rPr>
                      <w:rFonts w:hint="default" w:ascii="Times New Roman" w:hAnsi="Times New Roman" w:eastAsia="宋体"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3</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F00E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速率kg/h</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58EE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产生量t/a</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905DA">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9B7DD">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69B7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浓度mg/m</w:t>
                  </w:r>
                  <w:r>
                    <w:rPr>
                      <w:rFonts w:hint="default" w:ascii="Times New Roman" w:hAnsi="Times New Roman" w:eastAsia="宋体"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3</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1AA5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速率kg/h</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FD91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排放量t/a</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F45C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高度m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1957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内径m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E09C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温度℃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7FCC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方式</w:t>
                  </w:r>
                </w:p>
              </w:tc>
            </w:tr>
            <w:tr w14:paraId="64563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8548B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DA00</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6</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DE8FF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酸性废气</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C4BA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硫酸雾</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6813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1.0889 </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527A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0.0049</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CFC5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0.0098</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AE710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碱液喷淋塔</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AFD9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1906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0.1034 </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9859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0.0005 </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D238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0.0009 </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A8974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30</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0290F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0.35</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87038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25</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B56CF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连续</w:t>
                  </w:r>
                </w:p>
              </w:tc>
            </w:tr>
            <w:tr w14:paraId="61316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atLeast"/>
                <w:jc w:val="center"/>
              </w:trPr>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ACD1B">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16AAE">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EB99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硝酸雾（以NO</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x</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计）</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1D1E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0.0532 </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83F9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0.0002 </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8DBF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 xml:space="preserve">0.0005 </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48A7F">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68E4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39E6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0.0051 </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3D25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0.000023 </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D90A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0.000045 </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37E99">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85397">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19CC3">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70782">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3CF4D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05A21">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4A3C3A">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502D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氟化物</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A49B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0.4684 </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AEBA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0.0021 </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0069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 xml:space="preserve">0.0042 </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54F54">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1E8A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B87E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0.0445 </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923C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0.0002 </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CA08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0.0004 </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D272E">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4A2A6">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249BC">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849CD">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3425B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ED30C">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BE49B3">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6E14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氯化氢</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9139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0.0117 </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5D11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0.0001 </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58A9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 xml:space="preserve">0.0001 </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6144C">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D2EB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11E9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0.0011 </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1CDE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0.000005 </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4508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0.000010 </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92568">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CB6E9">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C31AF">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251CA">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bl>
          <w:p w14:paraId="59FF0B5D">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eastAsia="宋体"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四</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碱性废气</w:t>
            </w:r>
          </w:p>
          <w:p w14:paraId="4B37E6C9">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本</w:t>
            </w:r>
            <w:r>
              <w:rPr>
                <w:rFonts w:hint="eastAsia" w:cs="宋体"/>
                <w:color w:val="000000" w:themeColor="text1"/>
                <w:sz w:val="24"/>
                <w:szCs w:val="32"/>
                <w:highlight w:val="none"/>
                <w14:textFill>
                  <w14:solidFill>
                    <w14:schemeClr w14:val="tx1"/>
                  </w14:solidFill>
                </w14:textFill>
              </w:rPr>
              <w:t>项目</w:t>
            </w:r>
            <w:r>
              <w:rPr>
                <w:rFonts w:hint="eastAsia" w:cs="宋体"/>
                <w:color w:val="000000" w:themeColor="text1"/>
                <w:sz w:val="24"/>
                <w:szCs w:val="32"/>
                <w:highlight w:val="none"/>
                <w:lang w:val="en-US" w:eastAsia="zh-CN"/>
                <w14:textFill>
                  <w14:solidFill>
                    <w14:schemeClr w14:val="tx1"/>
                  </w14:solidFill>
                </w14:textFill>
              </w:rPr>
              <w:t>产品2的显影环节，使用显影液四甲基氢氧化铵，</w:t>
            </w:r>
            <w:r>
              <w:rPr>
                <w:rFonts w:hint="eastAsia" w:cs="宋体"/>
                <w:color w:val="000000" w:themeColor="text1"/>
                <w:sz w:val="24"/>
                <w:szCs w:val="32"/>
                <w:highlight w:val="none"/>
                <w14:textFill>
                  <w14:solidFill>
                    <w14:schemeClr w14:val="tx1"/>
                  </w14:solidFill>
                </w14:textFill>
              </w:rPr>
              <w:t>将产生</w:t>
            </w:r>
            <w:r>
              <w:rPr>
                <w:rFonts w:hint="eastAsia" w:cs="宋体"/>
                <w:color w:val="000000" w:themeColor="text1"/>
                <w:sz w:val="24"/>
                <w:szCs w:val="32"/>
                <w:highlight w:val="none"/>
                <w:lang w:val="en-US" w:eastAsia="zh-CN"/>
                <w14:textFill>
                  <w14:solidFill>
                    <w14:schemeClr w14:val="tx1"/>
                  </w14:solidFill>
                </w14:textFill>
              </w:rPr>
              <w:t>碱性</w:t>
            </w:r>
            <w:r>
              <w:rPr>
                <w:rFonts w:hint="eastAsia" w:cs="宋体"/>
                <w:color w:val="000000" w:themeColor="text1"/>
                <w:sz w:val="24"/>
                <w:szCs w:val="32"/>
                <w:highlight w:val="none"/>
                <w14:textFill>
                  <w14:solidFill>
                    <w14:schemeClr w14:val="tx1"/>
                  </w14:solidFill>
                </w14:textFill>
              </w:rPr>
              <w:t>废气。</w:t>
            </w:r>
          </w:p>
          <w:p w14:paraId="7A0476E5">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显影液2.38%四甲基氢氧化铵（TMAH）年使用量4t，TMAH有效质量0.0952t，挥发量占使用量比例保守按1%，则本项目碱性废气产生量0.0009</w:t>
            </w:r>
            <w:r>
              <w:rPr>
                <w:rFonts w:hint="eastAsia" w:cs="宋体"/>
                <w:color w:val="000000" w:themeColor="text1"/>
                <w:sz w:val="24"/>
                <w:szCs w:val="32"/>
                <w:highlight w:val="none"/>
                <w14:textFill>
                  <w14:solidFill>
                    <w14:schemeClr w14:val="tx1"/>
                  </w14:solidFill>
                </w14:textFill>
              </w:rPr>
              <w:t>t/a</w:t>
            </w:r>
            <w:r>
              <w:rPr>
                <w:rFonts w:hint="eastAsia" w:cs="宋体"/>
                <w:color w:val="000000" w:themeColor="text1"/>
                <w:sz w:val="24"/>
                <w:szCs w:val="32"/>
                <w:highlight w:val="none"/>
                <w:lang w:val="en-US" w:eastAsia="zh-CN"/>
                <w14:textFill>
                  <w14:solidFill>
                    <w14:schemeClr w14:val="tx1"/>
                  </w14:solidFill>
                </w14:textFill>
              </w:rPr>
              <w:t>。</w:t>
            </w:r>
          </w:p>
          <w:p w14:paraId="59B06D67">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收集效率：</w:t>
            </w:r>
            <w:r>
              <w:rPr>
                <w:rFonts w:hint="eastAsia" w:cs="宋体"/>
                <w:color w:val="000000" w:themeColor="text1"/>
                <w:sz w:val="24"/>
                <w:szCs w:val="32"/>
                <w:highlight w:val="none"/>
                <w14:textFill>
                  <w14:solidFill>
                    <w14:schemeClr w14:val="tx1"/>
                  </w14:solidFill>
                </w14:textFill>
              </w:rPr>
              <w:t>本项目生产车间为微负压超洁净车间，生产线自动化程度高，全封闭操作，废气经</w:t>
            </w:r>
            <w:r>
              <w:rPr>
                <w:rFonts w:hint="eastAsia" w:cs="宋体"/>
                <w:color w:val="000000" w:themeColor="text1"/>
                <w:sz w:val="24"/>
                <w:szCs w:val="32"/>
                <w:highlight w:val="none"/>
                <w:lang w:val="en-US" w:eastAsia="zh-CN"/>
                <w14:textFill>
                  <w14:solidFill>
                    <w14:schemeClr w14:val="tx1"/>
                  </w14:solidFill>
                </w14:textFill>
              </w:rPr>
              <w:t>密闭</w:t>
            </w:r>
            <w:r>
              <w:rPr>
                <w:rFonts w:hint="eastAsia" w:cs="宋体"/>
                <w:color w:val="000000" w:themeColor="text1"/>
                <w:sz w:val="24"/>
                <w:szCs w:val="32"/>
                <w:highlight w:val="none"/>
                <w14:textFill>
                  <w14:solidFill>
                    <w14:schemeClr w14:val="tx1"/>
                  </w14:solidFill>
                </w14:textFill>
              </w:rPr>
              <w:t>集气管道收集至</w:t>
            </w:r>
            <w:r>
              <w:rPr>
                <w:rFonts w:hint="eastAsia" w:cs="宋体"/>
                <w:color w:val="000000" w:themeColor="text1"/>
                <w:sz w:val="24"/>
                <w:szCs w:val="32"/>
                <w:highlight w:val="none"/>
                <w:lang w:val="en-US" w:eastAsia="zh-CN"/>
                <w14:textFill>
                  <w14:solidFill>
                    <w14:schemeClr w14:val="tx1"/>
                  </w14:solidFill>
                </w14:textFill>
              </w:rPr>
              <w:t>碱性</w:t>
            </w:r>
            <w:r>
              <w:rPr>
                <w:rFonts w:hint="eastAsia" w:cs="宋体"/>
                <w:color w:val="000000" w:themeColor="text1"/>
                <w:sz w:val="24"/>
                <w:szCs w:val="32"/>
                <w:highlight w:val="none"/>
                <w14:textFill>
                  <w14:solidFill>
                    <w14:schemeClr w14:val="tx1"/>
                  </w14:solidFill>
                </w14:textFill>
              </w:rPr>
              <w:t>气体处理系统处理</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根据《主要污染物总量减排核算技术指南（2022年修订）》，密闭管道收集效率为95%。</w:t>
            </w:r>
          </w:p>
          <w:p w14:paraId="7313A92E">
            <w:pPr>
              <w:spacing w:line="360" w:lineRule="auto"/>
              <w:ind w:firstLine="480" w:firstLineChars="200"/>
              <w:rPr>
                <w:rFonts w:hint="default" w:eastAsia="宋体"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处理效率：</w:t>
            </w:r>
            <w:r>
              <w:rPr>
                <w:rFonts w:hint="eastAsia" w:cs="宋体"/>
                <w:color w:val="000000" w:themeColor="text1"/>
                <w:sz w:val="24"/>
                <w:szCs w:val="32"/>
                <w:highlight w:val="none"/>
                <w:lang w:val="en-US" w:eastAsia="zh-CN"/>
                <w14:textFill>
                  <w14:solidFill>
                    <w14:schemeClr w14:val="tx1"/>
                  </w14:solidFill>
                </w14:textFill>
              </w:rPr>
              <w:t>本项目采用洗涤塔喷淋中和液(稀硫酸溶液)处理碱性废气。参考同类型厦门天马显示科技有限公司第6代柔性AMOLED生产线项目，稀硫酸喷淋塔对碱性废气的处理效率保守取90%。</w:t>
            </w:r>
          </w:p>
          <w:p w14:paraId="621E2964">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碱性废气经密闭</w:t>
            </w:r>
            <w:r>
              <w:rPr>
                <w:rFonts w:hint="eastAsia" w:cs="宋体"/>
                <w:color w:val="000000" w:themeColor="text1"/>
                <w:sz w:val="24"/>
                <w:szCs w:val="32"/>
                <w:highlight w:val="none"/>
                <w14:textFill>
                  <w14:solidFill>
                    <w14:schemeClr w14:val="tx1"/>
                  </w14:solidFill>
                </w14:textFill>
              </w:rPr>
              <w:t>集气管道</w:t>
            </w:r>
            <w:r>
              <w:rPr>
                <w:rFonts w:hint="eastAsia" w:cs="宋体"/>
                <w:color w:val="000000" w:themeColor="text1"/>
                <w:sz w:val="24"/>
                <w:szCs w:val="32"/>
                <w:highlight w:val="none"/>
                <w:lang w:val="en-US" w:eastAsia="zh-CN"/>
                <w14:textFill>
                  <w14:solidFill>
                    <w14:schemeClr w14:val="tx1"/>
                  </w14:solidFill>
                </w14:textFill>
              </w:rPr>
              <w:t>收集至稀硫酸喷淋塔处理后由一根30米高排气筒排放。本项目所在1#厂房共4层，建筑总高度23.4m，排气筒高出建筑物6.6m。</w:t>
            </w:r>
          </w:p>
          <w:p w14:paraId="3F5BB9DD">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本项目</w:t>
            </w:r>
            <w:r>
              <w:rPr>
                <w:rFonts w:hint="eastAsia" w:cs="宋体"/>
                <w:color w:val="000000" w:themeColor="text1"/>
                <w:sz w:val="24"/>
                <w:szCs w:val="32"/>
                <w:highlight w:val="none"/>
                <w:lang w:val="en-US" w:eastAsia="zh-CN"/>
                <w14:textFill>
                  <w14:solidFill>
                    <w14:schemeClr w14:val="tx1"/>
                  </w14:solidFill>
                </w14:textFill>
              </w:rPr>
              <w:t>产品2的显影环节采用硬质隔断，</w:t>
            </w:r>
            <w:r>
              <w:rPr>
                <w:rFonts w:hint="eastAsia" w:cs="宋体"/>
                <w:color w:val="000000" w:themeColor="text1"/>
                <w:sz w:val="24"/>
                <w:szCs w:val="32"/>
                <w:highlight w:val="none"/>
                <w14:textFill>
                  <w14:solidFill>
                    <w14:schemeClr w14:val="tx1"/>
                  </w14:solidFill>
                </w14:textFill>
              </w:rPr>
              <w:t>单独</w:t>
            </w:r>
            <w:r>
              <w:rPr>
                <w:rFonts w:hint="eastAsia" w:cs="宋体"/>
                <w:color w:val="000000" w:themeColor="text1"/>
                <w:sz w:val="24"/>
                <w:szCs w:val="32"/>
                <w:highlight w:val="none"/>
                <w:lang w:val="en-US" w:eastAsia="zh-CN"/>
                <w14:textFill>
                  <w14:solidFill>
                    <w14:schemeClr w14:val="tx1"/>
                  </w14:solidFill>
                </w14:textFill>
              </w:rPr>
              <w:t>操作间；</w:t>
            </w:r>
            <w:r>
              <w:rPr>
                <w:rFonts w:hint="eastAsia" w:cs="宋体"/>
                <w:color w:val="000000" w:themeColor="text1"/>
                <w:sz w:val="24"/>
                <w:szCs w:val="32"/>
                <w:highlight w:val="none"/>
                <w14:textFill>
                  <w14:solidFill>
                    <w14:schemeClr w14:val="tx1"/>
                  </w14:solidFill>
                </w14:textFill>
              </w:rPr>
              <w:t>项目拟在</w:t>
            </w:r>
            <w:r>
              <w:rPr>
                <w:rFonts w:hint="eastAsia" w:cs="宋体"/>
                <w:color w:val="000000" w:themeColor="text1"/>
                <w:sz w:val="24"/>
                <w:szCs w:val="32"/>
                <w:highlight w:val="none"/>
                <w:lang w:val="en-US" w:eastAsia="zh-CN"/>
                <w14:textFill>
                  <w14:solidFill>
                    <w14:schemeClr w14:val="tx1"/>
                  </w14:solidFill>
                </w14:textFill>
              </w:rPr>
              <w:t>该环节</w:t>
            </w:r>
            <w:r>
              <w:rPr>
                <w:rFonts w:hint="eastAsia" w:cs="宋体"/>
                <w:color w:val="000000" w:themeColor="text1"/>
                <w:sz w:val="24"/>
                <w:szCs w:val="32"/>
                <w:highlight w:val="none"/>
                <w14:textFill>
                  <w14:solidFill>
                    <w14:schemeClr w14:val="tx1"/>
                  </w14:solidFill>
                </w14:textFill>
              </w:rPr>
              <w:t>上方设置集气罩收集</w:t>
            </w:r>
            <w:r>
              <w:rPr>
                <w:rFonts w:hint="eastAsia" w:cs="宋体"/>
                <w:color w:val="000000" w:themeColor="text1"/>
                <w:sz w:val="24"/>
                <w:szCs w:val="32"/>
                <w:highlight w:val="none"/>
                <w:lang w:val="en-US" w:eastAsia="zh-CN"/>
                <w14:textFill>
                  <w14:solidFill>
                    <w14:schemeClr w14:val="tx1"/>
                  </w14:solidFill>
                </w14:textFill>
              </w:rPr>
              <w:t>碱性废气</w:t>
            </w:r>
            <w:r>
              <w:rPr>
                <w:rFonts w:hint="eastAsia" w:cs="宋体"/>
                <w:color w:val="000000" w:themeColor="text1"/>
                <w:sz w:val="24"/>
                <w:szCs w:val="32"/>
                <w:highlight w:val="none"/>
                <w14:textFill>
                  <w14:solidFill>
                    <w14:schemeClr w14:val="tx1"/>
                  </w14:solidFill>
                </w14:textFill>
              </w:rPr>
              <w:t>，采用</w:t>
            </w:r>
            <w:r>
              <w:rPr>
                <w:rFonts w:hint="eastAsia" w:cs="宋体"/>
                <w:color w:val="000000" w:themeColor="text1"/>
                <w:sz w:val="24"/>
                <w:szCs w:val="32"/>
                <w:highlight w:val="none"/>
                <w:lang w:val="en-US" w:eastAsia="zh-CN"/>
                <w14:textFill>
                  <w14:solidFill>
                    <w14:schemeClr w14:val="tx1"/>
                  </w14:solidFill>
                </w14:textFill>
              </w:rPr>
              <w:t>局部</w:t>
            </w:r>
            <w:r>
              <w:rPr>
                <w:rFonts w:hint="eastAsia" w:cs="宋体"/>
                <w:color w:val="000000" w:themeColor="text1"/>
                <w:sz w:val="24"/>
                <w:szCs w:val="32"/>
                <w:highlight w:val="none"/>
                <w14:textFill>
                  <w14:solidFill>
                    <w14:schemeClr w14:val="tx1"/>
                  </w14:solidFill>
                </w14:textFill>
              </w:rPr>
              <w:t>顶吸式收集方式。本项目</w:t>
            </w:r>
            <w:r>
              <w:rPr>
                <w:rFonts w:hint="eastAsia" w:cs="宋体"/>
                <w:color w:val="000000" w:themeColor="text1"/>
                <w:sz w:val="24"/>
                <w:szCs w:val="32"/>
                <w:highlight w:val="none"/>
                <w:lang w:val="en-US" w:eastAsia="zh-CN"/>
                <w14:textFill>
                  <w14:solidFill>
                    <w14:schemeClr w14:val="tx1"/>
                  </w14:solidFill>
                </w14:textFill>
              </w:rPr>
              <w:t>碱性废气收集</w:t>
            </w:r>
            <w:r>
              <w:rPr>
                <w:rFonts w:hint="eastAsia" w:cs="宋体"/>
                <w:color w:val="000000" w:themeColor="text1"/>
                <w:sz w:val="24"/>
                <w:szCs w:val="32"/>
                <w:highlight w:val="none"/>
                <w14:textFill>
                  <w14:solidFill>
                    <w14:schemeClr w14:val="tx1"/>
                  </w14:solidFill>
                </w14:textFill>
              </w:rPr>
              <w:t>设施设计风机风量为</w:t>
            </w:r>
            <w:r>
              <w:rPr>
                <w:rFonts w:hint="eastAsia" w:cs="宋体"/>
                <w:color w:val="000000" w:themeColor="text1"/>
                <w:sz w:val="24"/>
                <w:szCs w:val="32"/>
                <w:highlight w:val="none"/>
                <w:lang w:val="en-US" w:eastAsia="zh-CN"/>
                <w14:textFill>
                  <w14:solidFill>
                    <w14:schemeClr w14:val="tx1"/>
                  </w14:solidFill>
                </w14:textFill>
              </w:rPr>
              <w:t>2472</w:t>
            </w:r>
            <w:r>
              <w:rPr>
                <w:rFonts w:hint="eastAsia" w:cs="宋体"/>
                <w:color w:val="000000" w:themeColor="text1"/>
                <w:sz w:val="24"/>
                <w:szCs w:val="32"/>
                <w:highlight w:val="none"/>
                <w14:textFill>
                  <w14:solidFill>
                    <w14:schemeClr w14:val="tx1"/>
                  </w14:solidFill>
                </w14:textFill>
              </w:rPr>
              <w:t>m</w:t>
            </w:r>
            <w:r>
              <w:rPr>
                <w:rFonts w:hint="eastAsia" w:cs="宋体"/>
                <w:color w:val="000000" w:themeColor="text1"/>
                <w:sz w:val="24"/>
                <w:szCs w:val="32"/>
                <w:highlight w:val="none"/>
                <w:vertAlign w:val="superscript"/>
                <w14:textFill>
                  <w14:solidFill>
                    <w14:schemeClr w14:val="tx1"/>
                  </w14:solidFill>
                </w14:textFill>
              </w:rPr>
              <w:t>3</w:t>
            </w:r>
            <w:r>
              <w:rPr>
                <w:rFonts w:hint="eastAsia" w:cs="宋体"/>
                <w:color w:val="000000" w:themeColor="text1"/>
                <w:sz w:val="24"/>
                <w:szCs w:val="32"/>
                <w:highlight w:val="none"/>
                <w14:textFill>
                  <w14:solidFill>
                    <w14:schemeClr w14:val="tx1"/>
                  </w14:solidFill>
                </w14:textFill>
              </w:rPr>
              <w:t>/h，</w:t>
            </w:r>
            <w:r>
              <w:rPr>
                <w:rFonts w:hint="eastAsia" w:cs="宋体"/>
                <w:color w:val="000000" w:themeColor="text1"/>
                <w:sz w:val="24"/>
                <w:szCs w:val="32"/>
                <w:highlight w:val="none"/>
                <w:lang w:val="en-US" w:eastAsia="zh-CN"/>
                <w14:textFill>
                  <w14:solidFill>
                    <w14:schemeClr w14:val="tx1"/>
                  </w14:solidFill>
                </w14:textFill>
              </w:rPr>
              <w:t>局部换风体积200</w:t>
            </w:r>
            <w:r>
              <w:rPr>
                <w:rFonts w:hint="eastAsia" w:cs="宋体"/>
                <w:color w:val="000000" w:themeColor="text1"/>
                <w:sz w:val="24"/>
                <w:szCs w:val="32"/>
                <w:highlight w:val="none"/>
                <w14:textFill>
                  <w14:solidFill>
                    <w14:schemeClr w14:val="tx1"/>
                  </w14:solidFill>
                </w14:textFill>
              </w:rPr>
              <w:t>m</w:t>
            </w:r>
            <w:r>
              <w:rPr>
                <w:rFonts w:hint="eastAsia" w:cs="宋体"/>
                <w:color w:val="000000" w:themeColor="text1"/>
                <w:sz w:val="24"/>
                <w:szCs w:val="32"/>
                <w:highlight w:val="none"/>
                <w:vertAlign w:val="superscript"/>
                <w14:textFill>
                  <w14:solidFill>
                    <w14:schemeClr w14:val="tx1"/>
                  </w14:solidFill>
                </w14:textFill>
              </w:rPr>
              <w:t>3</w:t>
            </w:r>
            <w:r>
              <w:rPr>
                <w:rFonts w:hint="eastAsia" w:cs="宋体"/>
                <w:color w:val="000000" w:themeColor="text1"/>
                <w:sz w:val="24"/>
                <w:szCs w:val="32"/>
                <w:highlight w:val="none"/>
                <w14:textFill>
                  <w14:solidFill>
                    <w14:schemeClr w14:val="tx1"/>
                  </w14:solidFill>
                </w14:textFill>
              </w:rPr>
              <w:t>/h</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每小时换风次数12次，</w:t>
            </w:r>
            <w:r>
              <w:rPr>
                <w:rFonts w:hint="eastAsia" w:cs="宋体"/>
                <w:color w:val="000000" w:themeColor="text1"/>
                <w:sz w:val="24"/>
                <w:szCs w:val="32"/>
                <w:highlight w:val="none"/>
                <w14:textFill>
                  <w14:solidFill>
                    <w14:schemeClr w14:val="tx1"/>
                  </w14:solidFill>
                </w14:textFill>
              </w:rPr>
              <w:t>可满足收集要求</w:t>
            </w:r>
            <w:r>
              <w:rPr>
                <w:rFonts w:hint="eastAsia" w:cs="宋体"/>
                <w:color w:val="000000" w:themeColor="text1"/>
                <w:sz w:val="24"/>
                <w:szCs w:val="32"/>
                <w:highlight w:val="none"/>
                <w:lang w:eastAsia="zh-CN"/>
                <w14:textFill>
                  <w14:solidFill>
                    <w14:schemeClr w14:val="tx1"/>
                  </w14:solidFill>
                </w14:textFill>
              </w:rPr>
              <w:t>。</w:t>
            </w:r>
          </w:p>
          <w:p w14:paraId="5A53FC09">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本项目年工作时长按2000h，因此本项目碱性废气产生与排放情况见下表。</w:t>
            </w:r>
          </w:p>
          <w:p w14:paraId="0EA1D6FB">
            <w:pPr>
              <w:spacing w:line="360" w:lineRule="auto"/>
              <w:jc w:val="center"/>
              <w:rPr>
                <w:rFonts w:hint="eastAsia"/>
                <w:b/>
                <w:bCs w:val="0"/>
                <w:color w:val="000000" w:themeColor="text1"/>
                <w:sz w:val="24"/>
                <w:szCs w:val="24"/>
                <w:highlight w:val="none"/>
                <w14:textFill>
                  <w14:solidFill>
                    <w14:schemeClr w14:val="tx1"/>
                  </w14:solidFill>
                </w14:textFill>
              </w:rPr>
            </w:pPr>
            <w:r>
              <w:rPr>
                <w:rFonts w:hint="eastAsia" w:cs="宋体"/>
                <w:b/>
                <w:bCs w:val="0"/>
                <w:color w:val="000000" w:themeColor="text1"/>
                <w:sz w:val="24"/>
                <w:szCs w:val="24"/>
                <w:highlight w:val="none"/>
                <w14:textFill>
                  <w14:solidFill>
                    <w14:schemeClr w14:val="tx1"/>
                  </w14:solidFill>
                </w14:textFill>
              </w:rPr>
              <w:t xml:space="preserve">表 </w:t>
            </w:r>
            <w:r>
              <w:rPr>
                <w:b/>
                <w:bCs w:val="0"/>
                <w:color w:val="000000" w:themeColor="text1"/>
                <w:sz w:val="24"/>
                <w:szCs w:val="24"/>
                <w:highlight w:val="none"/>
                <w14:textFill>
                  <w14:solidFill>
                    <w14:schemeClr w14:val="tx1"/>
                  </w14:solidFill>
                </w14:textFill>
              </w:rPr>
              <w:t>4</w:t>
            </w:r>
            <w:r>
              <w:rPr>
                <w:rFonts w:hint="eastAsia"/>
                <w:b/>
                <w:bCs w:val="0"/>
                <w:color w:val="000000" w:themeColor="text1"/>
                <w:sz w:val="24"/>
                <w:szCs w:val="24"/>
                <w:highlight w:val="none"/>
                <w:lang w:val="en-US" w:eastAsia="zh-CN"/>
                <w14:textFill>
                  <w14:solidFill>
                    <w14:schemeClr w14:val="tx1"/>
                  </w14:solidFill>
                </w14:textFill>
              </w:rPr>
              <w:t>.1</w:t>
            </w:r>
            <w:r>
              <w:rPr>
                <w:b/>
                <w:bCs w:val="0"/>
                <w:color w:val="000000" w:themeColor="text1"/>
                <w:sz w:val="24"/>
                <w:szCs w:val="24"/>
                <w:highlight w:val="none"/>
                <w14:textFill>
                  <w14:solidFill>
                    <w14:schemeClr w14:val="tx1"/>
                  </w14:solidFill>
                </w14:textFill>
              </w:rPr>
              <w:t>-</w:t>
            </w:r>
            <w:r>
              <w:rPr>
                <w:rFonts w:hint="eastAsia"/>
                <w:b/>
                <w:bCs w:val="0"/>
                <w:color w:val="000000" w:themeColor="text1"/>
                <w:sz w:val="24"/>
                <w:szCs w:val="24"/>
                <w:highlight w:val="none"/>
                <w:lang w:val="en-US" w:eastAsia="zh-CN"/>
                <w14:textFill>
                  <w14:solidFill>
                    <w14:schemeClr w14:val="tx1"/>
                  </w14:solidFill>
                </w14:textFill>
              </w:rPr>
              <w:t>4</w:t>
            </w:r>
            <w:r>
              <w:rPr>
                <w:b/>
                <w:bCs w:val="0"/>
                <w:color w:val="000000" w:themeColor="text1"/>
                <w:sz w:val="24"/>
                <w:szCs w:val="24"/>
                <w:highlight w:val="none"/>
                <w14:textFill>
                  <w14:solidFill>
                    <w14:schemeClr w14:val="tx1"/>
                  </w14:solidFill>
                </w14:textFill>
              </w:rPr>
              <w:t xml:space="preserve">  </w:t>
            </w:r>
            <w:r>
              <w:rPr>
                <w:rFonts w:hint="eastAsia"/>
                <w:b/>
                <w:bCs w:val="0"/>
                <w:color w:val="000000" w:themeColor="text1"/>
                <w:sz w:val="24"/>
                <w:szCs w:val="24"/>
                <w:highlight w:val="none"/>
                <w:lang w:val="en-US" w:eastAsia="zh-CN"/>
                <w14:textFill>
                  <w14:solidFill>
                    <w14:schemeClr w14:val="tx1"/>
                  </w14:solidFill>
                </w14:textFill>
              </w:rPr>
              <w:t>本项目有组织碱性废气产排情况</w:t>
            </w:r>
            <w:r>
              <w:rPr>
                <w:rFonts w:hint="eastAsia"/>
                <w:b/>
                <w:bCs w:val="0"/>
                <w:color w:val="000000" w:themeColor="text1"/>
                <w:sz w:val="24"/>
                <w:szCs w:val="24"/>
                <w:highlight w:val="none"/>
                <w14:textFill>
                  <w14:solidFill>
                    <w14:schemeClr w14:val="tx1"/>
                  </w14:solidFill>
                </w14:textFill>
              </w:rPr>
              <w:t>一览表</w:t>
            </w:r>
          </w:p>
          <w:tbl>
            <w:tblPr>
              <w:tblStyle w:val="30"/>
              <w:tblW w:w="81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61"/>
              <w:gridCol w:w="493"/>
              <w:gridCol w:w="571"/>
              <w:gridCol w:w="558"/>
              <w:gridCol w:w="558"/>
              <w:gridCol w:w="675"/>
              <w:gridCol w:w="481"/>
              <w:gridCol w:w="481"/>
              <w:gridCol w:w="612"/>
              <w:gridCol w:w="558"/>
              <w:gridCol w:w="558"/>
              <w:gridCol w:w="481"/>
              <w:gridCol w:w="481"/>
              <w:gridCol w:w="481"/>
              <w:gridCol w:w="481"/>
            </w:tblGrid>
            <w:tr w14:paraId="4DB8A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jc w:val="center"/>
              </w:trPr>
              <w:tc>
                <w:tcPr>
                  <w:tcW w:w="661"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F824448">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排气筒名称</w:t>
                  </w:r>
                </w:p>
              </w:tc>
              <w:tc>
                <w:tcPr>
                  <w:tcW w:w="493"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A7D334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排放源名称</w:t>
                  </w:r>
                </w:p>
              </w:tc>
              <w:tc>
                <w:tcPr>
                  <w:tcW w:w="571"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EFDEC2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污染物名称</w:t>
                  </w:r>
                </w:p>
              </w:tc>
              <w:tc>
                <w:tcPr>
                  <w:tcW w:w="1791"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0780D7B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产生情况</w:t>
                  </w:r>
                </w:p>
              </w:tc>
              <w:tc>
                <w:tcPr>
                  <w:tcW w:w="481"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1399A7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治理措施</w:t>
                  </w:r>
                </w:p>
              </w:tc>
              <w:tc>
                <w:tcPr>
                  <w:tcW w:w="481"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FE04B6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去除率</w:t>
                  </w:r>
                </w:p>
              </w:tc>
              <w:tc>
                <w:tcPr>
                  <w:tcW w:w="1728" w:type="dxa"/>
                  <w:gridSpan w:val="3"/>
                  <w:tcBorders>
                    <w:top w:val="single" w:color="000000" w:sz="8" w:space="0"/>
                    <w:left w:val="single" w:color="000000" w:sz="8" w:space="0"/>
                    <w:bottom w:val="nil"/>
                    <w:right w:val="single" w:color="000000" w:sz="8" w:space="0"/>
                  </w:tcBorders>
                  <w:shd w:val="clear" w:color="auto" w:fill="auto"/>
                  <w:vAlign w:val="center"/>
                </w:tcPr>
                <w:p w14:paraId="029540A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排放情况</w:t>
                  </w:r>
                </w:p>
              </w:tc>
              <w:tc>
                <w:tcPr>
                  <w:tcW w:w="1924" w:type="dxa"/>
                  <w:gridSpan w:val="4"/>
                  <w:tcBorders>
                    <w:top w:val="single" w:color="000000" w:sz="8" w:space="0"/>
                    <w:left w:val="single" w:color="000000" w:sz="8" w:space="0"/>
                    <w:bottom w:val="nil"/>
                    <w:right w:val="single" w:color="000000" w:sz="8" w:space="0"/>
                  </w:tcBorders>
                  <w:shd w:val="clear" w:color="auto" w:fill="auto"/>
                  <w:vAlign w:val="center"/>
                </w:tcPr>
                <w:p w14:paraId="7B09166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排放口参数</w:t>
                  </w:r>
                </w:p>
              </w:tc>
            </w:tr>
            <w:tr w14:paraId="52AE9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61"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8ED813D">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49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94B1E9F">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71"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6EF9908">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58" w:type="dxa"/>
                  <w:tcBorders>
                    <w:top w:val="nil"/>
                    <w:left w:val="single" w:color="000000" w:sz="8" w:space="0"/>
                    <w:bottom w:val="single" w:color="000000" w:sz="8" w:space="0"/>
                    <w:right w:val="single" w:color="000000" w:sz="8" w:space="0"/>
                  </w:tcBorders>
                  <w:shd w:val="clear" w:color="auto" w:fill="auto"/>
                  <w:vAlign w:val="center"/>
                </w:tcPr>
                <w:p w14:paraId="0464841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浓度</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mg/m</w:t>
                  </w:r>
                  <w:r>
                    <w:rPr>
                      <w:rFonts w:hint="default" w:ascii="Times New Roman" w:hAnsi="Times New Roman" w:eastAsia="宋体"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3</w:t>
                  </w:r>
                </w:p>
              </w:tc>
              <w:tc>
                <w:tcPr>
                  <w:tcW w:w="558" w:type="dxa"/>
                  <w:tcBorders>
                    <w:top w:val="nil"/>
                    <w:left w:val="single" w:color="000000" w:sz="8" w:space="0"/>
                    <w:bottom w:val="single" w:color="000000" w:sz="8" w:space="0"/>
                    <w:right w:val="single" w:color="000000" w:sz="8" w:space="0"/>
                  </w:tcBorders>
                  <w:shd w:val="clear" w:color="auto" w:fill="auto"/>
                  <w:vAlign w:val="center"/>
                </w:tcPr>
                <w:p w14:paraId="4C027AD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速率</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kg/h</w:t>
                  </w:r>
                </w:p>
              </w:tc>
              <w:tc>
                <w:tcPr>
                  <w:tcW w:w="675" w:type="dxa"/>
                  <w:tcBorders>
                    <w:top w:val="nil"/>
                    <w:left w:val="single" w:color="000000" w:sz="8" w:space="0"/>
                    <w:bottom w:val="single" w:color="000000" w:sz="8" w:space="0"/>
                    <w:right w:val="single" w:color="000000" w:sz="8" w:space="0"/>
                  </w:tcBorders>
                  <w:shd w:val="clear" w:color="auto" w:fill="auto"/>
                  <w:vAlign w:val="center"/>
                </w:tcPr>
                <w:p w14:paraId="61D5B01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产生量</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t/a</w:t>
                  </w:r>
                </w:p>
              </w:tc>
              <w:tc>
                <w:tcPr>
                  <w:tcW w:w="481"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F142EF8">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481"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C292F92">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1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B7649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浓度</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mg/m</w:t>
                  </w:r>
                  <w:r>
                    <w:rPr>
                      <w:rFonts w:hint="default" w:ascii="Times New Roman" w:hAnsi="Times New Roman" w:eastAsia="宋体"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3</w:t>
                  </w:r>
                </w:p>
              </w:tc>
              <w:tc>
                <w:tcPr>
                  <w:tcW w:w="55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697AD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速率</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kg/h</w:t>
                  </w:r>
                </w:p>
              </w:tc>
              <w:tc>
                <w:tcPr>
                  <w:tcW w:w="55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ACF1ED">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排放量</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t/a</w:t>
                  </w:r>
                </w:p>
              </w:tc>
              <w:tc>
                <w:tcPr>
                  <w:tcW w:w="4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27237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高度</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w:t>
                  </w:r>
                </w:p>
              </w:tc>
              <w:tc>
                <w:tcPr>
                  <w:tcW w:w="4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BEFB1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内径</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w:t>
                  </w:r>
                </w:p>
              </w:tc>
              <w:tc>
                <w:tcPr>
                  <w:tcW w:w="4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CFD94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温度℃</w:t>
                  </w:r>
                </w:p>
              </w:tc>
              <w:tc>
                <w:tcPr>
                  <w:tcW w:w="4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F6E8DD">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方式</w:t>
                  </w:r>
                </w:p>
              </w:tc>
            </w:tr>
            <w:tr w14:paraId="1F785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61" w:type="dxa"/>
                  <w:tcBorders>
                    <w:top w:val="nil"/>
                    <w:left w:val="single" w:color="000000" w:sz="8" w:space="0"/>
                    <w:bottom w:val="single" w:color="000000" w:sz="8" w:space="0"/>
                    <w:right w:val="single" w:color="000000" w:sz="8" w:space="0"/>
                  </w:tcBorders>
                  <w:shd w:val="clear" w:color="auto" w:fill="auto"/>
                  <w:vAlign w:val="center"/>
                </w:tcPr>
                <w:p w14:paraId="0944C63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DA00</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7</w:t>
                  </w:r>
                </w:p>
              </w:tc>
              <w:tc>
                <w:tcPr>
                  <w:tcW w:w="493" w:type="dxa"/>
                  <w:tcBorders>
                    <w:top w:val="nil"/>
                    <w:left w:val="single" w:color="000000" w:sz="8" w:space="0"/>
                    <w:bottom w:val="single" w:color="000000" w:sz="8" w:space="0"/>
                    <w:right w:val="single" w:color="000000" w:sz="8" w:space="0"/>
                  </w:tcBorders>
                  <w:shd w:val="clear" w:color="auto" w:fill="auto"/>
                  <w:vAlign w:val="center"/>
                </w:tcPr>
                <w:p w14:paraId="3BA5D0B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碱性废气</w:t>
                  </w:r>
                </w:p>
              </w:tc>
              <w:tc>
                <w:tcPr>
                  <w:tcW w:w="571" w:type="dxa"/>
                  <w:tcBorders>
                    <w:top w:val="nil"/>
                    <w:left w:val="single" w:color="000000" w:sz="8" w:space="0"/>
                    <w:bottom w:val="single" w:color="000000" w:sz="8" w:space="0"/>
                    <w:right w:val="single" w:color="000000" w:sz="8" w:space="0"/>
                  </w:tcBorders>
                  <w:shd w:val="clear" w:color="auto" w:fill="auto"/>
                  <w:vAlign w:val="center"/>
                </w:tcPr>
                <w:p w14:paraId="2996490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TMAH</w:t>
                  </w:r>
                </w:p>
              </w:tc>
              <w:tc>
                <w:tcPr>
                  <w:tcW w:w="558" w:type="dxa"/>
                  <w:tcBorders>
                    <w:top w:val="nil"/>
                    <w:left w:val="single" w:color="000000" w:sz="8" w:space="0"/>
                    <w:bottom w:val="single" w:color="000000" w:sz="8" w:space="0"/>
                    <w:right w:val="single" w:color="000000" w:sz="8" w:space="0"/>
                  </w:tcBorders>
                  <w:shd w:val="clear" w:color="auto" w:fill="auto"/>
                  <w:vAlign w:val="center"/>
                </w:tcPr>
                <w:p w14:paraId="742261B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0.19</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26</w:t>
                  </w:r>
                </w:p>
              </w:tc>
              <w:tc>
                <w:tcPr>
                  <w:tcW w:w="558" w:type="dxa"/>
                  <w:tcBorders>
                    <w:top w:val="nil"/>
                    <w:left w:val="single" w:color="000000" w:sz="8" w:space="0"/>
                    <w:bottom w:val="single" w:color="000000" w:sz="8" w:space="0"/>
                    <w:right w:val="single" w:color="000000" w:sz="8" w:space="0"/>
                  </w:tcBorders>
                  <w:shd w:val="clear" w:color="auto" w:fill="auto"/>
                  <w:vAlign w:val="center"/>
                </w:tcPr>
                <w:p w14:paraId="768DE1F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0.0005 </w:t>
                  </w:r>
                </w:p>
              </w:tc>
              <w:tc>
                <w:tcPr>
                  <w:tcW w:w="675" w:type="dxa"/>
                  <w:tcBorders>
                    <w:top w:val="nil"/>
                    <w:left w:val="single" w:color="000000" w:sz="8" w:space="0"/>
                    <w:bottom w:val="single" w:color="000000" w:sz="8" w:space="0"/>
                    <w:right w:val="single" w:color="000000" w:sz="8" w:space="0"/>
                  </w:tcBorders>
                  <w:shd w:val="clear" w:color="auto" w:fill="auto"/>
                  <w:vAlign w:val="center"/>
                </w:tcPr>
                <w:p w14:paraId="1EE9AB9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0.0010 </w:t>
                  </w:r>
                </w:p>
              </w:tc>
              <w:tc>
                <w:tcPr>
                  <w:tcW w:w="481" w:type="dxa"/>
                  <w:tcBorders>
                    <w:top w:val="nil"/>
                    <w:left w:val="single" w:color="000000" w:sz="8" w:space="0"/>
                    <w:bottom w:val="single" w:color="000000" w:sz="8" w:space="0"/>
                    <w:right w:val="single" w:color="000000" w:sz="8" w:space="0"/>
                  </w:tcBorders>
                  <w:shd w:val="clear" w:color="auto" w:fill="auto"/>
                  <w:vAlign w:val="center"/>
                </w:tcPr>
                <w:p w14:paraId="6967F45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稀硫酸喷淋塔</w:t>
                  </w:r>
                </w:p>
              </w:tc>
              <w:tc>
                <w:tcPr>
                  <w:tcW w:w="481" w:type="dxa"/>
                  <w:tcBorders>
                    <w:top w:val="nil"/>
                    <w:left w:val="single" w:color="000000" w:sz="8" w:space="0"/>
                    <w:bottom w:val="single" w:color="000000" w:sz="8" w:space="0"/>
                    <w:right w:val="single" w:color="000000" w:sz="8" w:space="0"/>
                  </w:tcBorders>
                  <w:shd w:val="clear" w:color="auto" w:fill="auto"/>
                  <w:vAlign w:val="center"/>
                </w:tcPr>
                <w:p w14:paraId="2C4B5B6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w:t>
                  </w:r>
                </w:p>
              </w:tc>
              <w:tc>
                <w:tcPr>
                  <w:tcW w:w="612" w:type="dxa"/>
                  <w:tcBorders>
                    <w:top w:val="nil"/>
                    <w:left w:val="single" w:color="000000" w:sz="8" w:space="0"/>
                    <w:bottom w:val="single" w:color="000000" w:sz="8" w:space="0"/>
                    <w:right w:val="single" w:color="000000" w:sz="8" w:space="0"/>
                  </w:tcBorders>
                  <w:shd w:val="clear" w:color="auto" w:fill="auto"/>
                  <w:vAlign w:val="center"/>
                </w:tcPr>
                <w:p w14:paraId="7ADD311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0.0183 </w:t>
                  </w:r>
                </w:p>
              </w:tc>
              <w:tc>
                <w:tcPr>
                  <w:tcW w:w="558" w:type="dxa"/>
                  <w:tcBorders>
                    <w:top w:val="nil"/>
                    <w:left w:val="single" w:color="000000" w:sz="8" w:space="0"/>
                    <w:bottom w:val="single" w:color="000000" w:sz="8" w:space="0"/>
                    <w:right w:val="single" w:color="000000" w:sz="8" w:space="0"/>
                  </w:tcBorders>
                  <w:shd w:val="clear" w:color="auto" w:fill="auto"/>
                  <w:vAlign w:val="center"/>
                </w:tcPr>
                <w:p w14:paraId="3301F60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0.000045 </w:t>
                  </w:r>
                </w:p>
              </w:tc>
              <w:tc>
                <w:tcPr>
                  <w:tcW w:w="558" w:type="dxa"/>
                  <w:tcBorders>
                    <w:top w:val="nil"/>
                    <w:left w:val="single" w:color="000000" w:sz="8" w:space="0"/>
                    <w:bottom w:val="single" w:color="000000" w:sz="8" w:space="0"/>
                    <w:right w:val="single" w:color="000000" w:sz="8" w:space="0"/>
                  </w:tcBorders>
                  <w:shd w:val="clear" w:color="auto" w:fill="auto"/>
                  <w:vAlign w:val="center"/>
                </w:tcPr>
                <w:p w14:paraId="51ED626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0.000090 </w:t>
                  </w:r>
                </w:p>
              </w:tc>
              <w:tc>
                <w:tcPr>
                  <w:tcW w:w="481" w:type="dxa"/>
                  <w:tcBorders>
                    <w:top w:val="nil"/>
                    <w:left w:val="single" w:color="000000" w:sz="8" w:space="0"/>
                    <w:bottom w:val="single" w:color="000000" w:sz="8" w:space="0"/>
                    <w:right w:val="single" w:color="000000" w:sz="8" w:space="0"/>
                  </w:tcBorders>
                  <w:shd w:val="clear" w:color="auto" w:fill="auto"/>
                  <w:vAlign w:val="center"/>
                </w:tcPr>
                <w:p w14:paraId="2972EDA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30</w:t>
                  </w:r>
                </w:p>
              </w:tc>
              <w:tc>
                <w:tcPr>
                  <w:tcW w:w="481" w:type="dxa"/>
                  <w:tcBorders>
                    <w:top w:val="nil"/>
                    <w:left w:val="single" w:color="000000" w:sz="8" w:space="0"/>
                    <w:bottom w:val="single" w:color="000000" w:sz="8" w:space="0"/>
                    <w:right w:val="single" w:color="000000" w:sz="8" w:space="0"/>
                  </w:tcBorders>
                  <w:shd w:val="clear" w:color="auto" w:fill="auto"/>
                  <w:vAlign w:val="center"/>
                </w:tcPr>
                <w:p w14:paraId="68B733E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0.35</w:t>
                  </w:r>
                </w:p>
              </w:tc>
              <w:tc>
                <w:tcPr>
                  <w:tcW w:w="481" w:type="dxa"/>
                  <w:tcBorders>
                    <w:top w:val="nil"/>
                    <w:left w:val="single" w:color="000000" w:sz="8" w:space="0"/>
                    <w:bottom w:val="single" w:color="000000" w:sz="8" w:space="0"/>
                    <w:right w:val="single" w:color="000000" w:sz="8" w:space="0"/>
                  </w:tcBorders>
                  <w:shd w:val="clear" w:color="auto" w:fill="auto"/>
                  <w:vAlign w:val="center"/>
                </w:tcPr>
                <w:p w14:paraId="65F7115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25</w:t>
                  </w:r>
                </w:p>
              </w:tc>
              <w:tc>
                <w:tcPr>
                  <w:tcW w:w="481" w:type="dxa"/>
                  <w:tcBorders>
                    <w:top w:val="nil"/>
                    <w:left w:val="single" w:color="000000" w:sz="8" w:space="0"/>
                    <w:bottom w:val="single" w:color="000000" w:sz="8" w:space="0"/>
                    <w:right w:val="single" w:color="000000" w:sz="8" w:space="0"/>
                  </w:tcBorders>
                  <w:shd w:val="clear" w:color="auto" w:fill="auto"/>
                  <w:vAlign w:val="center"/>
                </w:tcPr>
                <w:p w14:paraId="143E409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连续</w:t>
                  </w:r>
                </w:p>
              </w:tc>
            </w:tr>
          </w:tbl>
          <w:p w14:paraId="00F19BBA">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（五）小结</w:t>
            </w:r>
          </w:p>
          <w:p w14:paraId="2CFF97FD">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综上，本项目废气污染物排放情况见下表。</w:t>
            </w:r>
          </w:p>
          <w:p w14:paraId="4306F51B">
            <w:pPr>
              <w:spacing w:line="360" w:lineRule="auto"/>
              <w:jc w:val="center"/>
              <w:rPr>
                <w:rFonts w:ascii="宋体" w:cs="宋体"/>
                <w:b/>
                <w:bCs w:val="0"/>
                <w:color w:val="000000" w:themeColor="text1"/>
                <w:kern w:val="0"/>
                <w:sz w:val="24"/>
                <w:szCs w:val="24"/>
                <w:highlight w:val="none"/>
                <w14:textFill>
                  <w14:solidFill>
                    <w14:schemeClr w14:val="tx1"/>
                  </w14:solidFill>
                </w14:textFill>
              </w:rPr>
            </w:pPr>
            <w:r>
              <w:rPr>
                <w:rFonts w:hint="eastAsia" w:cs="宋体"/>
                <w:b/>
                <w:bCs w:val="0"/>
                <w:color w:val="000000" w:themeColor="text1"/>
                <w:sz w:val="24"/>
                <w:szCs w:val="24"/>
                <w:highlight w:val="none"/>
                <w14:textFill>
                  <w14:solidFill>
                    <w14:schemeClr w14:val="tx1"/>
                  </w14:solidFill>
                </w14:textFill>
              </w:rPr>
              <w:t xml:space="preserve">表 </w:t>
            </w:r>
            <w:r>
              <w:rPr>
                <w:b/>
                <w:bCs w:val="0"/>
                <w:color w:val="000000" w:themeColor="text1"/>
                <w:sz w:val="24"/>
                <w:szCs w:val="24"/>
                <w:highlight w:val="none"/>
                <w14:textFill>
                  <w14:solidFill>
                    <w14:schemeClr w14:val="tx1"/>
                  </w14:solidFill>
                </w14:textFill>
              </w:rPr>
              <w:t>4</w:t>
            </w:r>
            <w:r>
              <w:rPr>
                <w:rFonts w:hint="eastAsia"/>
                <w:b/>
                <w:bCs w:val="0"/>
                <w:color w:val="000000" w:themeColor="text1"/>
                <w:sz w:val="24"/>
                <w:szCs w:val="24"/>
                <w:highlight w:val="none"/>
                <w:lang w:val="en-US" w:eastAsia="zh-CN"/>
                <w14:textFill>
                  <w14:solidFill>
                    <w14:schemeClr w14:val="tx1"/>
                  </w14:solidFill>
                </w14:textFill>
              </w:rPr>
              <w:t>.1</w:t>
            </w:r>
            <w:r>
              <w:rPr>
                <w:b/>
                <w:bCs w:val="0"/>
                <w:color w:val="000000" w:themeColor="text1"/>
                <w:sz w:val="24"/>
                <w:szCs w:val="24"/>
                <w:highlight w:val="none"/>
                <w14:textFill>
                  <w14:solidFill>
                    <w14:schemeClr w14:val="tx1"/>
                  </w14:solidFill>
                </w14:textFill>
              </w:rPr>
              <w:t>-</w:t>
            </w:r>
            <w:r>
              <w:rPr>
                <w:rFonts w:hint="eastAsia"/>
                <w:b/>
                <w:bCs w:val="0"/>
                <w:color w:val="000000" w:themeColor="text1"/>
                <w:sz w:val="24"/>
                <w:szCs w:val="24"/>
                <w:highlight w:val="none"/>
                <w:lang w:val="en-US" w:eastAsia="zh-CN"/>
                <w14:textFill>
                  <w14:solidFill>
                    <w14:schemeClr w14:val="tx1"/>
                  </w14:solidFill>
                </w14:textFill>
              </w:rPr>
              <w:t>5</w:t>
            </w:r>
            <w:r>
              <w:rPr>
                <w:b/>
                <w:bCs w:val="0"/>
                <w:color w:val="000000" w:themeColor="text1"/>
                <w:sz w:val="24"/>
                <w:szCs w:val="24"/>
                <w:highlight w:val="none"/>
                <w14:textFill>
                  <w14:solidFill>
                    <w14:schemeClr w14:val="tx1"/>
                  </w14:solidFill>
                </w14:textFill>
              </w:rPr>
              <w:t xml:space="preserve">  </w:t>
            </w:r>
            <w:r>
              <w:rPr>
                <w:rFonts w:hint="eastAsia"/>
                <w:b/>
                <w:bCs w:val="0"/>
                <w:color w:val="000000" w:themeColor="text1"/>
                <w:sz w:val="24"/>
                <w:szCs w:val="24"/>
                <w:highlight w:val="none"/>
                <w14:textFill>
                  <w14:solidFill>
                    <w14:schemeClr w14:val="tx1"/>
                  </w14:solidFill>
                </w14:textFill>
              </w:rPr>
              <w:t>本项目实施后废气污染物排放情况一览表</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272"/>
              <w:gridCol w:w="1620"/>
              <w:gridCol w:w="2385"/>
              <w:gridCol w:w="2843"/>
            </w:tblGrid>
            <w:tr w14:paraId="76176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1" w:hRule="atLeast"/>
              </w:trPr>
              <w:tc>
                <w:tcPr>
                  <w:tcW w:w="1272" w:type="dxa"/>
                  <w:shd w:val="clear" w:color="auto" w:fill="auto"/>
                  <w:vAlign w:val="center"/>
                </w:tcPr>
                <w:p w14:paraId="7E94E34A">
                  <w:pPr>
                    <w:jc w:val="center"/>
                    <w:rPr>
                      <w:rFonts w:hint="default" w:eastAsia="宋体"/>
                      <w:color w:val="000000" w:themeColor="text1"/>
                      <w:sz w:val="21"/>
                      <w:szCs w:val="24"/>
                      <w:highlight w:val="none"/>
                      <w:lang w:val="en-US" w:eastAsia="zh-CN"/>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位置</w:t>
                  </w:r>
                </w:p>
              </w:tc>
              <w:tc>
                <w:tcPr>
                  <w:tcW w:w="1620" w:type="dxa"/>
                  <w:shd w:val="clear" w:color="auto" w:fill="auto"/>
                  <w:vAlign w:val="center"/>
                </w:tcPr>
                <w:p w14:paraId="737B8409">
                  <w:pPr>
                    <w:jc w:val="center"/>
                    <w:rPr>
                      <w:rFonts w:hint="default" w:eastAsia="宋体"/>
                      <w:color w:val="000000" w:themeColor="text1"/>
                      <w:sz w:val="21"/>
                      <w:szCs w:val="24"/>
                      <w:highlight w:val="none"/>
                      <w:lang w:val="en-US" w:eastAsia="zh-CN"/>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排放方式</w:t>
                  </w:r>
                </w:p>
              </w:tc>
              <w:tc>
                <w:tcPr>
                  <w:tcW w:w="2385" w:type="dxa"/>
                  <w:shd w:val="clear" w:color="auto" w:fill="auto"/>
                  <w:vAlign w:val="center"/>
                </w:tcPr>
                <w:p w14:paraId="0A7851AA">
                  <w:pPr>
                    <w:jc w:val="center"/>
                    <w:rPr>
                      <w:rFonts w:hint="default"/>
                      <w:color w:val="000000" w:themeColor="text1"/>
                      <w:sz w:val="21"/>
                      <w:szCs w:val="24"/>
                      <w:highlight w:val="none"/>
                      <w:lang w:val="en-US" w:eastAsia="zh-CN"/>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污染物</w:t>
                  </w:r>
                </w:p>
              </w:tc>
              <w:tc>
                <w:tcPr>
                  <w:tcW w:w="2843" w:type="dxa"/>
                  <w:shd w:val="clear" w:color="auto" w:fill="auto"/>
                  <w:vAlign w:val="center"/>
                </w:tcPr>
                <w:p w14:paraId="2DCC4657">
                  <w:pPr>
                    <w:jc w:val="center"/>
                    <w:rPr>
                      <w:color w:val="000000" w:themeColor="text1"/>
                      <w:sz w:val="21"/>
                      <w:szCs w:val="24"/>
                      <w:highlight w:val="none"/>
                      <w14:textFill>
                        <w14:solidFill>
                          <w14:schemeClr w14:val="tx1"/>
                        </w14:solidFill>
                      </w14:textFill>
                    </w:rPr>
                  </w:pPr>
                  <w:r>
                    <w:rPr>
                      <w:rFonts w:hint="eastAsia"/>
                      <w:color w:val="000000" w:themeColor="text1"/>
                      <w:sz w:val="21"/>
                      <w:szCs w:val="24"/>
                      <w:highlight w:val="none"/>
                      <w14:textFill>
                        <w14:solidFill>
                          <w14:schemeClr w14:val="tx1"/>
                        </w14:solidFill>
                      </w14:textFill>
                    </w:rPr>
                    <w:t>排放量（t/a）</w:t>
                  </w:r>
                </w:p>
              </w:tc>
            </w:tr>
            <w:tr w14:paraId="2FB4F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272" w:type="dxa"/>
                  <w:vMerge w:val="restart"/>
                  <w:shd w:val="clear" w:color="auto" w:fill="auto"/>
                  <w:vAlign w:val="center"/>
                </w:tcPr>
                <w:p w14:paraId="11B41E5E">
                  <w:pPr>
                    <w:jc w:val="center"/>
                    <w:rPr>
                      <w:rFonts w:hint="default" w:eastAsia="宋体"/>
                      <w:color w:val="000000" w:themeColor="text1"/>
                      <w:sz w:val="21"/>
                      <w:szCs w:val="24"/>
                      <w:highlight w:val="none"/>
                      <w:lang w:val="en-US" w:eastAsia="zh-CN"/>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厂房</w:t>
                  </w:r>
                </w:p>
              </w:tc>
              <w:tc>
                <w:tcPr>
                  <w:tcW w:w="1620" w:type="dxa"/>
                  <w:vMerge w:val="restart"/>
                  <w:shd w:val="clear" w:color="auto" w:fill="auto"/>
                  <w:vAlign w:val="center"/>
                </w:tcPr>
                <w:p w14:paraId="07E47C0D">
                  <w:pPr>
                    <w:jc w:val="center"/>
                    <w:rPr>
                      <w:color w:val="000000" w:themeColor="text1"/>
                      <w:sz w:val="21"/>
                      <w:szCs w:val="24"/>
                      <w:highlight w:val="none"/>
                      <w14:textFill>
                        <w14:solidFill>
                          <w14:schemeClr w14:val="tx1"/>
                        </w14:solidFill>
                      </w14:textFill>
                    </w:rPr>
                  </w:pPr>
                  <w:r>
                    <w:rPr>
                      <w:rFonts w:hint="eastAsia"/>
                      <w:color w:val="000000" w:themeColor="text1"/>
                      <w:sz w:val="21"/>
                      <w:szCs w:val="24"/>
                      <w:highlight w:val="none"/>
                      <w14:textFill>
                        <w14:solidFill>
                          <w14:schemeClr w14:val="tx1"/>
                        </w14:solidFill>
                      </w14:textFill>
                    </w:rPr>
                    <w:t>有组织</w:t>
                  </w:r>
                </w:p>
              </w:tc>
              <w:tc>
                <w:tcPr>
                  <w:tcW w:w="2385" w:type="dxa"/>
                  <w:shd w:val="clear" w:color="auto" w:fill="auto"/>
                  <w:vAlign w:val="center"/>
                </w:tcPr>
                <w:p w14:paraId="612C777C">
                  <w:pPr>
                    <w:jc w:val="center"/>
                    <w:rPr>
                      <w:rFonts w:hint="eastAsia" w:eastAsia="宋体"/>
                      <w:color w:val="000000" w:themeColor="text1"/>
                      <w:sz w:val="21"/>
                      <w:szCs w:val="24"/>
                      <w:highlight w:val="none"/>
                      <w:lang w:val="en-US" w:eastAsia="zh-CN"/>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颗粒物</w:t>
                  </w:r>
                </w:p>
              </w:tc>
              <w:tc>
                <w:tcPr>
                  <w:tcW w:w="2843" w:type="dxa"/>
                  <w:shd w:val="clear" w:color="auto" w:fill="auto"/>
                  <w:vAlign w:val="center"/>
                </w:tcPr>
                <w:p w14:paraId="55B0E130">
                  <w:pPr>
                    <w:keepNext w:val="0"/>
                    <w:keepLines w:val="0"/>
                    <w:widowControl/>
                    <w:suppressLineNumbers w:val="0"/>
                    <w:jc w:val="center"/>
                    <w:textAlignment w:val="center"/>
                    <w:rPr>
                      <w:rFonts w:hint="default" w:eastAsia="宋体"/>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0.000035 </w:t>
                  </w:r>
                </w:p>
              </w:tc>
            </w:tr>
            <w:tr w14:paraId="1092C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1" w:hRule="atLeast"/>
              </w:trPr>
              <w:tc>
                <w:tcPr>
                  <w:tcW w:w="1272" w:type="dxa"/>
                  <w:vMerge w:val="continue"/>
                  <w:shd w:val="clear" w:color="auto" w:fill="auto"/>
                  <w:vAlign w:val="center"/>
                </w:tcPr>
                <w:p w14:paraId="3E8A41DB">
                  <w:pPr>
                    <w:jc w:val="center"/>
                    <w:rPr>
                      <w:color w:val="000000" w:themeColor="text1"/>
                      <w:sz w:val="21"/>
                      <w:szCs w:val="24"/>
                      <w:highlight w:val="none"/>
                      <w14:textFill>
                        <w14:solidFill>
                          <w14:schemeClr w14:val="tx1"/>
                        </w14:solidFill>
                      </w14:textFill>
                    </w:rPr>
                  </w:pPr>
                </w:p>
              </w:tc>
              <w:tc>
                <w:tcPr>
                  <w:tcW w:w="1620" w:type="dxa"/>
                  <w:vMerge w:val="continue"/>
                  <w:shd w:val="clear" w:color="auto" w:fill="auto"/>
                  <w:vAlign w:val="center"/>
                </w:tcPr>
                <w:p w14:paraId="47CCA24B">
                  <w:pPr>
                    <w:jc w:val="center"/>
                    <w:rPr>
                      <w:color w:val="000000" w:themeColor="text1"/>
                      <w:sz w:val="21"/>
                      <w:szCs w:val="24"/>
                      <w:highlight w:val="none"/>
                      <w14:textFill>
                        <w14:solidFill>
                          <w14:schemeClr w14:val="tx1"/>
                        </w14:solidFill>
                      </w14:textFill>
                    </w:rPr>
                  </w:pPr>
                </w:p>
              </w:tc>
              <w:tc>
                <w:tcPr>
                  <w:tcW w:w="2385" w:type="dxa"/>
                  <w:shd w:val="clear" w:color="auto" w:fill="auto"/>
                  <w:vAlign w:val="center"/>
                </w:tcPr>
                <w:p w14:paraId="7C26C217">
                  <w:pPr>
                    <w:jc w:val="center"/>
                    <w:rPr>
                      <w:rFonts w:hint="eastAsia"/>
                      <w:color w:val="000000" w:themeColor="text1"/>
                      <w:sz w:val="21"/>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非甲烷总烃</w:t>
                  </w:r>
                </w:p>
              </w:tc>
              <w:tc>
                <w:tcPr>
                  <w:tcW w:w="2843" w:type="dxa"/>
                  <w:shd w:val="clear" w:color="auto" w:fill="auto"/>
                  <w:vAlign w:val="center"/>
                </w:tcPr>
                <w:p w14:paraId="1B35C3E6">
                  <w:pPr>
                    <w:keepNext w:val="0"/>
                    <w:keepLines w:val="0"/>
                    <w:widowControl/>
                    <w:suppressLineNumbers w:val="0"/>
                    <w:jc w:val="center"/>
                    <w:textAlignment w:val="center"/>
                    <w:rPr>
                      <w:rFonts w:hint="default" w:eastAsia="宋体"/>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0.9604 </w:t>
                  </w:r>
                </w:p>
              </w:tc>
            </w:tr>
            <w:tr w14:paraId="6025C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1" w:hRule="atLeast"/>
              </w:trPr>
              <w:tc>
                <w:tcPr>
                  <w:tcW w:w="1272" w:type="dxa"/>
                  <w:vMerge w:val="continue"/>
                  <w:shd w:val="clear" w:color="auto" w:fill="auto"/>
                  <w:vAlign w:val="center"/>
                </w:tcPr>
                <w:p w14:paraId="72F8299C">
                  <w:pPr>
                    <w:jc w:val="center"/>
                    <w:rPr>
                      <w:color w:val="000000" w:themeColor="text1"/>
                      <w:sz w:val="21"/>
                      <w:szCs w:val="24"/>
                      <w:highlight w:val="none"/>
                      <w14:textFill>
                        <w14:solidFill>
                          <w14:schemeClr w14:val="tx1"/>
                        </w14:solidFill>
                      </w14:textFill>
                    </w:rPr>
                  </w:pPr>
                </w:p>
              </w:tc>
              <w:tc>
                <w:tcPr>
                  <w:tcW w:w="1620" w:type="dxa"/>
                  <w:vMerge w:val="continue"/>
                  <w:shd w:val="clear" w:color="auto" w:fill="auto"/>
                  <w:vAlign w:val="center"/>
                </w:tcPr>
                <w:p w14:paraId="5DE6D24A">
                  <w:pPr>
                    <w:jc w:val="center"/>
                    <w:rPr>
                      <w:rFonts w:hint="eastAsia"/>
                      <w:color w:val="000000" w:themeColor="text1"/>
                      <w:sz w:val="21"/>
                      <w:szCs w:val="24"/>
                      <w:highlight w:val="none"/>
                      <w14:textFill>
                        <w14:solidFill>
                          <w14:schemeClr w14:val="tx1"/>
                        </w14:solidFill>
                      </w14:textFill>
                    </w:rPr>
                  </w:pPr>
                </w:p>
              </w:tc>
              <w:tc>
                <w:tcPr>
                  <w:tcW w:w="2385" w:type="dxa"/>
                  <w:shd w:val="clear" w:color="auto" w:fill="auto"/>
                  <w:vAlign w:val="center"/>
                </w:tcPr>
                <w:p w14:paraId="10481C40">
                  <w:pPr>
                    <w:keepNext w:val="0"/>
                    <w:keepLines w:val="0"/>
                    <w:widowControl/>
                    <w:suppressLineNumbers w:val="0"/>
                    <w:jc w:val="center"/>
                    <w:textAlignment w:val="center"/>
                    <w:rPr>
                      <w:rFonts w:hint="eastAsia" w:eastAsia="宋体"/>
                      <w:color w:val="000000" w:themeColor="text1"/>
                      <w:sz w:val="21"/>
                      <w:szCs w:val="24"/>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硫酸雾</w:t>
                  </w:r>
                </w:p>
              </w:tc>
              <w:tc>
                <w:tcPr>
                  <w:tcW w:w="2843" w:type="dxa"/>
                  <w:shd w:val="clear" w:color="auto" w:fill="auto"/>
                  <w:vAlign w:val="center"/>
                </w:tcPr>
                <w:p w14:paraId="09988E3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0.0009 </w:t>
                  </w:r>
                </w:p>
              </w:tc>
            </w:tr>
            <w:tr w14:paraId="7AD98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1" w:hRule="atLeast"/>
              </w:trPr>
              <w:tc>
                <w:tcPr>
                  <w:tcW w:w="1272" w:type="dxa"/>
                  <w:vMerge w:val="continue"/>
                  <w:shd w:val="clear" w:color="auto" w:fill="auto"/>
                  <w:vAlign w:val="center"/>
                </w:tcPr>
                <w:p w14:paraId="44F829D9">
                  <w:pPr>
                    <w:jc w:val="center"/>
                    <w:rPr>
                      <w:color w:val="000000" w:themeColor="text1"/>
                      <w:sz w:val="21"/>
                      <w:szCs w:val="24"/>
                      <w:highlight w:val="none"/>
                      <w14:textFill>
                        <w14:solidFill>
                          <w14:schemeClr w14:val="tx1"/>
                        </w14:solidFill>
                      </w14:textFill>
                    </w:rPr>
                  </w:pPr>
                </w:p>
              </w:tc>
              <w:tc>
                <w:tcPr>
                  <w:tcW w:w="1620" w:type="dxa"/>
                  <w:vMerge w:val="continue"/>
                  <w:shd w:val="clear" w:color="auto" w:fill="auto"/>
                  <w:vAlign w:val="center"/>
                </w:tcPr>
                <w:p w14:paraId="39A0E533">
                  <w:pPr>
                    <w:jc w:val="center"/>
                    <w:rPr>
                      <w:rFonts w:hint="eastAsia"/>
                      <w:color w:val="000000" w:themeColor="text1"/>
                      <w:sz w:val="21"/>
                      <w:szCs w:val="24"/>
                      <w:highlight w:val="none"/>
                      <w14:textFill>
                        <w14:solidFill>
                          <w14:schemeClr w14:val="tx1"/>
                        </w14:solidFill>
                      </w14:textFill>
                    </w:rPr>
                  </w:pPr>
                </w:p>
              </w:tc>
              <w:tc>
                <w:tcPr>
                  <w:tcW w:w="2385" w:type="dxa"/>
                  <w:shd w:val="clear" w:color="auto" w:fill="auto"/>
                  <w:vAlign w:val="center"/>
                </w:tcPr>
                <w:p w14:paraId="31505B78">
                  <w:pPr>
                    <w:keepNext w:val="0"/>
                    <w:keepLines w:val="0"/>
                    <w:widowControl/>
                    <w:suppressLineNumbers w:val="0"/>
                    <w:jc w:val="center"/>
                    <w:textAlignment w:val="center"/>
                    <w:rPr>
                      <w:rFonts w:hint="eastAsia" w:eastAsia="宋体"/>
                      <w:color w:val="000000" w:themeColor="text1"/>
                      <w:sz w:val="21"/>
                      <w:szCs w:val="24"/>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硝酸雾（以NO</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x</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计）</w:t>
                  </w:r>
                </w:p>
              </w:tc>
              <w:tc>
                <w:tcPr>
                  <w:tcW w:w="2843" w:type="dxa"/>
                  <w:shd w:val="clear" w:color="auto" w:fill="auto"/>
                  <w:vAlign w:val="center"/>
                </w:tcPr>
                <w:p w14:paraId="732DFA8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0.000045 </w:t>
                  </w:r>
                </w:p>
              </w:tc>
            </w:tr>
            <w:tr w14:paraId="2D11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1" w:hRule="atLeast"/>
              </w:trPr>
              <w:tc>
                <w:tcPr>
                  <w:tcW w:w="1272" w:type="dxa"/>
                  <w:vMerge w:val="continue"/>
                  <w:shd w:val="clear" w:color="auto" w:fill="auto"/>
                  <w:vAlign w:val="center"/>
                </w:tcPr>
                <w:p w14:paraId="199A0B1C">
                  <w:pPr>
                    <w:jc w:val="center"/>
                    <w:rPr>
                      <w:color w:val="000000" w:themeColor="text1"/>
                      <w:sz w:val="21"/>
                      <w:szCs w:val="24"/>
                      <w:highlight w:val="none"/>
                      <w14:textFill>
                        <w14:solidFill>
                          <w14:schemeClr w14:val="tx1"/>
                        </w14:solidFill>
                      </w14:textFill>
                    </w:rPr>
                  </w:pPr>
                </w:p>
              </w:tc>
              <w:tc>
                <w:tcPr>
                  <w:tcW w:w="1620" w:type="dxa"/>
                  <w:vMerge w:val="continue"/>
                  <w:shd w:val="clear" w:color="auto" w:fill="auto"/>
                  <w:vAlign w:val="center"/>
                </w:tcPr>
                <w:p w14:paraId="1592BCD6">
                  <w:pPr>
                    <w:jc w:val="center"/>
                    <w:rPr>
                      <w:rFonts w:hint="eastAsia"/>
                      <w:color w:val="000000" w:themeColor="text1"/>
                      <w:sz w:val="21"/>
                      <w:szCs w:val="24"/>
                      <w:highlight w:val="none"/>
                      <w14:textFill>
                        <w14:solidFill>
                          <w14:schemeClr w14:val="tx1"/>
                        </w14:solidFill>
                      </w14:textFill>
                    </w:rPr>
                  </w:pPr>
                </w:p>
              </w:tc>
              <w:tc>
                <w:tcPr>
                  <w:tcW w:w="2385" w:type="dxa"/>
                  <w:shd w:val="clear" w:color="auto" w:fill="auto"/>
                  <w:vAlign w:val="center"/>
                </w:tcPr>
                <w:p w14:paraId="3D7C22C0">
                  <w:pPr>
                    <w:keepNext w:val="0"/>
                    <w:keepLines w:val="0"/>
                    <w:widowControl/>
                    <w:suppressLineNumbers w:val="0"/>
                    <w:jc w:val="center"/>
                    <w:textAlignment w:val="center"/>
                    <w:rPr>
                      <w:rFonts w:hint="eastAsia"/>
                      <w:color w:val="000000" w:themeColor="text1"/>
                      <w:sz w:val="21"/>
                      <w:szCs w:val="24"/>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氟化物</w:t>
                  </w:r>
                </w:p>
              </w:tc>
              <w:tc>
                <w:tcPr>
                  <w:tcW w:w="2843" w:type="dxa"/>
                  <w:shd w:val="clear" w:color="auto" w:fill="auto"/>
                  <w:vAlign w:val="center"/>
                </w:tcPr>
                <w:p w14:paraId="14CD7D4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0.0004 </w:t>
                  </w:r>
                </w:p>
              </w:tc>
            </w:tr>
            <w:tr w14:paraId="64BA7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1" w:hRule="atLeast"/>
              </w:trPr>
              <w:tc>
                <w:tcPr>
                  <w:tcW w:w="1272" w:type="dxa"/>
                  <w:vMerge w:val="continue"/>
                  <w:shd w:val="clear" w:color="auto" w:fill="auto"/>
                  <w:vAlign w:val="center"/>
                </w:tcPr>
                <w:p w14:paraId="64918717">
                  <w:pPr>
                    <w:jc w:val="center"/>
                    <w:rPr>
                      <w:color w:val="000000" w:themeColor="text1"/>
                      <w:sz w:val="21"/>
                      <w:szCs w:val="24"/>
                      <w:highlight w:val="none"/>
                      <w14:textFill>
                        <w14:solidFill>
                          <w14:schemeClr w14:val="tx1"/>
                        </w14:solidFill>
                      </w14:textFill>
                    </w:rPr>
                  </w:pPr>
                </w:p>
              </w:tc>
              <w:tc>
                <w:tcPr>
                  <w:tcW w:w="1620" w:type="dxa"/>
                  <w:vMerge w:val="continue"/>
                  <w:shd w:val="clear" w:color="auto" w:fill="auto"/>
                  <w:vAlign w:val="center"/>
                </w:tcPr>
                <w:p w14:paraId="352709D0">
                  <w:pPr>
                    <w:jc w:val="center"/>
                    <w:rPr>
                      <w:rFonts w:hint="eastAsia"/>
                      <w:color w:val="000000" w:themeColor="text1"/>
                      <w:sz w:val="21"/>
                      <w:szCs w:val="24"/>
                      <w:highlight w:val="none"/>
                      <w14:textFill>
                        <w14:solidFill>
                          <w14:schemeClr w14:val="tx1"/>
                        </w14:solidFill>
                      </w14:textFill>
                    </w:rPr>
                  </w:pPr>
                </w:p>
              </w:tc>
              <w:tc>
                <w:tcPr>
                  <w:tcW w:w="2385" w:type="dxa"/>
                  <w:shd w:val="clear" w:color="auto" w:fill="auto"/>
                  <w:vAlign w:val="center"/>
                </w:tcPr>
                <w:p w14:paraId="587A5941">
                  <w:pPr>
                    <w:keepNext w:val="0"/>
                    <w:keepLines w:val="0"/>
                    <w:widowControl/>
                    <w:suppressLineNumbers w:val="0"/>
                    <w:jc w:val="center"/>
                    <w:textAlignment w:val="center"/>
                    <w:rPr>
                      <w:rFonts w:hint="eastAsia"/>
                      <w:color w:val="000000" w:themeColor="text1"/>
                      <w:sz w:val="21"/>
                      <w:szCs w:val="24"/>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氯化氢</w:t>
                  </w:r>
                </w:p>
              </w:tc>
              <w:tc>
                <w:tcPr>
                  <w:tcW w:w="2843" w:type="dxa"/>
                  <w:shd w:val="clear" w:color="auto" w:fill="auto"/>
                  <w:vAlign w:val="center"/>
                </w:tcPr>
                <w:p w14:paraId="2C0371F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0.000010 </w:t>
                  </w:r>
                </w:p>
              </w:tc>
            </w:tr>
            <w:tr w14:paraId="74C02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1" w:hRule="atLeast"/>
              </w:trPr>
              <w:tc>
                <w:tcPr>
                  <w:tcW w:w="1272" w:type="dxa"/>
                  <w:vMerge w:val="continue"/>
                  <w:shd w:val="clear" w:color="auto" w:fill="auto"/>
                  <w:vAlign w:val="center"/>
                </w:tcPr>
                <w:p w14:paraId="159CB089">
                  <w:pPr>
                    <w:jc w:val="center"/>
                    <w:rPr>
                      <w:color w:val="000000" w:themeColor="text1"/>
                      <w:sz w:val="21"/>
                      <w:szCs w:val="24"/>
                      <w:highlight w:val="none"/>
                      <w14:textFill>
                        <w14:solidFill>
                          <w14:schemeClr w14:val="tx1"/>
                        </w14:solidFill>
                      </w14:textFill>
                    </w:rPr>
                  </w:pPr>
                </w:p>
              </w:tc>
              <w:tc>
                <w:tcPr>
                  <w:tcW w:w="1620" w:type="dxa"/>
                  <w:vMerge w:val="continue"/>
                  <w:shd w:val="clear" w:color="auto" w:fill="auto"/>
                  <w:vAlign w:val="center"/>
                </w:tcPr>
                <w:p w14:paraId="67E8ED9C">
                  <w:pPr>
                    <w:jc w:val="center"/>
                    <w:rPr>
                      <w:rFonts w:hint="eastAsia"/>
                      <w:color w:val="000000" w:themeColor="text1"/>
                      <w:sz w:val="21"/>
                      <w:szCs w:val="24"/>
                      <w:highlight w:val="none"/>
                      <w14:textFill>
                        <w14:solidFill>
                          <w14:schemeClr w14:val="tx1"/>
                        </w14:solidFill>
                      </w14:textFill>
                    </w:rPr>
                  </w:pPr>
                </w:p>
              </w:tc>
              <w:tc>
                <w:tcPr>
                  <w:tcW w:w="2385" w:type="dxa"/>
                  <w:shd w:val="clear" w:color="auto" w:fill="auto"/>
                  <w:vAlign w:val="center"/>
                </w:tcPr>
                <w:p w14:paraId="55C18CFA">
                  <w:pPr>
                    <w:jc w:val="center"/>
                    <w:rPr>
                      <w:rFonts w:hint="default" w:eastAsia="宋体"/>
                      <w:color w:val="000000" w:themeColor="text1"/>
                      <w:sz w:val="21"/>
                      <w:szCs w:val="24"/>
                      <w:highlight w:val="none"/>
                      <w:lang w:val="en-US" w:eastAsia="zh-CN"/>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TMAH</w:t>
                  </w:r>
                </w:p>
              </w:tc>
              <w:tc>
                <w:tcPr>
                  <w:tcW w:w="2843" w:type="dxa"/>
                  <w:shd w:val="clear" w:color="auto" w:fill="auto"/>
                  <w:vAlign w:val="center"/>
                </w:tcPr>
                <w:p w14:paraId="13F4D5C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0.0001 </w:t>
                  </w:r>
                </w:p>
              </w:tc>
            </w:tr>
            <w:tr w14:paraId="12EF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1" w:hRule="atLeast"/>
              </w:trPr>
              <w:tc>
                <w:tcPr>
                  <w:tcW w:w="1272" w:type="dxa"/>
                  <w:vMerge w:val="continue"/>
                  <w:shd w:val="clear" w:color="auto" w:fill="auto"/>
                  <w:vAlign w:val="center"/>
                </w:tcPr>
                <w:p w14:paraId="4E759CA0">
                  <w:pPr>
                    <w:jc w:val="center"/>
                    <w:rPr>
                      <w:color w:val="000000" w:themeColor="text1"/>
                      <w:sz w:val="21"/>
                      <w:szCs w:val="24"/>
                      <w:highlight w:val="none"/>
                      <w14:textFill>
                        <w14:solidFill>
                          <w14:schemeClr w14:val="tx1"/>
                        </w14:solidFill>
                      </w14:textFill>
                    </w:rPr>
                  </w:pPr>
                </w:p>
              </w:tc>
              <w:tc>
                <w:tcPr>
                  <w:tcW w:w="1620" w:type="dxa"/>
                  <w:vMerge w:val="restart"/>
                  <w:shd w:val="clear" w:color="auto" w:fill="auto"/>
                  <w:vAlign w:val="center"/>
                </w:tcPr>
                <w:p w14:paraId="2344E3E8">
                  <w:pPr>
                    <w:jc w:val="center"/>
                    <w:rPr>
                      <w:rFonts w:hint="eastAsia"/>
                      <w:color w:val="000000" w:themeColor="text1"/>
                      <w:sz w:val="21"/>
                      <w:szCs w:val="24"/>
                      <w:highlight w:val="none"/>
                      <w14:textFill>
                        <w14:solidFill>
                          <w14:schemeClr w14:val="tx1"/>
                        </w14:solidFill>
                      </w14:textFill>
                    </w:rPr>
                  </w:pPr>
                  <w:r>
                    <w:rPr>
                      <w:rFonts w:hint="eastAsia"/>
                      <w:color w:val="000000" w:themeColor="text1"/>
                      <w:sz w:val="21"/>
                      <w:szCs w:val="24"/>
                      <w:highlight w:val="none"/>
                      <w14:textFill>
                        <w14:solidFill>
                          <w14:schemeClr w14:val="tx1"/>
                        </w14:solidFill>
                      </w14:textFill>
                    </w:rPr>
                    <w:t>无组织</w:t>
                  </w:r>
                </w:p>
              </w:tc>
              <w:tc>
                <w:tcPr>
                  <w:tcW w:w="2385" w:type="dxa"/>
                  <w:shd w:val="clear" w:color="auto" w:fill="auto"/>
                  <w:vAlign w:val="center"/>
                </w:tcPr>
                <w:p w14:paraId="163A891D">
                  <w:pPr>
                    <w:jc w:val="center"/>
                    <w:rPr>
                      <w:rFonts w:hint="eastAsia"/>
                      <w:color w:val="000000" w:themeColor="text1"/>
                      <w:sz w:val="21"/>
                      <w:szCs w:val="24"/>
                      <w:highlight w:val="none"/>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颗粒物</w:t>
                  </w:r>
                </w:p>
              </w:tc>
              <w:tc>
                <w:tcPr>
                  <w:tcW w:w="2843" w:type="dxa"/>
                  <w:shd w:val="clear" w:color="auto" w:fill="auto"/>
                  <w:vAlign w:val="center"/>
                </w:tcPr>
                <w:p w14:paraId="5F731C3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0.0009 </w:t>
                  </w:r>
                </w:p>
              </w:tc>
            </w:tr>
            <w:tr w14:paraId="1C5B5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1" w:hRule="atLeast"/>
              </w:trPr>
              <w:tc>
                <w:tcPr>
                  <w:tcW w:w="1272" w:type="dxa"/>
                  <w:vMerge w:val="continue"/>
                  <w:shd w:val="clear" w:color="auto" w:fill="auto"/>
                  <w:vAlign w:val="center"/>
                </w:tcPr>
                <w:p w14:paraId="087FE1FC">
                  <w:pPr>
                    <w:jc w:val="center"/>
                    <w:rPr>
                      <w:color w:val="000000" w:themeColor="text1"/>
                      <w:sz w:val="21"/>
                      <w:szCs w:val="24"/>
                      <w:highlight w:val="none"/>
                      <w14:textFill>
                        <w14:solidFill>
                          <w14:schemeClr w14:val="tx1"/>
                        </w14:solidFill>
                      </w14:textFill>
                    </w:rPr>
                  </w:pPr>
                </w:p>
              </w:tc>
              <w:tc>
                <w:tcPr>
                  <w:tcW w:w="1620" w:type="dxa"/>
                  <w:vMerge w:val="continue"/>
                  <w:shd w:val="clear" w:color="auto" w:fill="auto"/>
                  <w:vAlign w:val="center"/>
                </w:tcPr>
                <w:p w14:paraId="6A100DC5">
                  <w:pPr>
                    <w:jc w:val="center"/>
                    <w:rPr>
                      <w:rFonts w:hint="eastAsia"/>
                      <w:color w:val="000000" w:themeColor="text1"/>
                      <w:sz w:val="21"/>
                      <w:szCs w:val="24"/>
                      <w:highlight w:val="none"/>
                      <w14:textFill>
                        <w14:solidFill>
                          <w14:schemeClr w14:val="tx1"/>
                        </w14:solidFill>
                      </w14:textFill>
                    </w:rPr>
                  </w:pPr>
                </w:p>
              </w:tc>
              <w:tc>
                <w:tcPr>
                  <w:tcW w:w="2385" w:type="dxa"/>
                  <w:shd w:val="clear" w:color="auto" w:fill="auto"/>
                  <w:vAlign w:val="center"/>
                </w:tcPr>
                <w:p w14:paraId="14B0ACF9">
                  <w:pPr>
                    <w:jc w:val="center"/>
                    <w:rPr>
                      <w:rFonts w:hint="eastAsia"/>
                      <w:color w:val="000000" w:themeColor="text1"/>
                      <w:sz w:val="21"/>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非甲烷总烃</w:t>
                  </w:r>
                </w:p>
              </w:tc>
              <w:tc>
                <w:tcPr>
                  <w:tcW w:w="2843" w:type="dxa"/>
                  <w:shd w:val="clear" w:color="auto" w:fill="auto"/>
                  <w:vAlign w:val="center"/>
                </w:tcPr>
                <w:p w14:paraId="06EA936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0.6669 </w:t>
                  </w:r>
                </w:p>
              </w:tc>
            </w:tr>
            <w:tr w14:paraId="3B232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1" w:hRule="atLeast"/>
              </w:trPr>
              <w:tc>
                <w:tcPr>
                  <w:tcW w:w="1272" w:type="dxa"/>
                  <w:vMerge w:val="continue"/>
                  <w:shd w:val="clear" w:color="auto" w:fill="auto"/>
                  <w:vAlign w:val="center"/>
                </w:tcPr>
                <w:p w14:paraId="136C8926">
                  <w:pPr>
                    <w:jc w:val="center"/>
                    <w:rPr>
                      <w:color w:val="000000" w:themeColor="text1"/>
                      <w:sz w:val="21"/>
                      <w:szCs w:val="24"/>
                      <w:highlight w:val="none"/>
                      <w14:textFill>
                        <w14:solidFill>
                          <w14:schemeClr w14:val="tx1"/>
                        </w14:solidFill>
                      </w14:textFill>
                    </w:rPr>
                  </w:pPr>
                </w:p>
              </w:tc>
              <w:tc>
                <w:tcPr>
                  <w:tcW w:w="1620" w:type="dxa"/>
                  <w:vMerge w:val="continue"/>
                  <w:shd w:val="clear" w:color="auto" w:fill="auto"/>
                  <w:vAlign w:val="center"/>
                </w:tcPr>
                <w:p w14:paraId="5875A36D">
                  <w:pPr>
                    <w:jc w:val="center"/>
                    <w:rPr>
                      <w:rFonts w:hint="eastAsia"/>
                      <w:color w:val="000000" w:themeColor="text1"/>
                      <w:sz w:val="21"/>
                      <w:szCs w:val="24"/>
                      <w:highlight w:val="none"/>
                      <w14:textFill>
                        <w14:solidFill>
                          <w14:schemeClr w14:val="tx1"/>
                        </w14:solidFill>
                      </w14:textFill>
                    </w:rPr>
                  </w:pPr>
                </w:p>
              </w:tc>
              <w:tc>
                <w:tcPr>
                  <w:tcW w:w="2385" w:type="dxa"/>
                  <w:shd w:val="clear" w:color="auto" w:fill="auto"/>
                  <w:vAlign w:val="center"/>
                </w:tcPr>
                <w:p w14:paraId="685875BE">
                  <w:pPr>
                    <w:keepNext w:val="0"/>
                    <w:keepLines w:val="0"/>
                    <w:widowControl/>
                    <w:suppressLineNumbers w:val="0"/>
                    <w:jc w:val="center"/>
                    <w:textAlignment w:val="center"/>
                    <w:rPr>
                      <w:rFonts w:hint="eastAsia"/>
                      <w:color w:val="000000" w:themeColor="text1"/>
                      <w:sz w:val="21"/>
                      <w:szCs w:val="24"/>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硫酸雾</w:t>
                  </w:r>
                </w:p>
              </w:tc>
              <w:tc>
                <w:tcPr>
                  <w:tcW w:w="2843" w:type="dxa"/>
                  <w:shd w:val="clear" w:color="auto" w:fill="auto"/>
                  <w:vAlign w:val="center"/>
                </w:tcPr>
                <w:p w14:paraId="0B8C6BE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0.0010 </w:t>
                  </w:r>
                </w:p>
              </w:tc>
            </w:tr>
            <w:tr w14:paraId="5D68B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1" w:hRule="atLeast"/>
              </w:trPr>
              <w:tc>
                <w:tcPr>
                  <w:tcW w:w="1272" w:type="dxa"/>
                  <w:vMerge w:val="continue"/>
                  <w:shd w:val="clear" w:color="auto" w:fill="auto"/>
                  <w:vAlign w:val="center"/>
                </w:tcPr>
                <w:p w14:paraId="07A1C254">
                  <w:pPr>
                    <w:jc w:val="center"/>
                    <w:rPr>
                      <w:color w:val="000000" w:themeColor="text1"/>
                      <w:sz w:val="21"/>
                      <w:szCs w:val="24"/>
                      <w:highlight w:val="none"/>
                      <w14:textFill>
                        <w14:solidFill>
                          <w14:schemeClr w14:val="tx1"/>
                        </w14:solidFill>
                      </w14:textFill>
                    </w:rPr>
                  </w:pPr>
                </w:p>
              </w:tc>
              <w:tc>
                <w:tcPr>
                  <w:tcW w:w="1620" w:type="dxa"/>
                  <w:vMerge w:val="continue"/>
                  <w:shd w:val="clear" w:color="auto" w:fill="auto"/>
                  <w:vAlign w:val="center"/>
                </w:tcPr>
                <w:p w14:paraId="21C67564">
                  <w:pPr>
                    <w:jc w:val="center"/>
                    <w:rPr>
                      <w:rFonts w:hint="eastAsia"/>
                      <w:color w:val="000000" w:themeColor="text1"/>
                      <w:sz w:val="21"/>
                      <w:szCs w:val="24"/>
                      <w:highlight w:val="none"/>
                      <w14:textFill>
                        <w14:solidFill>
                          <w14:schemeClr w14:val="tx1"/>
                        </w14:solidFill>
                      </w14:textFill>
                    </w:rPr>
                  </w:pPr>
                </w:p>
              </w:tc>
              <w:tc>
                <w:tcPr>
                  <w:tcW w:w="2385" w:type="dxa"/>
                  <w:shd w:val="clear" w:color="auto" w:fill="auto"/>
                  <w:vAlign w:val="center"/>
                </w:tcPr>
                <w:p w14:paraId="31AFFC5B">
                  <w:pPr>
                    <w:keepNext w:val="0"/>
                    <w:keepLines w:val="0"/>
                    <w:widowControl/>
                    <w:suppressLineNumbers w:val="0"/>
                    <w:jc w:val="center"/>
                    <w:textAlignment w:val="center"/>
                    <w:rPr>
                      <w:rFonts w:hint="eastAsia"/>
                      <w:color w:val="000000" w:themeColor="text1"/>
                      <w:sz w:val="21"/>
                      <w:szCs w:val="24"/>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硝酸雾（以NO</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x</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计）</w:t>
                  </w:r>
                </w:p>
              </w:tc>
              <w:tc>
                <w:tcPr>
                  <w:tcW w:w="2843" w:type="dxa"/>
                  <w:shd w:val="clear" w:color="auto" w:fill="auto"/>
                  <w:vAlign w:val="center"/>
                </w:tcPr>
                <w:p w14:paraId="5F2AF23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0.000048 </w:t>
                  </w:r>
                </w:p>
              </w:tc>
            </w:tr>
            <w:tr w14:paraId="4B94A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1" w:hRule="atLeast"/>
              </w:trPr>
              <w:tc>
                <w:tcPr>
                  <w:tcW w:w="1272" w:type="dxa"/>
                  <w:vMerge w:val="continue"/>
                  <w:shd w:val="clear" w:color="auto" w:fill="auto"/>
                  <w:vAlign w:val="center"/>
                </w:tcPr>
                <w:p w14:paraId="7451E585">
                  <w:pPr>
                    <w:jc w:val="center"/>
                    <w:rPr>
                      <w:color w:val="000000" w:themeColor="text1"/>
                      <w:sz w:val="21"/>
                      <w:szCs w:val="24"/>
                      <w:highlight w:val="none"/>
                      <w14:textFill>
                        <w14:solidFill>
                          <w14:schemeClr w14:val="tx1"/>
                        </w14:solidFill>
                      </w14:textFill>
                    </w:rPr>
                  </w:pPr>
                </w:p>
              </w:tc>
              <w:tc>
                <w:tcPr>
                  <w:tcW w:w="1620" w:type="dxa"/>
                  <w:vMerge w:val="continue"/>
                  <w:shd w:val="clear" w:color="auto" w:fill="auto"/>
                  <w:vAlign w:val="center"/>
                </w:tcPr>
                <w:p w14:paraId="3A143E3F">
                  <w:pPr>
                    <w:jc w:val="center"/>
                    <w:rPr>
                      <w:rFonts w:hint="eastAsia"/>
                      <w:color w:val="000000" w:themeColor="text1"/>
                      <w:sz w:val="21"/>
                      <w:szCs w:val="24"/>
                      <w:highlight w:val="none"/>
                      <w14:textFill>
                        <w14:solidFill>
                          <w14:schemeClr w14:val="tx1"/>
                        </w14:solidFill>
                      </w14:textFill>
                    </w:rPr>
                  </w:pPr>
                </w:p>
              </w:tc>
              <w:tc>
                <w:tcPr>
                  <w:tcW w:w="2385" w:type="dxa"/>
                  <w:shd w:val="clear" w:color="auto" w:fill="auto"/>
                  <w:vAlign w:val="center"/>
                </w:tcPr>
                <w:p w14:paraId="0C520C1C">
                  <w:pPr>
                    <w:keepNext w:val="0"/>
                    <w:keepLines w:val="0"/>
                    <w:widowControl/>
                    <w:suppressLineNumbers w:val="0"/>
                    <w:jc w:val="center"/>
                    <w:textAlignment w:val="center"/>
                    <w:rPr>
                      <w:rFonts w:hint="eastAsia"/>
                      <w:color w:val="000000" w:themeColor="text1"/>
                      <w:sz w:val="21"/>
                      <w:szCs w:val="24"/>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氟化物</w:t>
                  </w:r>
                </w:p>
              </w:tc>
              <w:tc>
                <w:tcPr>
                  <w:tcW w:w="2843" w:type="dxa"/>
                  <w:shd w:val="clear" w:color="auto" w:fill="auto"/>
                  <w:vAlign w:val="center"/>
                </w:tcPr>
                <w:p w14:paraId="48730E3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0.0004 </w:t>
                  </w:r>
                </w:p>
              </w:tc>
            </w:tr>
            <w:tr w14:paraId="39147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1" w:hRule="atLeast"/>
              </w:trPr>
              <w:tc>
                <w:tcPr>
                  <w:tcW w:w="1272" w:type="dxa"/>
                  <w:vMerge w:val="continue"/>
                  <w:shd w:val="clear" w:color="auto" w:fill="auto"/>
                  <w:vAlign w:val="center"/>
                </w:tcPr>
                <w:p w14:paraId="24AFA9C6">
                  <w:pPr>
                    <w:jc w:val="center"/>
                    <w:rPr>
                      <w:color w:val="000000" w:themeColor="text1"/>
                      <w:sz w:val="21"/>
                      <w:szCs w:val="24"/>
                      <w:highlight w:val="none"/>
                      <w14:textFill>
                        <w14:solidFill>
                          <w14:schemeClr w14:val="tx1"/>
                        </w14:solidFill>
                      </w14:textFill>
                    </w:rPr>
                  </w:pPr>
                </w:p>
              </w:tc>
              <w:tc>
                <w:tcPr>
                  <w:tcW w:w="1620" w:type="dxa"/>
                  <w:vMerge w:val="continue"/>
                  <w:shd w:val="clear" w:color="auto" w:fill="auto"/>
                  <w:vAlign w:val="center"/>
                </w:tcPr>
                <w:p w14:paraId="479A3B8F">
                  <w:pPr>
                    <w:jc w:val="center"/>
                    <w:rPr>
                      <w:rFonts w:hint="eastAsia"/>
                      <w:color w:val="000000" w:themeColor="text1"/>
                      <w:sz w:val="21"/>
                      <w:szCs w:val="24"/>
                      <w:highlight w:val="none"/>
                      <w14:textFill>
                        <w14:solidFill>
                          <w14:schemeClr w14:val="tx1"/>
                        </w14:solidFill>
                      </w14:textFill>
                    </w:rPr>
                  </w:pPr>
                </w:p>
              </w:tc>
              <w:tc>
                <w:tcPr>
                  <w:tcW w:w="2385" w:type="dxa"/>
                  <w:shd w:val="clear" w:color="auto" w:fill="auto"/>
                  <w:vAlign w:val="center"/>
                </w:tcPr>
                <w:p w14:paraId="552B7793">
                  <w:pPr>
                    <w:keepNext w:val="0"/>
                    <w:keepLines w:val="0"/>
                    <w:widowControl/>
                    <w:suppressLineNumbers w:val="0"/>
                    <w:jc w:val="center"/>
                    <w:textAlignment w:val="center"/>
                    <w:rPr>
                      <w:rFonts w:hint="eastAsia"/>
                      <w:color w:val="000000" w:themeColor="text1"/>
                      <w:sz w:val="21"/>
                      <w:szCs w:val="24"/>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氯化氢</w:t>
                  </w:r>
                </w:p>
              </w:tc>
              <w:tc>
                <w:tcPr>
                  <w:tcW w:w="2843" w:type="dxa"/>
                  <w:shd w:val="clear" w:color="auto" w:fill="auto"/>
                  <w:vAlign w:val="center"/>
                </w:tcPr>
                <w:p w14:paraId="202EA32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0.000011 </w:t>
                  </w:r>
                </w:p>
              </w:tc>
            </w:tr>
            <w:tr w14:paraId="68820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1" w:hRule="atLeast"/>
              </w:trPr>
              <w:tc>
                <w:tcPr>
                  <w:tcW w:w="1272" w:type="dxa"/>
                  <w:vMerge w:val="continue"/>
                  <w:shd w:val="clear" w:color="auto" w:fill="auto"/>
                  <w:vAlign w:val="center"/>
                </w:tcPr>
                <w:p w14:paraId="47986F70">
                  <w:pPr>
                    <w:jc w:val="center"/>
                    <w:rPr>
                      <w:color w:val="000000" w:themeColor="text1"/>
                      <w:sz w:val="21"/>
                      <w:szCs w:val="24"/>
                      <w:highlight w:val="none"/>
                      <w14:textFill>
                        <w14:solidFill>
                          <w14:schemeClr w14:val="tx1"/>
                        </w14:solidFill>
                      </w14:textFill>
                    </w:rPr>
                  </w:pPr>
                </w:p>
              </w:tc>
              <w:tc>
                <w:tcPr>
                  <w:tcW w:w="1620" w:type="dxa"/>
                  <w:vMerge w:val="continue"/>
                  <w:shd w:val="clear" w:color="auto" w:fill="auto"/>
                  <w:vAlign w:val="center"/>
                </w:tcPr>
                <w:p w14:paraId="1CB36F7D">
                  <w:pPr>
                    <w:jc w:val="center"/>
                    <w:rPr>
                      <w:rFonts w:hint="eastAsia"/>
                      <w:color w:val="000000" w:themeColor="text1"/>
                      <w:sz w:val="21"/>
                      <w:szCs w:val="24"/>
                      <w:highlight w:val="none"/>
                      <w14:textFill>
                        <w14:solidFill>
                          <w14:schemeClr w14:val="tx1"/>
                        </w14:solidFill>
                      </w14:textFill>
                    </w:rPr>
                  </w:pPr>
                </w:p>
              </w:tc>
              <w:tc>
                <w:tcPr>
                  <w:tcW w:w="2385" w:type="dxa"/>
                  <w:shd w:val="clear" w:color="auto" w:fill="auto"/>
                  <w:vAlign w:val="center"/>
                </w:tcPr>
                <w:p w14:paraId="67D0D8F9">
                  <w:pPr>
                    <w:jc w:val="center"/>
                    <w:rPr>
                      <w:rFonts w:hint="eastAsia"/>
                      <w:color w:val="000000" w:themeColor="text1"/>
                      <w:sz w:val="21"/>
                      <w:szCs w:val="24"/>
                      <w:highlight w:val="none"/>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TMAH</w:t>
                  </w:r>
                </w:p>
              </w:tc>
              <w:tc>
                <w:tcPr>
                  <w:tcW w:w="2843" w:type="dxa"/>
                  <w:shd w:val="clear" w:color="auto" w:fill="auto"/>
                  <w:vAlign w:val="center"/>
                </w:tcPr>
                <w:p w14:paraId="6E14B3F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0.0001 </w:t>
                  </w:r>
                </w:p>
              </w:tc>
            </w:tr>
            <w:tr w14:paraId="3A627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272" w:type="dxa"/>
                  <w:vMerge w:val="continue"/>
                  <w:shd w:val="clear" w:color="auto" w:fill="auto"/>
                  <w:vAlign w:val="center"/>
                </w:tcPr>
                <w:p w14:paraId="70E03FD9">
                  <w:pPr>
                    <w:jc w:val="center"/>
                    <w:rPr>
                      <w:color w:val="000000" w:themeColor="text1"/>
                      <w:sz w:val="21"/>
                      <w:szCs w:val="24"/>
                      <w:highlight w:val="none"/>
                      <w14:textFill>
                        <w14:solidFill>
                          <w14:schemeClr w14:val="tx1"/>
                        </w14:solidFill>
                      </w14:textFill>
                    </w:rPr>
                  </w:pPr>
                </w:p>
              </w:tc>
              <w:tc>
                <w:tcPr>
                  <w:tcW w:w="1620" w:type="dxa"/>
                  <w:vMerge w:val="restart"/>
                  <w:shd w:val="clear" w:color="auto" w:fill="auto"/>
                  <w:vAlign w:val="center"/>
                </w:tcPr>
                <w:p w14:paraId="4B433FE1">
                  <w:pPr>
                    <w:jc w:val="center"/>
                    <w:rPr>
                      <w:color w:val="000000" w:themeColor="text1"/>
                      <w:sz w:val="21"/>
                      <w:szCs w:val="24"/>
                      <w:highlight w:val="none"/>
                      <w14:textFill>
                        <w14:solidFill>
                          <w14:schemeClr w14:val="tx1"/>
                        </w14:solidFill>
                      </w14:textFill>
                    </w:rPr>
                  </w:pPr>
                  <w:r>
                    <w:rPr>
                      <w:rFonts w:hint="eastAsia"/>
                      <w:color w:val="000000" w:themeColor="text1"/>
                      <w:sz w:val="21"/>
                      <w:szCs w:val="24"/>
                      <w:highlight w:val="none"/>
                      <w14:textFill>
                        <w14:solidFill>
                          <w14:schemeClr w14:val="tx1"/>
                        </w14:solidFill>
                      </w14:textFill>
                    </w:rPr>
                    <w:t>合计</w:t>
                  </w:r>
                </w:p>
              </w:tc>
              <w:tc>
                <w:tcPr>
                  <w:tcW w:w="2385" w:type="dxa"/>
                  <w:shd w:val="clear" w:color="auto" w:fill="auto"/>
                  <w:vAlign w:val="center"/>
                </w:tcPr>
                <w:p w14:paraId="312F05A4">
                  <w:pPr>
                    <w:jc w:val="center"/>
                    <w:rPr>
                      <w:rFonts w:hint="eastAsia"/>
                      <w:color w:val="000000" w:themeColor="text1"/>
                      <w:sz w:val="21"/>
                      <w:szCs w:val="24"/>
                      <w:highlight w:val="none"/>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颗粒物</w:t>
                  </w:r>
                </w:p>
              </w:tc>
              <w:tc>
                <w:tcPr>
                  <w:tcW w:w="2843" w:type="dxa"/>
                  <w:shd w:val="clear" w:color="auto" w:fill="auto"/>
                  <w:vAlign w:val="center"/>
                </w:tcPr>
                <w:p w14:paraId="7D6ACA77">
                  <w:pPr>
                    <w:keepNext w:val="0"/>
                    <w:keepLines w:val="0"/>
                    <w:widowControl/>
                    <w:suppressLineNumbers w:val="0"/>
                    <w:jc w:val="center"/>
                    <w:textAlignment w:val="center"/>
                    <w:rPr>
                      <w:rFonts w:hint="default" w:eastAsia="宋体"/>
                      <w:color w:val="000000" w:themeColor="text1"/>
                      <w:sz w:val="21"/>
                      <w:szCs w:val="24"/>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0.0009 </w:t>
                  </w:r>
                </w:p>
              </w:tc>
            </w:tr>
            <w:tr w14:paraId="3DF37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272" w:type="dxa"/>
                  <w:vMerge w:val="continue"/>
                  <w:shd w:val="clear" w:color="auto" w:fill="auto"/>
                  <w:vAlign w:val="center"/>
                </w:tcPr>
                <w:p w14:paraId="07C4F33B">
                  <w:pPr>
                    <w:jc w:val="center"/>
                    <w:rPr>
                      <w:color w:val="000000" w:themeColor="text1"/>
                      <w:sz w:val="21"/>
                      <w:szCs w:val="24"/>
                      <w:highlight w:val="none"/>
                      <w14:textFill>
                        <w14:solidFill>
                          <w14:schemeClr w14:val="tx1"/>
                        </w14:solidFill>
                      </w14:textFill>
                    </w:rPr>
                  </w:pPr>
                </w:p>
              </w:tc>
              <w:tc>
                <w:tcPr>
                  <w:tcW w:w="1620" w:type="dxa"/>
                  <w:vMerge w:val="continue"/>
                  <w:shd w:val="clear" w:color="auto" w:fill="auto"/>
                  <w:vAlign w:val="center"/>
                </w:tcPr>
                <w:p w14:paraId="1F0D5C3A">
                  <w:pPr>
                    <w:jc w:val="center"/>
                    <w:rPr>
                      <w:rFonts w:hint="eastAsia"/>
                      <w:color w:val="000000" w:themeColor="text1"/>
                      <w:sz w:val="21"/>
                      <w:szCs w:val="24"/>
                      <w:highlight w:val="none"/>
                      <w14:textFill>
                        <w14:solidFill>
                          <w14:schemeClr w14:val="tx1"/>
                        </w14:solidFill>
                      </w14:textFill>
                    </w:rPr>
                  </w:pPr>
                </w:p>
              </w:tc>
              <w:tc>
                <w:tcPr>
                  <w:tcW w:w="2385" w:type="dxa"/>
                  <w:shd w:val="clear" w:color="auto" w:fill="auto"/>
                  <w:vAlign w:val="center"/>
                </w:tcPr>
                <w:p w14:paraId="1B18BD6F">
                  <w:pPr>
                    <w:jc w:val="center"/>
                    <w:rPr>
                      <w:rFonts w:hint="eastAsia"/>
                      <w:color w:val="000000" w:themeColor="text1"/>
                      <w:sz w:val="21"/>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非甲烷总烃</w:t>
                  </w:r>
                </w:p>
              </w:tc>
              <w:tc>
                <w:tcPr>
                  <w:tcW w:w="2843" w:type="dxa"/>
                  <w:shd w:val="clear" w:color="auto" w:fill="auto"/>
                  <w:vAlign w:val="center"/>
                </w:tcPr>
                <w:p w14:paraId="2B79CD0D">
                  <w:pPr>
                    <w:keepNext w:val="0"/>
                    <w:keepLines w:val="0"/>
                    <w:widowControl/>
                    <w:suppressLineNumbers w:val="0"/>
                    <w:jc w:val="center"/>
                    <w:textAlignment w:val="center"/>
                    <w:rPr>
                      <w:rFonts w:hint="eastAsia"/>
                      <w:color w:val="000000" w:themeColor="text1"/>
                      <w:sz w:val="21"/>
                      <w:szCs w:val="24"/>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1.6273 </w:t>
                  </w:r>
                </w:p>
              </w:tc>
            </w:tr>
            <w:tr w14:paraId="7ED16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272" w:type="dxa"/>
                  <w:vMerge w:val="continue"/>
                  <w:shd w:val="clear" w:color="auto" w:fill="auto"/>
                  <w:vAlign w:val="center"/>
                </w:tcPr>
                <w:p w14:paraId="0CD02807">
                  <w:pPr>
                    <w:jc w:val="center"/>
                    <w:rPr>
                      <w:color w:val="000000" w:themeColor="text1"/>
                      <w:sz w:val="21"/>
                      <w:szCs w:val="24"/>
                      <w:highlight w:val="none"/>
                      <w14:textFill>
                        <w14:solidFill>
                          <w14:schemeClr w14:val="tx1"/>
                        </w14:solidFill>
                      </w14:textFill>
                    </w:rPr>
                  </w:pPr>
                </w:p>
              </w:tc>
              <w:tc>
                <w:tcPr>
                  <w:tcW w:w="1620" w:type="dxa"/>
                  <w:vMerge w:val="continue"/>
                  <w:shd w:val="clear" w:color="auto" w:fill="auto"/>
                  <w:vAlign w:val="center"/>
                </w:tcPr>
                <w:p w14:paraId="5FC04ABF">
                  <w:pPr>
                    <w:jc w:val="center"/>
                    <w:rPr>
                      <w:rFonts w:hint="eastAsia"/>
                      <w:color w:val="000000" w:themeColor="text1"/>
                      <w:sz w:val="21"/>
                      <w:szCs w:val="24"/>
                      <w:highlight w:val="none"/>
                      <w14:textFill>
                        <w14:solidFill>
                          <w14:schemeClr w14:val="tx1"/>
                        </w14:solidFill>
                      </w14:textFill>
                    </w:rPr>
                  </w:pPr>
                </w:p>
              </w:tc>
              <w:tc>
                <w:tcPr>
                  <w:tcW w:w="2385" w:type="dxa"/>
                  <w:shd w:val="clear" w:color="auto" w:fill="auto"/>
                  <w:vAlign w:val="center"/>
                </w:tcPr>
                <w:p w14:paraId="485F2D46">
                  <w:pPr>
                    <w:keepNext w:val="0"/>
                    <w:keepLines w:val="0"/>
                    <w:widowControl/>
                    <w:suppressLineNumbers w:val="0"/>
                    <w:jc w:val="center"/>
                    <w:textAlignment w:val="center"/>
                    <w:rPr>
                      <w:rFonts w:hint="eastAsia"/>
                      <w:color w:val="000000" w:themeColor="text1"/>
                      <w:sz w:val="21"/>
                      <w:szCs w:val="24"/>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硫酸雾</w:t>
                  </w:r>
                </w:p>
              </w:tc>
              <w:tc>
                <w:tcPr>
                  <w:tcW w:w="2843" w:type="dxa"/>
                  <w:shd w:val="clear" w:color="auto" w:fill="auto"/>
                  <w:vAlign w:val="center"/>
                </w:tcPr>
                <w:p w14:paraId="5DE2D123">
                  <w:pPr>
                    <w:keepNext w:val="0"/>
                    <w:keepLines w:val="0"/>
                    <w:widowControl/>
                    <w:suppressLineNumbers w:val="0"/>
                    <w:jc w:val="center"/>
                    <w:textAlignment w:val="center"/>
                    <w:rPr>
                      <w:rFonts w:hint="eastAsia"/>
                      <w:color w:val="000000" w:themeColor="text1"/>
                      <w:sz w:val="21"/>
                      <w:szCs w:val="24"/>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0.0019 </w:t>
                  </w:r>
                </w:p>
              </w:tc>
            </w:tr>
            <w:tr w14:paraId="04BFD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272" w:type="dxa"/>
                  <w:vMerge w:val="continue"/>
                  <w:shd w:val="clear" w:color="auto" w:fill="auto"/>
                  <w:vAlign w:val="center"/>
                </w:tcPr>
                <w:p w14:paraId="58D1ABB0">
                  <w:pPr>
                    <w:jc w:val="center"/>
                    <w:rPr>
                      <w:color w:val="000000" w:themeColor="text1"/>
                      <w:sz w:val="21"/>
                      <w:szCs w:val="24"/>
                      <w:highlight w:val="none"/>
                      <w14:textFill>
                        <w14:solidFill>
                          <w14:schemeClr w14:val="tx1"/>
                        </w14:solidFill>
                      </w14:textFill>
                    </w:rPr>
                  </w:pPr>
                </w:p>
              </w:tc>
              <w:tc>
                <w:tcPr>
                  <w:tcW w:w="1620" w:type="dxa"/>
                  <w:vMerge w:val="continue"/>
                  <w:shd w:val="clear" w:color="auto" w:fill="auto"/>
                  <w:vAlign w:val="center"/>
                </w:tcPr>
                <w:p w14:paraId="2D42EEBA">
                  <w:pPr>
                    <w:jc w:val="center"/>
                    <w:rPr>
                      <w:rFonts w:hint="eastAsia"/>
                      <w:color w:val="000000" w:themeColor="text1"/>
                      <w:sz w:val="21"/>
                      <w:szCs w:val="24"/>
                      <w:highlight w:val="none"/>
                      <w14:textFill>
                        <w14:solidFill>
                          <w14:schemeClr w14:val="tx1"/>
                        </w14:solidFill>
                      </w14:textFill>
                    </w:rPr>
                  </w:pPr>
                </w:p>
              </w:tc>
              <w:tc>
                <w:tcPr>
                  <w:tcW w:w="2385" w:type="dxa"/>
                  <w:shd w:val="clear" w:color="auto" w:fill="auto"/>
                  <w:vAlign w:val="center"/>
                </w:tcPr>
                <w:p w14:paraId="0157A1DF">
                  <w:pPr>
                    <w:keepNext w:val="0"/>
                    <w:keepLines w:val="0"/>
                    <w:widowControl/>
                    <w:suppressLineNumbers w:val="0"/>
                    <w:jc w:val="center"/>
                    <w:textAlignment w:val="center"/>
                    <w:rPr>
                      <w:rFonts w:hint="eastAsia"/>
                      <w:color w:val="000000" w:themeColor="text1"/>
                      <w:sz w:val="21"/>
                      <w:szCs w:val="24"/>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硝酸雾（以NO</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x</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计）</w:t>
                  </w:r>
                </w:p>
              </w:tc>
              <w:tc>
                <w:tcPr>
                  <w:tcW w:w="2843" w:type="dxa"/>
                  <w:shd w:val="clear" w:color="auto" w:fill="auto"/>
                  <w:vAlign w:val="center"/>
                </w:tcPr>
                <w:p w14:paraId="49789048">
                  <w:pPr>
                    <w:keepNext w:val="0"/>
                    <w:keepLines w:val="0"/>
                    <w:widowControl/>
                    <w:suppressLineNumbers w:val="0"/>
                    <w:jc w:val="center"/>
                    <w:textAlignment w:val="center"/>
                    <w:rPr>
                      <w:rFonts w:hint="eastAsia"/>
                      <w:color w:val="000000" w:themeColor="text1"/>
                      <w:sz w:val="21"/>
                      <w:szCs w:val="24"/>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0.0001 </w:t>
                  </w:r>
                </w:p>
              </w:tc>
            </w:tr>
            <w:tr w14:paraId="3E647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272" w:type="dxa"/>
                  <w:vMerge w:val="continue"/>
                  <w:shd w:val="clear" w:color="auto" w:fill="auto"/>
                  <w:vAlign w:val="center"/>
                </w:tcPr>
                <w:p w14:paraId="311DACDC">
                  <w:pPr>
                    <w:jc w:val="center"/>
                    <w:rPr>
                      <w:color w:val="000000" w:themeColor="text1"/>
                      <w:sz w:val="21"/>
                      <w:szCs w:val="24"/>
                      <w:highlight w:val="none"/>
                      <w14:textFill>
                        <w14:solidFill>
                          <w14:schemeClr w14:val="tx1"/>
                        </w14:solidFill>
                      </w14:textFill>
                    </w:rPr>
                  </w:pPr>
                </w:p>
              </w:tc>
              <w:tc>
                <w:tcPr>
                  <w:tcW w:w="1620" w:type="dxa"/>
                  <w:vMerge w:val="continue"/>
                  <w:shd w:val="clear" w:color="auto" w:fill="auto"/>
                  <w:vAlign w:val="center"/>
                </w:tcPr>
                <w:p w14:paraId="1D7431F6">
                  <w:pPr>
                    <w:jc w:val="center"/>
                    <w:rPr>
                      <w:rFonts w:hint="eastAsia"/>
                      <w:color w:val="000000" w:themeColor="text1"/>
                      <w:sz w:val="21"/>
                      <w:szCs w:val="24"/>
                      <w:highlight w:val="none"/>
                      <w14:textFill>
                        <w14:solidFill>
                          <w14:schemeClr w14:val="tx1"/>
                        </w14:solidFill>
                      </w14:textFill>
                    </w:rPr>
                  </w:pPr>
                </w:p>
              </w:tc>
              <w:tc>
                <w:tcPr>
                  <w:tcW w:w="2385" w:type="dxa"/>
                  <w:shd w:val="clear" w:color="auto" w:fill="auto"/>
                  <w:vAlign w:val="center"/>
                </w:tcPr>
                <w:p w14:paraId="44D5A4E3">
                  <w:pPr>
                    <w:keepNext w:val="0"/>
                    <w:keepLines w:val="0"/>
                    <w:widowControl/>
                    <w:suppressLineNumbers w:val="0"/>
                    <w:jc w:val="center"/>
                    <w:textAlignment w:val="center"/>
                    <w:rPr>
                      <w:rFonts w:hint="eastAsia"/>
                      <w:color w:val="000000" w:themeColor="text1"/>
                      <w:sz w:val="21"/>
                      <w:szCs w:val="24"/>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氟化物</w:t>
                  </w:r>
                </w:p>
              </w:tc>
              <w:tc>
                <w:tcPr>
                  <w:tcW w:w="2843" w:type="dxa"/>
                  <w:shd w:val="clear" w:color="auto" w:fill="auto"/>
                  <w:vAlign w:val="center"/>
                </w:tcPr>
                <w:p w14:paraId="6C2CD52F">
                  <w:pPr>
                    <w:keepNext w:val="0"/>
                    <w:keepLines w:val="0"/>
                    <w:widowControl/>
                    <w:suppressLineNumbers w:val="0"/>
                    <w:jc w:val="center"/>
                    <w:textAlignment w:val="center"/>
                    <w:rPr>
                      <w:rFonts w:hint="eastAsia"/>
                      <w:color w:val="000000" w:themeColor="text1"/>
                      <w:sz w:val="21"/>
                      <w:szCs w:val="24"/>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0.0008 </w:t>
                  </w:r>
                </w:p>
              </w:tc>
            </w:tr>
            <w:tr w14:paraId="1C63D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272" w:type="dxa"/>
                  <w:vMerge w:val="continue"/>
                  <w:shd w:val="clear" w:color="auto" w:fill="auto"/>
                  <w:vAlign w:val="center"/>
                </w:tcPr>
                <w:p w14:paraId="0A7ABAA8">
                  <w:pPr>
                    <w:jc w:val="center"/>
                    <w:rPr>
                      <w:color w:val="000000" w:themeColor="text1"/>
                      <w:sz w:val="21"/>
                      <w:szCs w:val="24"/>
                      <w:highlight w:val="none"/>
                      <w14:textFill>
                        <w14:solidFill>
                          <w14:schemeClr w14:val="tx1"/>
                        </w14:solidFill>
                      </w14:textFill>
                    </w:rPr>
                  </w:pPr>
                </w:p>
              </w:tc>
              <w:tc>
                <w:tcPr>
                  <w:tcW w:w="1620" w:type="dxa"/>
                  <w:vMerge w:val="continue"/>
                  <w:shd w:val="clear" w:color="auto" w:fill="auto"/>
                  <w:vAlign w:val="center"/>
                </w:tcPr>
                <w:p w14:paraId="61543FA0">
                  <w:pPr>
                    <w:jc w:val="center"/>
                    <w:rPr>
                      <w:rFonts w:hint="eastAsia"/>
                      <w:color w:val="000000" w:themeColor="text1"/>
                      <w:sz w:val="21"/>
                      <w:szCs w:val="24"/>
                      <w:highlight w:val="none"/>
                      <w14:textFill>
                        <w14:solidFill>
                          <w14:schemeClr w14:val="tx1"/>
                        </w14:solidFill>
                      </w14:textFill>
                    </w:rPr>
                  </w:pPr>
                </w:p>
              </w:tc>
              <w:tc>
                <w:tcPr>
                  <w:tcW w:w="2385" w:type="dxa"/>
                  <w:shd w:val="clear" w:color="auto" w:fill="auto"/>
                  <w:vAlign w:val="center"/>
                </w:tcPr>
                <w:p w14:paraId="7E2ECDD3">
                  <w:pPr>
                    <w:keepNext w:val="0"/>
                    <w:keepLines w:val="0"/>
                    <w:widowControl/>
                    <w:suppressLineNumbers w:val="0"/>
                    <w:jc w:val="center"/>
                    <w:textAlignment w:val="center"/>
                    <w:rPr>
                      <w:rFonts w:hint="eastAsia"/>
                      <w:color w:val="000000" w:themeColor="text1"/>
                      <w:sz w:val="21"/>
                      <w:szCs w:val="24"/>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氯化氢</w:t>
                  </w:r>
                </w:p>
              </w:tc>
              <w:tc>
                <w:tcPr>
                  <w:tcW w:w="2843" w:type="dxa"/>
                  <w:shd w:val="clear" w:color="auto" w:fill="auto"/>
                  <w:vAlign w:val="center"/>
                </w:tcPr>
                <w:p w14:paraId="2758A526">
                  <w:pPr>
                    <w:keepNext w:val="0"/>
                    <w:keepLines w:val="0"/>
                    <w:widowControl/>
                    <w:suppressLineNumbers w:val="0"/>
                    <w:jc w:val="center"/>
                    <w:textAlignment w:val="center"/>
                    <w:rPr>
                      <w:rFonts w:hint="eastAsia"/>
                      <w:color w:val="000000" w:themeColor="text1"/>
                      <w:sz w:val="21"/>
                      <w:szCs w:val="24"/>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0.000021 </w:t>
                  </w:r>
                </w:p>
              </w:tc>
            </w:tr>
            <w:tr w14:paraId="595F6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272" w:type="dxa"/>
                  <w:vMerge w:val="continue"/>
                  <w:shd w:val="clear" w:color="auto" w:fill="auto"/>
                  <w:vAlign w:val="center"/>
                </w:tcPr>
                <w:p w14:paraId="443E3A5C">
                  <w:pPr>
                    <w:jc w:val="center"/>
                    <w:rPr>
                      <w:color w:val="000000" w:themeColor="text1"/>
                      <w:sz w:val="21"/>
                      <w:szCs w:val="24"/>
                      <w:highlight w:val="none"/>
                      <w14:textFill>
                        <w14:solidFill>
                          <w14:schemeClr w14:val="tx1"/>
                        </w14:solidFill>
                      </w14:textFill>
                    </w:rPr>
                  </w:pPr>
                </w:p>
              </w:tc>
              <w:tc>
                <w:tcPr>
                  <w:tcW w:w="1620" w:type="dxa"/>
                  <w:vMerge w:val="continue"/>
                  <w:shd w:val="clear" w:color="auto" w:fill="auto"/>
                  <w:vAlign w:val="center"/>
                </w:tcPr>
                <w:p w14:paraId="42592691">
                  <w:pPr>
                    <w:jc w:val="center"/>
                    <w:rPr>
                      <w:rFonts w:hint="eastAsia"/>
                      <w:color w:val="000000" w:themeColor="text1"/>
                      <w:sz w:val="21"/>
                      <w:szCs w:val="24"/>
                      <w:highlight w:val="none"/>
                      <w14:textFill>
                        <w14:solidFill>
                          <w14:schemeClr w14:val="tx1"/>
                        </w14:solidFill>
                      </w14:textFill>
                    </w:rPr>
                  </w:pPr>
                </w:p>
              </w:tc>
              <w:tc>
                <w:tcPr>
                  <w:tcW w:w="2385" w:type="dxa"/>
                  <w:shd w:val="clear" w:color="auto" w:fill="auto"/>
                  <w:vAlign w:val="center"/>
                </w:tcPr>
                <w:p w14:paraId="73857C46">
                  <w:pPr>
                    <w:jc w:val="center"/>
                    <w:rPr>
                      <w:rFonts w:hint="eastAsia"/>
                      <w:color w:val="000000" w:themeColor="text1"/>
                      <w:sz w:val="21"/>
                      <w:szCs w:val="24"/>
                      <w:highlight w:val="none"/>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TMAH</w:t>
                  </w:r>
                </w:p>
              </w:tc>
              <w:tc>
                <w:tcPr>
                  <w:tcW w:w="2843" w:type="dxa"/>
                  <w:shd w:val="clear" w:color="auto" w:fill="auto"/>
                  <w:vAlign w:val="center"/>
                </w:tcPr>
                <w:p w14:paraId="26D8EB84">
                  <w:pPr>
                    <w:keepNext w:val="0"/>
                    <w:keepLines w:val="0"/>
                    <w:widowControl/>
                    <w:suppressLineNumbers w:val="0"/>
                    <w:jc w:val="center"/>
                    <w:textAlignment w:val="center"/>
                    <w:rPr>
                      <w:rFonts w:hint="eastAsia"/>
                      <w:color w:val="000000" w:themeColor="text1"/>
                      <w:sz w:val="21"/>
                      <w:szCs w:val="24"/>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0.0002 </w:t>
                  </w:r>
                </w:p>
              </w:tc>
            </w:tr>
          </w:tbl>
          <w:p w14:paraId="6FAEB2BB">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4.1.2非正常排放</w:t>
            </w:r>
          </w:p>
          <w:p w14:paraId="21BDF596">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非正常排放情况考虑废气净化设施发生故障，废气污染物未经处理就直接排放的情景，非正常排放不考虑无组织排放，本项目有机废气净化设施在风机故障发生时，应立即停产，非正常排放时间按0.5h计算，非正常排放量核算见下表。</w:t>
            </w:r>
          </w:p>
          <w:p w14:paraId="3650D14A">
            <w:pPr>
              <w:spacing w:line="360" w:lineRule="auto"/>
              <w:jc w:val="center"/>
              <w:rPr>
                <w:rFonts w:ascii="宋体" w:cs="宋体"/>
                <w:b/>
                <w:bCs w:val="0"/>
                <w:color w:val="000000" w:themeColor="text1"/>
                <w:kern w:val="0"/>
                <w:sz w:val="24"/>
                <w:szCs w:val="24"/>
                <w:highlight w:val="none"/>
                <w14:textFill>
                  <w14:solidFill>
                    <w14:schemeClr w14:val="tx1"/>
                  </w14:solidFill>
                </w14:textFill>
              </w:rPr>
            </w:pPr>
            <w:r>
              <w:rPr>
                <w:rFonts w:hint="eastAsia" w:cs="宋体"/>
                <w:b/>
                <w:bCs w:val="0"/>
                <w:color w:val="000000" w:themeColor="text1"/>
                <w:sz w:val="24"/>
                <w:szCs w:val="24"/>
                <w:highlight w:val="none"/>
                <w14:textFill>
                  <w14:solidFill>
                    <w14:schemeClr w14:val="tx1"/>
                  </w14:solidFill>
                </w14:textFill>
              </w:rPr>
              <w:t xml:space="preserve">表 </w:t>
            </w:r>
            <w:r>
              <w:rPr>
                <w:b/>
                <w:bCs w:val="0"/>
                <w:color w:val="000000" w:themeColor="text1"/>
                <w:sz w:val="24"/>
                <w:szCs w:val="24"/>
                <w:highlight w:val="none"/>
                <w14:textFill>
                  <w14:solidFill>
                    <w14:schemeClr w14:val="tx1"/>
                  </w14:solidFill>
                </w14:textFill>
              </w:rPr>
              <w:t>4</w:t>
            </w:r>
            <w:r>
              <w:rPr>
                <w:rFonts w:hint="eastAsia"/>
                <w:b/>
                <w:bCs w:val="0"/>
                <w:color w:val="000000" w:themeColor="text1"/>
                <w:sz w:val="24"/>
                <w:szCs w:val="24"/>
                <w:highlight w:val="none"/>
                <w:lang w:val="en-US" w:eastAsia="zh-CN"/>
                <w14:textFill>
                  <w14:solidFill>
                    <w14:schemeClr w14:val="tx1"/>
                  </w14:solidFill>
                </w14:textFill>
              </w:rPr>
              <w:t>.1</w:t>
            </w:r>
            <w:r>
              <w:rPr>
                <w:b/>
                <w:bCs w:val="0"/>
                <w:color w:val="000000" w:themeColor="text1"/>
                <w:sz w:val="24"/>
                <w:szCs w:val="24"/>
                <w:highlight w:val="none"/>
                <w14:textFill>
                  <w14:solidFill>
                    <w14:schemeClr w14:val="tx1"/>
                  </w14:solidFill>
                </w14:textFill>
              </w:rPr>
              <w:t>-</w:t>
            </w:r>
            <w:r>
              <w:rPr>
                <w:rFonts w:hint="eastAsia"/>
                <w:b/>
                <w:bCs w:val="0"/>
                <w:color w:val="000000" w:themeColor="text1"/>
                <w:sz w:val="24"/>
                <w:szCs w:val="24"/>
                <w:highlight w:val="none"/>
                <w:lang w:val="en-US" w:eastAsia="zh-CN"/>
                <w14:textFill>
                  <w14:solidFill>
                    <w14:schemeClr w14:val="tx1"/>
                  </w14:solidFill>
                </w14:textFill>
              </w:rPr>
              <w:t>6</w:t>
            </w:r>
            <w:r>
              <w:rPr>
                <w:b/>
                <w:bCs w:val="0"/>
                <w:color w:val="000000" w:themeColor="text1"/>
                <w:sz w:val="24"/>
                <w:szCs w:val="24"/>
                <w:highlight w:val="none"/>
                <w14:textFill>
                  <w14:solidFill>
                    <w14:schemeClr w14:val="tx1"/>
                  </w14:solidFill>
                </w14:textFill>
              </w:rPr>
              <w:t xml:space="preserve">  </w:t>
            </w:r>
            <w:r>
              <w:rPr>
                <w:rFonts w:hint="eastAsia"/>
                <w:b/>
                <w:bCs w:val="0"/>
                <w:color w:val="000000" w:themeColor="text1"/>
                <w:sz w:val="24"/>
                <w:szCs w:val="24"/>
                <w:highlight w:val="none"/>
                <w:lang w:val="en-US" w:eastAsia="zh-CN"/>
                <w14:textFill>
                  <w14:solidFill>
                    <w14:schemeClr w14:val="tx1"/>
                  </w14:solidFill>
                </w14:textFill>
              </w:rPr>
              <w:t>本项目废气污染物非正常排放核算一览</w:t>
            </w:r>
            <w:r>
              <w:rPr>
                <w:rFonts w:hint="eastAsia"/>
                <w:b/>
                <w:bCs w:val="0"/>
                <w:color w:val="000000" w:themeColor="text1"/>
                <w:sz w:val="24"/>
                <w:szCs w:val="24"/>
                <w:highlight w:val="none"/>
                <w14:textFill>
                  <w14:solidFill>
                    <w14:schemeClr w14:val="tx1"/>
                  </w14:solidFill>
                </w14:textFill>
              </w:rPr>
              <w:t>表</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30"/>
              <w:gridCol w:w="761"/>
              <w:gridCol w:w="1030"/>
              <w:gridCol w:w="840"/>
              <w:gridCol w:w="855"/>
              <w:gridCol w:w="900"/>
              <w:gridCol w:w="825"/>
              <w:gridCol w:w="900"/>
              <w:gridCol w:w="1179"/>
            </w:tblGrid>
            <w:tr w14:paraId="52661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1" w:hRule="atLeast"/>
              </w:trPr>
              <w:tc>
                <w:tcPr>
                  <w:tcW w:w="830" w:type="dxa"/>
                  <w:vMerge w:val="restart"/>
                  <w:shd w:val="clear" w:color="auto" w:fill="auto"/>
                  <w:vAlign w:val="center"/>
                </w:tcPr>
                <w:p w14:paraId="43A46E49">
                  <w:pPr>
                    <w:jc w:val="center"/>
                    <w:rPr>
                      <w:rFonts w:hint="default" w:eastAsia="宋体"/>
                      <w:color w:val="000000" w:themeColor="text1"/>
                      <w:sz w:val="21"/>
                      <w:szCs w:val="24"/>
                      <w:highlight w:val="none"/>
                      <w:lang w:val="en-US" w:eastAsia="zh-CN"/>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排放源名称</w:t>
                  </w:r>
                </w:p>
              </w:tc>
              <w:tc>
                <w:tcPr>
                  <w:tcW w:w="761" w:type="dxa"/>
                  <w:vMerge w:val="restart"/>
                  <w:shd w:val="clear" w:color="auto" w:fill="auto"/>
                  <w:vAlign w:val="center"/>
                </w:tcPr>
                <w:p w14:paraId="44353657">
                  <w:pPr>
                    <w:jc w:val="center"/>
                    <w:rPr>
                      <w:rFonts w:hint="default" w:eastAsia="宋体"/>
                      <w:color w:val="000000" w:themeColor="text1"/>
                      <w:sz w:val="21"/>
                      <w:szCs w:val="24"/>
                      <w:highlight w:val="none"/>
                      <w:lang w:val="en-US" w:eastAsia="zh-CN"/>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污染物名称</w:t>
                  </w:r>
                </w:p>
              </w:tc>
              <w:tc>
                <w:tcPr>
                  <w:tcW w:w="1030" w:type="dxa"/>
                  <w:vMerge w:val="restart"/>
                  <w:shd w:val="clear" w:color="auto" w:fill="auto"/>
                  <w:vAlign w:val="center"/>
                </w:tcPr>
                <w:p w14:paraId="6F65C9F7">
                  <w:pPr>
                    <w:jc w:val="center"/>
                    <w:rPr>
                      <w:rFonts w:hint="default" w:eastAsia="宋体"/>
                      <w:color w:val="000000" w:themeColor="text1"/>
                      <w:sz w:val="21"/>
                      <w:szCs w:val="24"/>
                      <w:highlight w:val="none"/>
                      <w:lang w:val="en-US" w:eastAsia="zh-CN"/>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非正常排放原因</w:t>
                  </w:r>
                </w:p>
              </w:tc>
              <w:tc>
                <w:tcPr>
                  <w:tcW w:w="4320" w:type="dxa"/>
                  <w:gridSpan w:val="5"/>
                  <w:shd w:val="clear" w:color="auto" w:fill="auto"/>
                  <w:vAlign w:val="center"/>
                </w:tcPr>
                <w:p w14:paraId="7330BB6A">
                  <w:pPr>
                    <w:jc w:val="center"/>
                    <w:rPr>
                      <w:rFonts w:hint="default" w:eastAsia="宋体"/>
                      <w:color w:val="000000" w:themeColor="text1"/>
                      <w:sz w:val="21"/>
                      <w:szCs w:val="24"/>
                      <w:highlight w:val="none"/>
                      <w:lang w:val="en-US" w:eastAsia="zh-CN"/>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非正常排放情况</w:t>
                  </w:r>
                </w:p>
              </w:tc>
              <w:tc>
                <w:tcPr>
                  <w:tcW w:w="1179" w:type="dxa"/>
                  <w:vMerge w:val="restart"/>
                  <w:shd w:val="clear" w:color="auto" w:fill="auto"/>
                  <w:vAlign w:val="center"/>
                </w:tcPr>
                <w:p w14:paraId="1C378A41">
                  <w:pPr>
                    <w:jc w:val="center"/>
                    <w:rPr>
                      <w:rFonts w:hint="default" w:eastAsia="宋体"/>
                      <w:color w:val="000000" w:themeColor="text1"/>
                      <w:sz w:val="21"/>
                      <w:szCs w:val="24"/>
                      <w:highlight w:val="none"/>
                      <w:lang w:val="en-US" w:eastAsia="zh-CN"/>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应对措施</w:t>
                  </w:r>
                </w:p>
              </w:tc>
            </w:tr>
            <w:tr w14:paraId="28AE4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1" w:hRule="atLeast"/>
              </w:trPr>
              <w:tc>
                <w:tcPr>
                  <w:tcW w:w="830" w:type="dxa"/>
                  <w:vMerge w:val="continue"/>
                  <w:shd w:val="clear" w:color="auto" w:fill="auto"/>
                  <w:vAlign w:val="center"/>
                </w:tcPr>
                <w:p w14:paraId="4C271B30">
                  <w:pPr>
                    <w:jc w:val="center"/>
                    <w:rPr>
                      <w:rFonts w:hint="default" w:eastAsia="宋体"/>
                      <w:color w:val="000000" w:themeColor="text1"/>
                      <w:sz w:val="21"/>
                      <w:szCs w:val="24"/>
                      <w:highlight w:val="none"/>
                      <w:lang w:val="en-US" w:eastAsia="zh-CN"/>
                      <w14:textFill>
                        <w14:solidFill>
                          <w14:schemeClr w14:val="tx1"/>
                        </w14:solidFill>
                      </w14:textFill>
                    </w:rPr>
                  </w:pPr>
                </w:p>
              </w:tc>
              <w:tc>
                <w:tcPr>
                  <w:tcW w:w="761" w:type="dxa"/>
                  <w:vMerge w:val="continue"/>
                  <w:shd w:val="clear" w:color="auto" w:fill="auto"/>
                  <w:vAlign w:val="center"/>
                </w:tcPr>
                <w:p w14:paraId="1057E4DB">
                  <w:pPr>
                    <w:jc w:val="center"/>
                    <w:rPr>
                      <w:rFonts w:hint="default" w:eastAsia="宋体"/>
                      <w:color w:val="000000" w:themeColor="text1"/>
                      <w:sz w:val="21"/>
                      <w:szCs w:val="24"/>
                      <w:highlight w:val="none"/>
                      <w:lang w:val="en-US" w:eastAsia="zh-CN"/>
                      <w14:textFill>
                        <w14:solidFill>
                          <w14:schemeClr w14:val="tx1"/>
                        </w14:solidFill>
                      </w14:textFill>
                    </w:rPr>
                  </w:pPr>
                </w:p>
              </w:tc>
              <w:tc>
                <w:tcPr>
                  <w:tcW w:w="1030" w:type="dxa"/>
                  <w:vMerge w:val="continue"/>
                  <w:shd w:val="clear" w:color="auto" w:fill="auto"/>
                  <w:vAlign w:val="center"/>
                </w:tcPr>
                <w:p w14:paraId="7FA7C387">
                  <w:pPr>
                    <w:jc w:val="center"/>
                    <w:rPr>
                      <w:rFonts w:hint="default" w:eastAsia="宋体"/>
                      <w:color w:val="000000" w:themeColor="text1"/>
                      <w:sz w:val="21"/>
                      <w:szCs w:val="24"/>
                      <w:highlight w:val="none"/>
                      <w:lang w:val="en-US" w:eastAsia="zh-CN"/>
                      <w14:textFill>
                        <w14:solidFill>
                          <w14:schemeClr w14:val="tx1"/>
                        </w14:solidFill>
                      </w14:textFill>
                    </w:rPr>
                  </w:pPr>
                </w:p>
              </w:tc>
              <w:tc>
                <w:tcPr>
                  <w:tcW w:w="840" w:type="dxa"/>
                  <w:shd w:val="clear" w:color="auto" w:fill="auto"/>
                  <w:vAlign w:val="center"/>
                </w:tcPr>
                <w:p w14:paraId="259BA0CE">
                  <w:pPr>
                    <w:jc w:val="center"/>
                    <w:rPr>
                      <w:rFonts w:hint="default"/>
                      <w:color w:val="000000" w:themeColor="text1"/>
                      <w:sz w:val="21"/>
                      <w:szCs w:val="24"/>
                      <w:highlight w:val="none"/>
                      <w:lang w:val="en-US" w:eastAsia="zh-CN"/>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浓度mg/m</w:t>
                  </w:r>
                  <w:r>
                    <w:rPr>
                      <w:rFonts w:hint="eastAsia"/>
                      <w:color w:val="000000" w:themeColor="text1"/>
                      <w:sz w:val="21"/>
                      <w:szCs w:val="24"/>
                      <w:highlight w:val="none"/>
                      <w:vertAlign w:val="superscript"/>
                      <w:lang w:val="en-US" w:eastAsia="zh-CN"/>
                      <w14:textFill>
                        <w14:solidFill>
                          <w14:schemeClr w14:val="tx1"/>
                        </w14:solidFill>
                      </w14:textFill>
                    </w:rPr>
                    <w:t>3</w:t>
                  </w:r>
                </w:p>
              </w:tc>
              <w:tc>
                <w:tcPr>
                  <w:tcW w:w="855" w:type="dxa"/>
                  <w:shd w:val="clear" w:color="auto" w:fill="auto"/>
                  <w:vAlign w:val="center"/>
                </w:tcPr>
                <w:p w14:paraId="54D2D1C6">
                  <w:pPr>
                    <w:jc w:val="center"/>
                    <w:rPr>
                      <w:rFonts w:hint="default"/>
                      <w:color w:val="000000" w:themeColor="text1"/>
                      <w:sz w:val="21"/>
                      <w:szCs w:val="24"/>
                      <w:highlight w:val="none"/>
                      <w:lang w:val="en-US" w:eastAsia="zh-CN"/>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速率kg/h</w:t>
                  </w:r>
                </w:p>
              </w:tc>
              <w:tc>
                <w:tcPr>
                  <w:tcW w:w="900" w:type="dxa"/>
                  <w:shd w:val="clear" w:color="auto" w:fill="auto"/>
                  <w:vAlign w:val="center"/>
                </w:tcPr>
                <w:p w14:paraId="1CF2617F">
                  <w:pPr>
                    <w:jc w:val="center"/>
                    <w:rPr>
                      <w:rFonts w:hint="default"/>
                      <w:color w:val="000000" w:themeColor="text1"/>
                      <w:sz w:val="21"/>
                      <w:szCs w:val="24"/>
                      <w:highlight w:val="none"/>
                      <w:lang w:val="en-US" w:eastAsia="zh-CN"/>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单次持续时间h</w:t>
                  </w:r>
                </w:p>
              </w:tc>
              <w:tc>
                <w:tcPr>
                  <w:tcW w:w="825" w:type="dxa"/>
                  <w:shd w:val="clear" w:color="auto" w:fill="auto"/>
                  <w:vAlign w:val="center"/>
                </w:tcPr>
                <w:p w14:paraId="768B24E8">
                  <w:pPr>
                    <w:jc w:val="center"/>
                    <w:rPr>
                      <w:rFonts w:hint="eastAsia"/>
                      <w:color w:val="000000" w:themeColor="text1"/>
                      <w:sz w:val="21"/>
                      <w:szCs w:val="24"/>
                      <w:highlight w:val="none"/>
                      <w:lang w:val="en-US" w:eastAsia="zh-CN"/>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年发生频次</w:t>
                  </w:r>
                </w:p>
              </w:tc>
              <w:tc>
                <w:tcPr>
                  <w:tcW w:w="900" w:type="dxa"/>
                  <w:shd w:val="clear" w:color="auto" w:fill="auto"/>
                  <w:vAlign w:val="center"/>
                </w:tcPr>
                <w:p w14:paraId="1A22C037">
                  <w:pPr>
                    <w:jc w:val="center"/>
                    <w:rPr>
                      <w:rFonts w:hint="default"/>
                      <w:color w:val="000000" w:themeColor="text1"/>
                      <w:sz w:val="21"/>
                      <w:szCs w:val="24"/>
                      <w:highlight w:val="none"/>
                      <w:lang w:val="en-US" w:eastAsia="zh-CN"/>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排放量kg/a</w:t>
                  </w:r>
                </w:p>
              </w:tc>
              <w:tc>
                <w:tcPr>
                  <w:tcW w:w="1179" w:type="dxa"/>
                  <w:vMerge w:val="continue"/>
                  <w:shd w:val="clear" w:color="auto" w:fill="auto"/>
                  <w:vAlign w:val="center"/>
                </w:tcPr>
                <w:p w14:paraId="7817BE4F">
                  <w:pPr>
                    <w:jc w:val="center"/>
                    <w:rPr>
                      <w:rFonts w:hint="eastAsia" w:eastAsia="宋体"/>
                      <w:color w:val="000000" w:themeColor="text1"/>
                      <w:sz w:val="21"/>
                      <w:szCs w:val="24"/>
                      <w:highlight w:val="none"/>
                      <w:lang w:val="en-US" w:eastAsia="zh-CN"/>
                      <w14:textFill>
                        <w14:solidFill>
                          <w14:schemeClr w14:val="tx1"/>
                        </w14:solidFill>
                      </w14:textFill>
                    </w:rPr>
                  </w:pPr>
                </w:p>
              </w:tc>
            </w:tr>
            <w:tr w14:paraId="1F953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830" w:type="dxa"/>
                  <w:shd w:val="clear" w:color="auto" w:fill="auto"/>
                  <w:vAlign w:val="center"/>
                </w:tcPr>
                <w:p w14:paraId="131433A1">
                  <w:pPr>
                    <w:jc w:val="center"/>
                    <w:rPr>
                      <w:rFonts w:hint="default" w:eastAsia="宋体"/>
                      <w:color w:val="000000" w:themeColor="text1"/>
                      <w:sz w:val="21"/>
                      <w:szCs w:val="24"/>
                      <w:highlight w:val="none"/>
                      <w:lang w:val="en-US" w:eastAsia="zh-CN"/>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有机废气</w:t>
                  </w:r>
                </w:p>
              </w:tc>
              <w:tc>
                <w:tcPr>
                  <w:tcW w:w="761" w:type="dxa"/>
                  <w:shd w:val="clear" w:color="auto" w:fill="auto"/>
                  <w:vAlign w:val="center"/>
                </w:tcPr>
                <w:p w14:paraId="50F9D48C">
                  <w:pPr>
                    <w:jc w:val="center"/>
                    <w:rPr>
                      <w:rFonts w:hint="default" w:eastAsia="宋体"/>
                      <w:color w:val="000000" w:themeColor="text1"/>
                      <w:sz w:val="21"/>
                      <w:szCs w:val="24"/>
                      <w:highlight w:val="none"/>
                      <w:lang w:val="en-US" w:eastAsia="zh-CN"/>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非甲烷总烃</w:t>
                  </w:r>
                </w:p>
              </w:tc>
              <w:tc>
                <w:tcPr>
                  <w:tcW w:w="1030" w:type="dxa"/>
                  <w:shd w:val="clear" w:color="auto" w:fill="auto"/>
                  <w:vAlign w:val="center"/>
                </w:tcPr>
                <w:p w14:paraId="18A76D4D">
                  <w:pPr>
                    <w:jc w:val="center"/>
                    <w:rPr>
                      <w:rFonts w:hint="default" w:eastAsia="宋体"/>
                      <w:color w:val="000000" w:themeColor="text1"/>
                      <w:sz w:val="21"/>
                      <w:szCs w:val="24"/>
                      <w:highlight w:val="none"/>
                      <w:lang w:val="en-US" w:eastAsia="zh-CN"/>
                      <w14:textFill>
                        <w14:solidFill>
                          <w14:schemeClr w14:val="tx1"/>
                        </w14:solidFill>
                      </w14:textFill>
                    </w:rPr>
                  </w:pPr>
                  <w:r>
                    <w:rPr>
                      <w:rFonts w:hint="default" w:eastAsia="宋体"/>
                      <w:color w:val="000000" w:themeColor="text1"/>
                      <w:sz w:val="21"/>
                      <w:szCs w:val="24"/>
                      <w:highlight w:val="none"/>
                      <w:lang w:val="en-US" w:eastAsia="zh-CN"/>
                      <w14:textFill>
                        <w14:solidFill>
                          <w14:schemeClr w14:val="tx1"/>
                        </w14:solidFill>
                      </w14:textFill>
                    </w:rPr>
                    <w:t>废气治理设施发生故障</w:t>
                  </w:r>
                </w:p>
              </w:tc>
              <w:tc>
                <w:tcPr>
                  <w:tcW w:w="840" w:type="dxa"/>
                  <w:shd w:val="clear" w:color="auto" w:fill="auto"/>
                  <w:vAlign w:val="center"/>
                </w:tcPr>
                <w:p w14:paraId="4CF11280">
                  <w:pPr>
                    <w:keepNext w:val="0"/>
                    <w:keepLines w:val="0"/>
                    <w:widowControl/>
                    <w:suppressLineNumbers w:val="0"/>
                    <w:jc w:val="center"/>
                    <w:textAlignment w:val="center"/>
                    <w:rPr>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463.15 </w:t>
                  </w:r>
                </w:p>
              </w:tc>
              <w:tc>
                <w:tcPr>
                  <w:tcW w:w="855" w:type="dxa"/>
                  <w:shd w:val="clear" w:color="auto" w:fill="auto"/>
                  <w:vAlign w:val="center"/>
                </w:tcPr>
                <w:p w14:paraId="7DDC1F93">
                  <w:pPr>
                    <w:keepNext w:val="0"/>
                    <w:keepLines w:val="0"/>
                    <w:widowControl/>
                    <w:suppressLineNumbers w:val="0"/>
                    <w:jc w:val="center"/>
                    <w:textAlignment w:val="center"/>
                    <w:rPr>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3.3347 </w:t>
                  </w:r>
                </w:p>
              </w:tc>
              <w:tc>
                <w:tcPr>
                  <w:tcW w:w="900" w:type="dxa"/>
                  <w:shd w:val="clear" w:color="auto" w:fill="auto"/>
                  <w:vAlign w:val="center"/>
                </w:tcPr>
                <w:p w14:paraId="5A49D2E8">
                  <w:pPr>
                    <w:keepNext w:val="0"/>
                    <w:keepLines w:val="0"/>
                    <w:widowControl/>
                    <w:suppressLineNumbers w:val="0"/>
                    <w:jc w:val="center"/>
                    <w:textAlignment w:val="center"/>
                    <w:rPr>
                      <w:rFonts w:hint="default"/>
                      <w:color w:val="000000" w:themeColor="text1"/>
                      <w:sz w:val="21"/>
                      <w:szCs w:val="24"/>
                      <w:highlight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0.5</w:t>
                  </w:r>
                </w:p>
              </w:tc>
              <w:tc>
                <w:tcPr>
                  <w:tcW w:w="825" w:type="dxa"/>
                  <w:shd w:val="clear" w:color="auto" w:fill="auto"/>
                  <w:vAlign w:val="center"/>
                </w:tcPr>
                <w:p w14:paraId="4EF266F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900" w:type="dxa"/>
                  <w:shd w:val="clear" w:color="auto" w:fill="auto"/>
                  <w:vAlign w:val="center"/>
                </w:tcPr>
                <w:p w14:paraId="3AC74FD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1.6674</w:t>
                  </w:r>
                </w:p>
              </w:tc>
              <w:tc>
                <w:tcPr>
                  <w:tcW w:w="1179" w:type="dxa"/>
                  <w:shd w:val="clear" w:color="auto" w:fill="auto"/>
                  <w:vAlign w:val="center"/>
                </w:tcPr>
                <w:p w14:paraId="51AE10AA">
                  <w:pPr>
                    <w:jc w:val="center"/>
                    <w:rPr>
                      <w:rFonts w:hint="default" w:eastAsia="宋体"/>
                      <w:color w:val="000000" w:themeColor="text1"/>
                      <w:sz w:val="21"/>
                      <w:szCs w:val="24"/>
                      <w:highlight w:val="none"/>
                      <w:lang w:val="en-US" w:eastAsia="zh-CN"/>
                      <w14:textFill>
                        <w14:solidFill>
                          <w14:schemeClr w14:val="tx1"/>
                        </w14:solidFill>
                      </w14:textFill>
                    </w:rPr>
                  </w:pPr>
                  <w:r>
                    <w:rPr>
                      <w:rFonts w:hint="eastAsia" w:eastAsia="宋体"/>
                      <w:color w:val="000000" w:themeColor="text1"/>
                      <w:sz w:val="21"/>
                      <w:szCs w:val="24"/>
                      <w:highlight w:val="none"/>
                      <w:lang w:val="en-US" w:eastAsia="zh-CN"/>
                      <w14:textFill>
                        <w14:solidFill>
                          <w14:schemeClr w14:val="tx1"/>
                        </w14:solidFill>
                      </w14:textFill>
                    </w:rPr>
                    <w:t>立即</w:t>
                  </w:r>
                  <w:r>
                    <w:rPr>
                      <w:rFonts w:hint="eastAsia"/>
                      <w:color w:val="000000" w:themeColor="text1"/>
                      <w:sz w:val="21"/>
                      <w:szCs w:val="24"/>
                      <w:highlight w:val="none"/>
                      <w:lang w:val="en-US" w:eastAsia="zh-CN"/>
                      <w14:textFill>
                        <w14:solidFill>
                          <w14:schemeClr w14:val="tx1"/>
                        </w14:solidFill>
                      </w14:textFill>
                    </w:rPr>
                    <w:t>停止作业</w:t>
                  </w:r>
                </w:p>
              </w:tc>
            </w:tr>
          </w:tbl>
          <w:p w14:paraId="3459BB06">
            <w:pPr>
              <w:pStyle w:val="37"/>
              <w:rPr>
                <w:rFonts w:hint="eastAsia"/>
                <w:color w:val="000000" w:themeColor="text1"/>
                <w:sz w:val="24"/>
                <w:szCs w:val="21"/>
                <w:highlight w:val="none"/>
                <w:lang w:val="en-US" w:eastAsia="zh-CN"/>
                <w14:textFill>
                  <w14:solidFill>
                    <w14:schemeClr w14:val="tx1"/>
                  </w14:solidFill>
                </w14:textFill>
              </w:rPr>
            </w:pPr>
          </w:p>
          <w:p w14:paraId="497CFBD4">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4.1.3大气环境影响和污染防治措施合理性分析</w:t>
            </w:r>
          </w:p>
          <w:p w14:paraId="2112E93F">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（一）有机废气处理措施合理性分析</w:t>
            </w:r>
          </w:p>
          <w:p w14:paraId="367E945C">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（1）有组织废气处理措施</w:t>
            </w:r>
          </w:p>
          <w:p w14:paraId="0BEE559F">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本</w:t>
            </w:r>
            <w:r>
              <w:rPr>
                <w:rFonts w:hint="default" w:cs="宋体"/>
                <w:color w:val="000000" w:themeColor="text1"/>
                <w:sz w:val="24"/>
                <w:szCs w:val="32"/>
                <w:highlight w:val="none"/>
                <w:lang w:val="en-US" w:eastAsia="zh-CN"/>
                <w14:textFill>
                  <w14:solidFill>
                    <w14:schemeClr w14:val="tx1"/>
                  </w14:solidFill>
                </w14:textFill>
              </w:rPr>
              <w:t>项目位于</w:t>
            </w:r>
            <w:r>
              <w:rPr>
                <w:rFonts w:hint="eastAsia"/>
                <w:color w:val="000000" w:themeColor="text1"/>
                <w:sz w:val="24"/>
                <w:szCs w:val="24"/>
                <w:highlight w:val="none"/>
                <w:lang w:val="en-US" w:eastAsia="zh-CN"/>
                <w14:textFill>
                  <w14:solidFill>
                    <w14:schemeClr w14:val="tx1"/>
                  </w14:solidFill>
                </w14:textFill>
              </w:rPr>
              <w:t>闽侯县南屿镇窗厦村尧溪路3号1#厂房</w:t>
            </w:r>
            <w:r>
              <w:rPr>
                <w:rFonts w:hint="default" w:cs="宋体"/>
                <w:color w:val="000000" w:themeColor="text1"/>
                <w:sz w:val="24"/>
                <w:szCs w:val="32"/>
                <w:highlight w:val="none"/>
                <w:lang w:val="en-US" w:eastAsia="zh-CN"/>
                <w14:textFill>
                  <w14:solidFill>
                    <w14:schemeClr w14:val="tx1"/>
                  </w14:solidFill>
                </w14:textFill>
              </w:rPr>
              <w:t>，距离本项目最近的环境保护目标为</w:t>
            </w:r>
            <w:r>
              <w:rPr>
                <w:rFonts w:hint="eastAsia" w:cs="宋体"/>
                <w:color w:val="000000" w:themeColor="text1"/>
                <w:sz w:val="24"/>
                <w:szCs w:val="32"/>
                <w:highlight w:val="none"/>
                <w:lang w:val="en-US" w:eastAsia="zh-CN"/>
                <w14:textFill>
                  <w14:solidFill>
                    <w14:schemeClr w14:val="tx1"/>
                  </w14:solidFill>
                </w14:textFill>
              </w:rPr>
              <w:t>西侧约220</w:t>
            </w:r>
            <w:r>
              <w:rPr>
                <w:rFonts w:hint="default" w:cs="宋体"/>
                <w:color w:val="000000" w:themeColor="text1"/>
                <w:sz w:val="24"/>
                <w:szCs w:val="32"/>
                <w:highlight w:val="none"/>
                <w:lang w:val="en-US" w:eastAsia="zh-CN"/>
                <w14:textFill>
                  <w14:solidFill>
                    <w14:schemeClr w14:val="tx1"/>
                  </w14:solidFill>
                </w14:textFill>
              </w:rPr>
              <w:t>m</w:t>
            </w:r>
            <w:r>
              <w:rPr>
                <w:rFonts w:hint="eastAsia" w:cs="宋体"/>
                <w:color w:val="000000" w:themeColor="text1"/>
                <w:sz w:val="24"/>
                <w:szCs w:val="32"/>
                <w:highlight w:val="none"/>
                <w:lang w:val="en-US" w:eastAsia="zh-CN"/>
                <w14:textFill>
                  <w14:solidFill>
                    <w14:schemeClr w14:val="tx1"/>
                  </w14:solidFill>
                </w14:textFill>
              </w:rPr>
              <w:t>的南湖公寓。</w:t>
            </w:r>
            <w:r>
              <w:rPr>
                <w:rFonts w:hint="default" w:cs="宋体"/>
                <w:color w:val="000000" w:themeColor="text1"/>
                <w:sz w:val="24"/>
                <w:szCs w:val="32"/>
                <w:highlight w:val="none"/>
                <w:lang w:val="en-US" w:eastAsia="zh-CN"/>
                <w14:textFill>
                  <w14:solidFill>
                    <w14:schemeClr w14:val="tx1"/>
                  </w14:solidFill>
                </w14:textFill>
              </w:rPr>
              <w:t>本项目</w:t>
            </w:r>
            <w:r>
              <w:rPr>
                <w:rFonts w:hint="eastAsia" w:cs="宋体"/>
                <w:color w:val="000000" w:themeColor="text1"/>
                <w:sz w:val="24"/>
                <w:szCs w:val="32"/>
                <w:highlight w:val="none"/>
                <w:lang w:val="en-US" w:eastAsia="zh-CN"/>
                <w14:textFill>
                  <w14:solidFill>
                    <w14:schemeClr w14:val="tx1"/>
                  </w14:solidFill>
                </w14:textFill>
              </w:rPr>
              <w:t>有机</w:t>
            </w:r>
            <w:r>
              <w:rPr>
                <w:rFonts w:hint="default" w:cs="宋体"/>
                <w:color w:val="000000" w:themeColor="text1"/>
                <w:sz w:val="24"/>
                <w:szCs w:val="32"/>
                <w:highlight w:val="none"/>
                <w:lang w:val="en-US" w:eastAsia="zh-CN"/>
                <w14:textFill>
                  <w14:solidFill>
                    <w14:schemeClr w14:val="tx1"/>
                  </w14:solidFill>
                </w14:textFill>
              </w:rPr>
              <w:t>废气治理措施采用“集气罩+二级活性炭吸附”</w:t>
            </w:r>
            <w:r>
              <w:rPr>
                <w:rFonts w:hint="eastAsia" w:cs="宋体"/>
                <w:color w:val="000000" w:themeColor="text1"/>
                <w:sz w:val="24"/>
                <w:szCs w:val="32"/>
                <w:highlight w:val="none"/>
                <w:lang w:val="en-US" w:eastAsia="zh-CN"/>
                <w14:textFill>
                  <w14:solidFill>
                    <w14:schemeClr w14:val="tx1"/>
                  </w14:solidFill>
                </w14:textFill>
              </w:rPr>
              <w:t>处理后经30米高排气筒排放。本项目废气治理设施平面布置详见附图10~11。</w:t>
            </w:r>
          </w:p>
          <w:p w14:paraId="5E8C67D4">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活性炭吸附装置是一种高效率、经济实用的有机废气净化装置，具有吸附效率高、适用面广、维护方便，能同时处理多种混合废气等优点，对苯、醇、酮、酯、汽油类等有机溶剂的废气有很好的吸附作用。活性炭具有密集的细孔结构、比表面积大、吸附性能好、化学性质稳定不易破碎、对空气阻力小等性能，在处理有机废气时，可通过物理吸附力和化学吸附力将有机废气吸附到活性炭表面，从而使有机废气得到净化处理。</w:t>
            </w:r>
          </w:p>
          <w:p w14:paraId="6AC5EB3D">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二级活性炭吸附系统处理示意图如下图。</w:t>
            </w:r>
          </w:p>
          <w:p w14:paraId="1728800C">
            <w:pPr>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5158105" cy="1842135"/>
                  <wp:effectExtent l="0" t="0" r="4445" b="5715"/>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15"/>
                          <a:stretch>
                            <a:fillRect/>
                          </a:stretch>
                        </pic:blipFill>
                        <pic:spPr>
                          <a:xfrm>
                            <a:off x="0" y="0"/>
                            <a:ext cx="5158105" cy="1842135"/>
                          </a:xfrm>
                          <a:prstGeom prst="rect">
                            <a:avLst/>
                          </a:prstGeom>
                          <a:noFill/>
                          <a:ln>
                            <a:noFill/>
                          </a:ln>
                        </pic:spPr>
                      </pic:pic>
                    </a:graphicData>
                  </a:graphic>
                </wp:inline>
              </w:drawing>
            </w:r>
          </w:p>
          <w:p w14:paraId="2950C042">
            <w:pPr>
              <w:spacing w:line="360" w:lineRule="auto"/>
              <w:jc w:val="center"/>
              <w:rPr>
                <w:rFonts w:hint="eastAsia"/>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图</w:t>
            </w:r>
            <w:r>
              <w:rPr>
                <w:rFonts w:hint="eastAsia"/>
                <w:b/>
                <w:bCs/>
                <w:color w:val="000000" w:themeColor="text1"/>
                <w:sz w:val="24"/>
                <w:szCs w:val="24"/>
                <w:highlight w:val="none"/>
                <w:lang w:val="en-US" w:eastAsia="zh-CN"/>
                <w14:textFill>
                  <w14:solidFill>
                    <w14:schemeClr w14:val="tx1"/>
                  </w14:solidFill>
                </w14:textFill>
              </w:rPr>
              <w:t>4.1-1 二级活性炭吸附系统处理示意图</w:t>
            </w:r>
          </w:p>
          <w:p w14:paraId="487A5F20">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根据《福建省2020年挥发性有机物治理攻坚实施方案》，“采用活性炭吸附技术的，应选择碘值不低于800毫克/克的活性炭，并按设计要求足量添加、及时更换”。本项目活性炭吸附装置的碘值为800mg/g，满足该文件的要求。同时本次评价要求活</w:t>
            </w:r>
            <w:r>
              <w:rPr>
                <w:rFonts w:hint="eastAsia"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性炭应及时更换，确保活性炭吸附切实起到废气治理效果。</w:t>
            </w:r>
          </w:p>
          <w:p w14:paraId="5DE9C58F">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参照《江苏省生态环境厅关于将排污单位活性炭使用更换纳入排污许可管理的通知》（苏环办〔2021〕218号），活性炭动态吸附量取值10%，即每1kg活性炭吸附0.1kg的挥发性有机物。本项目吸附的挥发性有机物的量为5.0421t/a，则需要的活性炭的量为50.421t/a（0.2017t/d）。本项目活性炭吸附装置填充量为4t，则在项目达产的情况下，约20天进行一次更换。</w:t>
            </w:r>
          </w:p>
          <w:p w14:paraId="1B3480D2">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对照《排污许可证申请与核发技术规范  电子工业》（HJ1031-2019），项目废气治理措施</w:t>
            </w:r>
            <w:r>
              <w:rPr>
                <w:rFonts w:hint="default" w:cs="宋体"/>
                <w:color w:val="000000" w:themeColor="text1"/>
                <w:sz w:val="24"/>
                <w:szCs w:val="32"/>
                <w:highlight w:val="none"/>
                <w:lang w:val="en-US" w:eastAsia="zh-CN"/>
                <w14:textFill>
                  <w14:solidFill>
                    <w14:schemeClr w14:val="tx1"/>
                  </w14:solidFill>
                </w14:textFill>
              </w:rPr>
              <w:t>属于可行技术</w:t>
            </w:r>
            <w:r>
              <w:rPr>
                <w:rFonts w:hint="eastAsia" w:cs="宋体"/>
                <w:color w:val="000000" w:themeColor="text1"/>
                <w:sz w:val="24"/>
                <w:szCs w:val="32"/>
                <w:highlight w:val="none"/>
                <w:lang w:val="en-US" w:eastAsia="zh-CN"/>
                <w14:textFill>
                  <w14:solidFill>
                    <w14:schemeClr w14:val="tx1"/>
                  </w14:solidFill>
                </w14:textFill>
              </w:rPr>
              <w:t>，排气筒高度满足《工业企业挥发性有机物排放标准》（DB35/1782-2018）的要求，非甲烷总烃排放浓度</w:t>
            </w:r>
            <w:r>
              <w:rPr>
                <w:rFonts w:hint="default" w:cs="宋体"/>
                <w:color w:val="000000" w:themeColor="text1"/>
                <w:sz w:val="24"/>
                <w:szCs w:val="32"/>
                <w:highlight w:val="none"/>
                <w:lang w:val="en-US" w:eastAsia="zh-CN"/>
                <w14:textFill>
                  <w14:solidFill>
                    <w14:schemeClr w14:val="tx1"/>
                  </w14:solidFill>
                </w14:textFill>
              </w:rPr>
              <w:t>低于</w:t>
            </w:r>
            <w:r>
              <w:rPr>
                <w:rFonts w:hint="eastAsia" w:cs="宋体"/>
                <w:color w:val="000000" w:themeColor="text1"/>
                <w:sz w:val="24"/>
                <w:szCs w:val="32"/>
                <w:highlight w:val="none"/>
                <w:lang w:val="en-US" w:eastAsia="zh-CN"/>
                <w14:textFill>
                  <w14:solidFill>
                    <w14:schemeClr w14:val="tx1"/>
                  </w14:solidFill>
                </w14:textFill>
              </w:rPr>
              <w:t>《工业企业挥发性有机物排放标准》（DB35/1782-2018）</w:t>
            </w:r>
            <w:r>
              <w:rPr>
                <w:rFonts w:hint="default" w:cs="宋体"/>
                <w:color w:val="000000" w:themeColor="text1"/>
                <w:sz w:val="24"/>
                <w:szCs w:val="32"/>
                <w:highlight w:val="none"/>
                <w:lang w:val="en-US" w:eastAsia="zh-CN"/>
                <w14:textFill>
                  <w14:solidFill>
                    <w14:schemeClr w14:val="tx1"/>
                  </w14:solidFill>
                </w14:textFill>
              </w:rPr>
              <w:t>的大气污染物排放限值。综上所述，本项目对周边大气环境影响较小。</w:t>
            </w:r>
          </w:p>
          <w:p w14:paraId="51420FE1">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（2）无组织排放控制要求</w:t>
            </w:r>
          </w:p>
          <w:p w14:paraId="167CC89F">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default" w:cs="宋体"/>
                <w:color w:val="000000" w:themeColor="text1"/>
                <w:sz w:val="24"/>
                <w:szCs w:val="32"/>
                <w:highlight w:val="none"/>
                <w:lang w:val="en-US" w:eastAsia="zh-CN"/>
                <w14:textFill>
                  <w14:solidFill>
                    <w14:schemeClr w14:val="tx1"/>
                  </w14:solidFill>
                </w14:textFill>
              </w:rPr>
              <w:t>项目无组织废气主要为</w:t>
            </w:r>
            <w:r>
              <w:rPr>
                <w:rFonts w:hint="eastAsia" w:cs="宋体"/>
                <w:color w:val="000000" w:themeColor="text1"/>
                <w:sz w:val="24"/>
                <w:szCs w:val="32"/>
                <w:highlight w:val="none"/>
                <w:lang w:val="en-US" w:eastAsia="zh-CN"/>
                <w14:textFill>
                  <w14:solidFill>
                    <w14:schemeClr w14:val="tx1"/>
                  </w14:solidFill>
                </w14:textFill>
              </w:rPr>
              <w:t>各</w:t>
            </w:r>
            <w:r>
              <w:rPr>
                <w:rFonts w:hint="default" w:cs="宋体"/>
                <w:color w:val="000000" w:themeColor="text1"/>
                <w:sz w:val="24"/>
                <w:szCs w:val="32"/>
                <w:highlight w:val="none"/>
                <w:lang w:val="en-US" w:eastAsia="zh-CN"/>
                <w14:textFill>
                  <w14:solidFill>
                    <w14:schemeClr w14:val="tx1"/>
                  </w14:solidFill>
                </w14:textFill>
              </w:rPr>
              <w:t>工序未收集到的无组织废气。本评价</w:t>
            </w:r>
            <w:r>
              <w:rPr>
                <w:rFonts w:hint="eastAsia" w:cs="宋体"/>
                <w:color w:val="000000" w:themeColor="text1"/>
                <w:sz w:val="24"/>
                <w:szCs w:val="32"/>
                <w:highlight w:val="none"/>
                <w:lang w:val="en-US" w:eastAsia="zh-CN"/>
                <w14:textFill>
                  <w14:solidFill>
                    <w14:schemeClr w14:val="tx1"/>
                  </w14:solidFill>
                </w14:textFill>
              </w:rPr>
              <w:t>按照《排污许可证申请与核发技术规范 电子工业》（HJ1031-2019）、</w:t>
            </w:r>
            <w:r>
              <w:rPr>
                <w:rFonts w:hint="default" w:cs="宋体"/>
                <w:color w:val="000000" w:themeColor="text1"/>
                <w:sz w:val="24"/>
                <w:szCs w:val="32"/>
                <w:highlight w:val="none"/>
                <w:lang w:val="en-US" w:eastAsia="zh-CN"/>
                <w14:textFill>
                  <w14:solidFill>
                    <w14:schemeClr w14:val="tx1"/>
                  </w14:solidFill>
                </w14:textFill>
              </w:rPr>
              <w:t>《工业企业挥发性有机物排放标准》（DB35/1782-2018）</w:t>
            </w:r>
            <w:r>
              <w:rPr>
                <w:rFonts w:hint="eastAsia" w:cs="宋体"/>
                <w:color w:val="000000" w:themeColor="text1"/>
                <w:sz w:val="24"/>
                <w:szCs w:val="32"/>
                <w:highlight w:val="none"/>
                <w:lang w:val="en-US" w:eastAsia="zh-CN"/>
                <w14:textFill>
                  <w14:solidFill>
                    <w14:schemeClr w14:val="tx1"/>
                  </w14:solidFill>
                </w14:textFill>
              </w:rPr>
              <w:t>、《挥发性有机物无组织排放控制标准》（GB37822-2019）</w:t>
            </w:r>
            <w:r>
              <w:rPr>
                <w:rFonts w:hint="default" w:cs="宋体"/>
                <w:color w:val="000000" w:themeColor="text1"/>
                <w:sz w:val="24"/>
                <w:szCs w:val="32"/>
                <w:highlight w:val="none"/>
                <w:lang w:val="en-US" w:eastAsia="zh-CN"/>
                <w14:textFill>
                  <w14:solidFill>
                    <w14:schemeClr w14:val="tx1"/>
                  </w14:solidFill>
                </w14:textFill>
              </w:rPr>
              <w:t>中无组织排放的控制要求，对本项目提出以下建议</w:t>
            </w:r>
            <w:r>
              <w:rPr>
                <w:rFonts w:hint="eastAsia" w:cs="宋体"/>
                <w:color w:val="000000" w:themeColor="text1"/>
                <w:sz w:val="24"/>
                <w:szCs w:val="32"/>
                <w:highlight w:val="none"/>
                <w:lang w:val="en-US" w:eastAsia="zh-CN"/>
                <w14:textFill>
                  <w14:solidFill>
                    <w14:schemeClr w14:val="tx1"/>
                  </w14:solidFill>
                </w14:textFill>
              </w:rPr>
              <w:t>：</w:t>
            </w:r>
          </w:p>
          <w:p w14:paraId="169EA8CD">
            <w:pPr>
              <w:spacing w:line="360" w:lineRule="auto"/>
              <w:ind w:firstLine="480" w:firstLineChars="200"/>
              <w:rPr>
                <w:rFonts w:hint="eastAsia"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default" w:cs="宋体"/>
                <w:color w:val="000000" w:themeColor="text1"/>
                <w:sz w:val="24"/>
                <w:szCs w:val="32"/>
                <w:highlight w:val="none"/>
                <w:lang w:val="en-US" w:eastAsia="zh-CN"/>
                <w14:textFill>
                  <w14:solidFill>
                    <w14:schemeClr w14:val="tx1"/>
                  </w14:solidFill>
                </w14:textFill>
              </w:rPr>
              <w:t>1)</w:t>
            </w:r>
            <w:r>
              <w:rPr>
                <w:rFonts w:hint="eastAsia" w:cs="宋体"/>
                <w:color w:val="000000" w:themeColor="text1"/>
                <w:sz w:val="24"/>
                <w:szCs w:val="32"/>
                <w:highlight w:val="none"/>
                <w:lang w:val="en-US" w:eastAsia="zh-CN"/>
                <w14:textFill>
                  <w14:solidFill>
                    <w14:schemeClr w14:val="tx1"/>
                  </w14:solidFill>
                </w14:textFill>
              </w:rPr>
              <w:t>有机</w:t>
            </w:r>
            <w:r>
              <w:rPr>
                <w:rFonts w:hint="default" w:cs="宋体"/>
                <w:color w:val="000000" w:themeColor="text1"/>
                <w:sz w:val="24"/>
                <w:szCs w:val="32"/>
                <w:highlight w:val="none"/>
                <w:lang w:val="en-US" w:eastAsia="zh-CN"/>
                <w14:textFill>
                  <w14:solidFill>
                    <w14:schemeClr w14:val="tx1"/>
                  </w14:solidFill>
                </w14:textFill>
              </w:rPr>
              <w:t>废气由密闭式集气罩收集，并要求集气罩进口风速在1.0m/</w:t>
            </w:r>
            <w:r>
              <w:rPr>
                <w:rFonts w:hint="eastAsia" w:cs="宋体"/>
                <w:color w:val="000000" w:themeColor="text1"/>
                <w:sz w:val="24"/>
                <w:szCs w:val="32"/>
                <w:highlight w:val="none"/>
                <w:lang w:val="en-US" w:eastAsia="zh-CN"/>
                <w14:textFill>
                  <w14:solidFill>
                    <w14:schemeClr w14:val="tx1"/>
                  </w14:solidFill>
                </w14:textFill>
              </w:rPr>
              <w:t>s</w:t>
            </w:r>
            <w:r>
              <w:rPr>
                <w:rFonts w:hint="default" w:cs="宋体"/>
                <w:color w:val="000000" w:themeColor="text1"/>
                <w:sz w:val="24"/>
                <w:szCs w:val="32"/>
                <w:highlight w:val="none"/>
                <w:lang w:val="en-US" w:eastAsia="zh-CN"/>
                <w14:textFill>
                  <w14:solidFill>
                    <w14:schemeClr w14:val="tx1"/>
                  </w14:solidFill>
                </w14:textFill>
              </w:rPr>
              <w:t>以上，可有效提高废气集气效率从而减少挥发性有机物的无组织排放</w:t>
            </w:r>
            <w:r>
              <w:rPr>
                <w:rFonts w:hint="eastAsia" w:cs="宋体"/>
                <w:color w:val="000000" w:themeColor="text1"/>
                <w:sz w:val="24"/>
                <w:szCs w:val="32"/>
                <w:highlight w:val="none"/>
                <w:lang w:val="en-US" w:eastAsia="zh-CN"/>
                <w14:textFill>
                  <w14:solidFill>
                    <w14:schemeClr w14:val="tx1"/>
                  </w14:solidFill>
                </w14:textFill>
              </w:rPr>
              <w:t>。同时建议</w:t>
            </w:r>
            <w:r>
              <w:rPr>
                <w:rFonts w:hint="default" w:cs="宋体"/>
                <w:color w:val="000000" w:themeColor="text1"/>
                <w:sz w:val="24"/>
                <w:szCs w:val="32"/>
                <w:highlight w:val="none"/>
                <w:lang w:val="en-US" w:eastAsia="zh-CN"/>
                <w14:textFill>
                  <w14:solidFill>
                    <w14:schemeClr w14:val="tx1"/>
                  </w14:solidFill>
                </w14:textFill>
              </w:rPr>
              <w:t>集气罩</w:t>
            </w:r>
            <w:r>
              <w:rPr>
                <w:rFonts w:hint="eastAsia" w:cs="宋体"/>
                <w:color w:val="000000" w:themeColor="text1"/>
                <w:sz w:val="24"/>
                <w:szCs w:val="32"/>
                <w:highlight w:val="none"/>
                <w:lang w:val="en-US" w:eastAsia="zh-CN"/>
                <w14:textFill>
                  <w14:solidFill>
                    <w14:schemeClr w14:val="tx1"/>
                  </w14:solidFill>
                </w14:textFill>
              </w:rPr>
              <w:t>结合</w:t>
            </w:r>
            <w:r>
              <w:rPr>
                <w:rFonts w:hint="eastAsia"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《排风罩的分类及技术条件》（GB/T 16758）中的要求进行建设：</w:t>
            </w:r>
          </w:p>
          <w:p w14:paraId="138374ED">
            <w:pPr>
              <w:spacing w:line="360" w:lineRule="auto"/>
              <w:ind w:firstLine="480" w:firstLineChars="200"/>
              <w:rPr>
                <w:rFonts w:hint="eastAsia"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a.排风罩做到罩内负压或罩口风速均匀；</w:t>
            </w:r>
          </w:p>
          <w:p w14:paraId="44B01B25">
            <w:pPr>
              <w:spacing w:line="360" w:lineRule="auto"/>
              <w:ind w:firstLine="480" w:firstLineChars="200"/>
              <w:rPr>
                <w:rFonts w:hint="eastAsia"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b.排风罩应坚固耐用，其材料应有足够的强度，避免在拆装或受到振动、腐蚀、温度剧烈变化时变形和损坏；</w:t>
            </w:r>
          </w:p>
          <w:p w14:paraId="1BD21328">
            <w:pPr>
              <w:spacing w:line="360" w:lineRule="auto"/>
              <w:ind w:firstLine="480" w:firstLineChars="200"/>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c.排风罩的罩体应规则、无缝隙、无毛刺,罩体内壁应平整、光滑。</w:t>
            </w:r>
          </w:p>
          <w:p w14:paraId="36AC4D80">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default" w:cs="宋体"/>
                <w:color w:val="000000" w:themeColor="text1"/>
                <w:sz w:val="24"/>
                <w:szCs w:val="32"/>
                <w:highlight w:val="none"/>
                <w:lang w:val="en-US" w:eastAsia="zh-CN"/>
                <w14:textFill>
                  <w14:solidFill>
                    <w14:schemeClr w14:val="tx1"/>
                  </w14:solidFill>
                </w14:textFill>
              </w:rPr>
              <w:t>2)挥发性有机物物料应储存于密闭的容器、包装袋、储库、料仓中</w:t>
            </w:r>
            <w:r>
              <w:rPr>
                <w:rFonts w:hint="eastAsia" w:cs="宋体"/>
                <w:color w:val="000000" w:themeColor="text1"/>
                <w:sz w:val="24"/>
                <w:szCs w:val="32"/>
                <w:highlight w:val="none"/>
                <w:lang w:val="en-US" w:eastAsia="zh-CN"/>
                <w14:textFill>
                  <w14:solidFill>
                    <w14:schemeClr w14:val="tx1"/>
                  </w14:solidFill>
                </w14:textFill>
              </w:rPr>
              <w:t>：</w:t>
            </w:r>
            <w:r>
              <w:rPr>
                <w:rFonts w:hint="default" w:cs="宋体"/>
                <w:color w:val="000000" w:themeColor="text1"/>
                <w:sz w:val="24"/>
                <w:szCs w:val="32"/>
                <w:highlight w:val="none"/>
                <w:lang w:val="en-US" w:eastAsia="zh-CN"/>
                <w14:textFill>
                  <w14:solidFill>
                    <w14:schemeClr w14:val="tx1"/>
                  </w14:solidFill>
                </w14:textFill>
              </w:rPr>
              <w:t>盛装挥发性有机物物料的容器或包装袋应存放于室内，或存放于设置有雨棚、遮阳和防渗设施的专用场地。盛装挥发性有机物物料的容器或包装袋在非取用状态时应加盖、封口，保持密闭。</w:t>
            </w:r>
          </w:p>
          <w:p w14:paraId="1ADABF5B">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3</w:t>
            </w:r>
            <w:r>
              <w:rPr>
                <w:rFonts w:hint="default" w:cs="宋体"/>
                <w:color w:val="000000" w:themeColor="text1"/>
                <w:sz w:val="24"/>
                <w:szCs w:val="32"/>
                <w:highlight w:val="none"/>
                <w:lang w:val="en-US" w:eastAsia="zh-CN"/>
                <w14:textFill>
                  <w14:solidFill>
                    <w14:schemeClr w14:val="tx1"/>
                  </w14:solidFill>
                </w14:textFill>
              </w:rPr>
              <w:t>)挥发性有机物物料使用过程无法密闭的，应采取局部气体收集措施废气应排放至挥发性有机物废气收集处理系统。</w:t>
            </w:r>
          </w:p>
          <w:p w14:paraId="4AC36EF4">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4</w:t>
            </w:r>
            <w:r>
              <w:rPr>
                <w:rFonts w:hint="default" w:cs="宋体"/>
                <w:color w:val="000000" w:themeColor="text1"/>
                <w:sz w:val="24"/>
                <w:szCs w:val="32"/>
                <w:highlight w:val="none"/>
                <w:lang w:val="en-US" w:eastAsia="zh-CN"/>
                <w14:textFill>
                  <w14:solidFill>
                    <w14:schemeClr w14:val="tx1"/>
                  </w14:solidFill>
                </w14:textFill>
              </w:rPr>
              <w:t>)工艺过程无组织排放控制，在作业中应采用密闭式集气罩收集，废气应排至废气收集处理系统，无法密闭的</w:t>
            </w:r>
            <w:r>
              <w:rPr>
                <w:rFonts w:hint="eastAsia"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部位设置软帘阻隔设施减少废气排放，并</w:t>
            </w:r>
            <w:r>
              <w:rPr>
                <w:rFonts w:hint="default" w:cs="宋体"/>
                <w:color w:val="000000" w:themeColor="text1"/>
                <w:sz w:val="24"/>
                <w:szCs w:val="32"/>
                <w:highlight w:val="none"/>
                <w:lang w:val="en-US" w:eastAsia="zh-CN"/>
                <w14:textFill>
                  <w14:solidFill>
                    <w14:schemeClr w14:val="tx1"/>
                  </w14:solidFill>
                </w14:textFill>
              </w:rPr>
              <w:t>采取局部气体收集措施，废气应排至废气收集处理系统。通过采取设备与场所密闭、工艺改进、废气有效收集等措施，削减无组织排放</w:t>
            </w:r>
            <w:r>
              <w:rPr>
                <w:rFonts w:hint="eastAsia" w:cs="宋体"/>
                <w:color w:val="000000" w:themeColor="text1"/>
                <w:sz w:val="24"/>
                <w:szCs w:val="32"/>
                <w:highlight w:val="none"/>
                <w:lang w:val="en-US" w:eastAsia="zh-CN"/>
                <w14:textFill>
                  <w14:solidFill>
                    <w14:schemeClr w14:val="tx1"/>
                  </w14:solidFill>
                </w14:textFill>
              </w:rPr>
              <w:t>。</w:t>
            </w:r>
          </w:p>
          <w:p w14:paraId="70B3C022">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5</w:t>
            </w:r>
            <w:r>
              <w:rPr>
                <w:rFonts w:hint="default" w:cs="宋体"/>
                <w:color w:val="000000" w:themeColor="text1"/>
                <w:sz w:val="24"/>
                <w:szCs w:val="32"/>
                <w:highlight w:val="none"/>
                <w:lang w:val="en-US" w:eastAsia="zh-CN"/>
                <w14:textFill>
                  <w14:solidFill>
                    <w14:schemeClr w14:val="tx1"/>
                  </w14:solidFill>
                </w14:textFill>
              </w:rPr>
              <w:t>)所有废气收集系统应采用技术经济合理的密闭方式，具有耐腐、气密性好的特性，同时考虑具备阻燃和抗静电等性能，并结合其他专业设备的运行、维护需要，设置观察口、呼吸阀等设施。</w:t>
            </w:r>
          </w:p>
          <w:p w14:paraId="003666AF">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6</w:t>
            </w:r>
            <w:r>
              <w:rPr>
                <w:rFonts w:hint="default" w:cs="宋体"/>
                <w:color w:val="000000" w:themeColor="text1"/>
                <w:sz w:val="24"/>
                <w:szCs w:val="32"/>
                <w:highlight w:val="none"/>
                <w:lang w:val="en-US" w:eastAsia="zh-CN"/>
                <w14:textFill>
                  <w14:solidFill>
                    <w14:schemeClr w14:val="tx1"/>
                  </w14:solidFill>
                </w14:textFill>
              </w:rPr>
              <w:t>)载有挥发性有机物物料的设备及其管道在开停工(车)、检维修和清洗时，应在退料阶段将残存物料退净，并用密闭容器盛装，退料过程废气应排至挥发性有机物废气收集处理系统。</w:t>
            </w:r>
          </w:p>
          <w:p w14:paraId="7710A395">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（3）VOCs治理设施的运行维护</w:t>
            </w:r>
          </w:p>
          <w:p w14:paraId="0285AEE6">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default" w:cs="宋体"/>
                <w:color w:val="000000" w:themeColor="text1"/>
                <w:sz w:val="24"/>
                <w:szCs w:val="32"/>
                <w:highlight w:val="none"/>
                <w:lang w:val="en-US" w:eastAsia="zh-CN"/>
                <w14:textFill>
                  <w14:solidFill>
                    <w14:schemeClr w14:val="tx1"/>
                  </w14:solidFill>
                </w14:textFill>
              </w:rPr>
              <w:t>1)定期检查与维护：活性炭吸附装置应每季度至少进行一次全面检查，包括风机、管道、集气罩、活性炭填充状态等</w:t>
            </w:r>
            <w:r>
              <w:rPr>
                <w:rFonts w:hint="eastAsia" w:cs="宋体"/>
                <w:color w:val="000000" w:themeColor="text1"/>
                <w:sz w:val="24"/>
                <w:szCs w:val="32"/>
                <w:highlight w:val="none"/>
                <w:lang w:val="en-US" w:eastAsia="zh-CN"/>
                <w14:textFill>
                  <w14:solidFill>
                    <w14:schemeClr w14:val="tx1"/>
                  </w14:solidFill>
                </w14:textFill>
              </w:rPr>
              <w:t>；</w:t>
            </w:r>
            <w:r>
              <w:rPr>
                <w:rFonts w:hint="default" w:cs="宋体"/>
                <w:color w:val="000000" w:themeColor="text1"/>
                <w:sz w:val="24"/>
                <w:szCs w:val="32"/>
                <w:highlight w:val="none"/>
                <w:lang w:val="en-US" w:eastAsia="zh-CN"/>
                <w14:textFill>
                  <w14:solidFill>
                    <w14:schemeClr w14:val="tx1"/>
                  </w14:solidFill>
                </w14:textFill>
              </w:rPr>
              <w:t>活性炭应根据吸附饱和情况及时更换，确保吸附效率</w:t>
            </w:r>
            <w:r>
              <w:rPr>
                <w:rFonts w:hint="eastAsia" w:cs="宋体"/>
                <w:color w:val="000000" w:themeColor="text1"/>
                <w:sz w:val="24"/>
                <w:szCs w:val="32"/>
                <w:highlight w:val="none"/>
                <w:lang w:val="en-US" w:eastAsia="zh-CN"/>
                <w14:textFill>
                  <w14:solidFill>
                    <w14:schemeClr w14:val="tx1"/>
                  </w14:solidFill>
                </w14:textFill>
              </w:rPr>
              <w:t>；</w:t>
            </w:r>
            <w:r>
              <w:rPr>
                <w:rFonts w:hint="default" w:cs="宋体"/>
                <w:color w:val="000000" w:themeColor="text1"/>
                <w:sz w:val="24"/>
                <w:szCs w:val="32"/>
                <w:highlight w:val="none"/>
                <w:lang w:val="en-US" w:eastAsia="zh-CN"/>
                <w14:textFill>
                  <w14:solidFill>
                    <w14:schemeClr w14:val="tx1"/>
                  </w14:solidFill>
                </w14:textFill>
              </w:rPr>
              <w:t>更换下来的废活性炭作为危险废物分类贮存、委托有资质单位处置</w:t>
            </w:r>
            <w:r>
              <w:rPr>
                <w:rFonts w:hint="eastAsia" w:cs="宋体"/>
                <w:color w:val="000000" w:themeColor="text1"/>
                <w:sz w:val="24"/>
                <w:szCs w:val="32"/>
                <w:highlight w:val="none"/>
                <w:lang w:val="en-US" w:eastAsia="zh-CN"/>
                <w14:textFill>
                  <w14:solidFill>
                    <w14:schemeClr w14:val="tx1"/>
                  </w14:solidFill>
                </w14:textFill>
              </w:rPr>
              <w:t>。</w:t>
            </w:r>
          </w:p>
          <w:p w14:paraId="0DF49374">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2</w:t>
            </w:r>
            <w:r>
              <w:rPr>
                <w:rFonts w:hint="default" w:cs="宋体"/>
                <w:color w:val="000000" w:themeColor="text1"/>
                <w:sz w:val="24"/>
                <w:szCs w:val="32"/>
                <w:highlight w:val="none"/>
                <w:lang w:val="en-US" w:eastAsia="zh-CN"/>
                <w14:textFill>
                  <w14:solidFill>
                    <w14:schemeClr w14:val="tx1"/>
                  </w14:solidFill>
                </w14:textFill>
              </w:rPr>
              <w:t>)集气系统管理：集气罩应保持负压运行，进口风速不低于1.0 m/s，确保废气收集效率</w:t>
            </w:r>
            <w:r>
              <w:rPr>
                <w:rFonts w:hint="eastAsia" w:cs="宋体"/>
                <w:color w:val="000000" w:themeColor="text1"/>
                <w:sz w:val="24"/>
                <w:szCs w:val="32"/>
                <w:highlight w:val="none"/>
                <w:lang w:val="en-US" w:eastAsia="zh-CN"/>
                <w14:textFill>
                  <w14:solidFill>
                    <w14:schemeClr w14:val="tx1"/>
                  </w14:solidFill>
                </w14:textFill>
              </w:rPr>
              <w:t>；</w:t>
            </w:r>
            <w:r>
              <w:rPr>
                <w:rFonts w:hint="default" w:cs="宋体"/>
                <w:color w:val="000000" w:themeColor="text1"/>
                <w:sz w:val="24"/>
                <w:szCs w:val="32"/>
                <w:highlight w:val="none"/>
                <w:lang w:val="en-US" w:eastAsia="zh-CN"/>
                <w14:textFill>
                  <w14:solidFill>
                    <w14:schemeClr w14:val="tx1"/>
                  </w14:solidFill>
                </w14:textFill>
              </w:rPr>
              <w:t>定期检查软帘、密封条等阻隔设施，确保无组织逸散最小化</w:t>
            </w:r>
            <w:r>
              <w:rPr>
                <w:rFonts w:hint="eastAsia" w:cs="宋体"/>
                <w:color w:val="000000" w:themeColor="text1"/>
                <w:sz w:val="24"/>
                <w:szCs w:val="32"/>
                <w:highlight w:val="none"/>
                <w:lang w:val="en-US" w:eastAsia="zh-CN"/>
                <w14:textFill>
                  <w14:solidFill>
                    <w14:schemeClr w14:val="tx1"/>
                  </w14:solidFill>
                </w14:textFill>
              </w:rPr>
              <w:t>。</w:t>
            </w:r>
          </w:p>
          <w:p w14:paraId="0B65D2B1">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3</w:t>
            </w:r>
            <w:r>
              <w:rPr>
                <w:rFonts w:hint="default" w:cs="宋体"/>
                <w:color w:val="000000" w:themeColor="text1"/>
                <w:sz w:val="24"/>
                <w:szCs w:val="32"/>
                <w:highlight w:val="none"/>
                <w:lang w:val="en-US" w:eastAsia="zh-CN"/>
                <w14:textFill>
                  <w14:solidFill>
                    <w14:schemeClr w14:val="tx1"/>
                  </w14:solidFill>
                </w14:textFill>
              </w:rPr>
              <w:t>)监测与记录：每年至少开展1次有组织废气（非甲烷总烃）排放监测，1次厂界及厂区内无组织排放监测</w:t>
            </w:r>
            <w:r>
              <w:rPr>
                <w:rFonts w:hint="eastAsia" w:cs="宋体"/>
                <w:color w:val="000000" w:themeColor="text1"/>
                <w:sz w:val="24"/>
                <w:szCs w:val="32"/>
                <w:highlight w:val="none"/>
                <w:lang w:val="en-US" w:eastAsia="zh-CN"/>
                <w14:textFill>
                  <w14:solidFill>
                    <w14:schemeClr w14:val="tx1"/>
                  </w14:solidFill>
                </w14:textFill>
              </w:rPr>
              <w:t>；</w:t>
            </w:r>
            <w:r>
              <w:rPr>
                <w:rFonts w:hint="default" w:cs="宋体"/>
                <w:color w:val="000000" w:themeColor="text1"/>
                <w:sz w:val="24"/>
                <w:szCs w:val="32"/>
                <w:highlight w:val="none"/>
                <w:lang w:val="en-US" w:eastAsia="zh-CN"/>
                <w14:textFill>
                  <w14:solidFill>
                    <w14:schemeClr w14:val="tx1"/>
                  </w14:solidFill>
                </w14:textFill>
              </w:rPr>
              <w:t>监测结果应记录并存档，发现异常应及时排查并整改。</w:t>
            </w:r>
          </w:p>
          <w:p w14:paraId="3E60E41E">
            <w:pPr>
              <w:spacing w:line="360" w:lineRule="auto"/>
              <w:ind w:firstLine="480" w:firstLineChars="200"/>
              <w:rPr>
                <w:rFonts w:hint="eastAsia"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（4）</w:t>
            </w:r>
            <w:r>
              <w:rPr>
                <w:rFonts w:hint="eastAsia"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VOCs治理设施的环境管理要求</w:t>
            </w:r>
          </w:p>
          <w:p w14:paraId="7B539BB8">
            <w:pPr>
              <w:spacing w:line="360" w:lineRule="auto"/>
              <w:ind w:firstLine="480" w:firstLineChars="200"/>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default" w:cs="宋体"/>
                <w:color w:val="000000" w:themeColor="text1"/>
                <w:sz w:val="24"/>
                <w:szCs w:val="32"/>
                <w:highlight w:val="none"/>
                <w:lang w:val="en-US" w:eastAsia="zh-CN"/>
                <w14:textFill>
                  <w14:solidFill>
                    <w14:schemeClr w14:val="tx1"/>
                  </w14:solidFill>
                </w14:textFill>
              </w:rPr>
              <w:t>1)</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建立VOCs治理设施运行台账，内容包括：</w:t>
            </w:r>
          </w:p>
          <w:p w14:paraId="35BE23CE">
            <w:pPr>
              <w:spacing w:line="360" w:lineRule="auto"/>
              <w:ind w:firstLine="480" w:firstLineChars="200"/>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a.</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活性炭更换记录：更换时间、数量、型号、更换原因、责任人等</w:t>
            </w:r>
            <w:r>
              <w:rPr>
                <w:rFonts w:hint="eastAsia"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w:t>
            </w:r>
          </w:p>
          <w:p w14:paraId="04149117">
            <w:pPr>
              <w:spacing w:line="360" w:lineRule="auto"/>
              <w:ind w:firstLine="480" w:firstLineChars="200"/>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b.</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设备维护记录：检修时间、内容、更换部件、运行状态等</w:t>
            </w:r>
            <w:r>
              <w:rPr>
                <w:rFonts w:hint="eastAsia"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w:t>
            </w:r>
          </w:p>
          <w:p w14:paraId="2A7D1341">
            <w:pPr>
              <w:spacing w:line="360" w:lineRule="auto"/>
              <w:ind w:firstLine="480" w:firstLineChars="200"/>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c.</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废气监测记录：监测时间、点位、因子、浓度、排放量、监测单位等。</w:t>
            </w:r>
          </w:p>
          <w:p w14:paraId="4F79CCB9">
            <w:pPr>
              <w:spacing w:line="360" w:lineRule="auto"/>
              <w:ind w:firstLine="480" w:firstLineChars="200"/>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2</w:t>
            </w:r>
            <w:r>
              <w:rPr>
                <w:rFonts w:hint="default" w:cs="宋体"/>
                <w:color w:val="000000" w:themeColor="text1"/>
                <w:sz w:val="24"/>
                <w:szCs w:val="32"/>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建立原辅材料使用台账，记录</w:t>
            </w:r>
            <w:r>
              <w:rPr>
                <w:rFonts w:hint="eastAsia"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，包括</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聚乙烯塑料米、色母等VOCs物料的使用量、进货批次、供应商信息等</w:t>
            </w:r>
            <w:r>
              <w:rPr>
                <w:rFonts w:hint="eastAsia"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w:t>
            </w:r>
          </w:p>
          <w:p w14:paraId="15CFE37B">
            <w:pPr>
              <w:spacing w:line="360" w:lineRule="auto"/>
              <w:ind w:firstLine="480" w:firstLineChars="200"/>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3</w:t>
            </w:r>
            <w:r>
              <w:rPr>
                <w:rFonts w:hint="default" w:cs="宋体"/>
                <w:color w:val="000000" w:themeColor="text1"/>
                <w:sz w:val="24"/>
                <w:szCs w:val="32"/>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危险废物管理台账：废活性炭、废润滑油、废油桶等危险废物的产生、贮存、转移记录，严格执行危险废物转移联单制度。</w:t>
            </w:r>
          </w:p>
          <w:p w14:paraId="00B53735">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（二）酸性废气处理措施合理性分析</w:t>
            </w:r>
          </w:p>
          <w:p w14:paraId="122CB987">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本项目各股酸性废气经各自密闭</w:t>
            </w:r>
            <w:r>
              <w:rPr>
                <w:rFonts w:hint="eastAsia" w:cs="宋体"/>
                <w:color w:val="000000" w:themeColor="text1"/>
                <w:sz w:val="24"/>
                <w:szCs w:val="32"/>
                <w:highlight w:val="none"/>
                <w14:textFill>
                  <w14:solidFill>
                    <w14:schemeClr w14:val="tx1"/>
                  </w14:solidFill>
                </w14:textFill>
              </w:rPr>
              <w:t>集气管道</w:t>
            </w:r>
            <w:r>
              <w:rPr>
                <w:rFonts w:hint="eastAsia" w:cs="宋体"/>
                <w:color w:val="000000" w:themeColor="text1"/>
                <w:sz w:val="24"/>
                <w:szCs w:val="32"/>
                <w:highlight w:val="none"/>
                <w:lang w:val="en-US" w:eastAsia="zh-CN"/>
                <w14:textFill>
                  <w14:solidFill>
                    <w14:schemeClr w14:val="tx1"/>
                  </w14:solidFill>
                </w14:textFill>
              </w:rPr>
              <w:t>收集至碱液喷淋塔处理后由一根30米高排气筒排放</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本项目废气治理设施平面布置详见附图10~11。</w:t>
            </w:r>
          </w:p>
          <w:p w14:paraId="74A39C23">
            <w:pPr>
              <w:spacing w:line="360" w:lineRule="auto"/>
              <w:ind w:firstLine="480" w:firstLineChars="200"/>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（1）治理工艺</w:t>
            </w:r>
          </w:p>
          <w:p w14:paraId="52367CF8">
            <w:pPr>
              <w:spacing w:line="360" w:lineRule="auto"/>
              <w:ind w:firstLine="480" w:firstLineChars="200"/>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碱液喷淋塔为填充式洗涤塔。填充方式为任意填充方式，填充物材质为FRP/PP，吸收液采用</w:t>
            </w:r>
            <w:r>
              <w:rPr>
                <w:rFonts w:hint="eastAsia" w:cs="Times New Roman"/>
                <w:b w:val="0"/>
                <w:bCs w:val="0"/>
                <w:color w:val="000000" w:themeColor="text1"/>
                <w:kern w:val="0"/>
                <w:sz w:val="24"/>
                <w:szCs w:val="24"/>
                <w:highlight w:val="none"/>
                <w:lang w:val="en-US" w:eastAsia="zh-CN"/>
                <w14:textFill>
                  <w14:solidFill>
                    <w14:schemeClr w14:val="tx1"/>
                  </w14:solidFill>
                </w14:textFill>
              </w:rPr>
              <w:t>3%~5</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%NaOH溶液</w:t>
            </w:r>
            <w:r>
              <w:rPr>
                <w:rFonts w:hint="eastAsia" w:cs="Times New Roman"/>
                <w:b w:val="0"/>
                <w:bCs w:val="0"/>
                <w:color w:val="000000" w:themeColor="text1"/>
                <w:kern w:val="0"/>
                <w:sz w:val="24"/>
                <w:szCs w:val="24"/>
                <w:highlight w:val="none"/>
                <w:lang w:val="en-US" w:eastAsia="zh-CN"/>
                <w14:textFill>
                  <w14:solidFill>
                    <w14:schemeClr w14:val="tx1"/>
                  </w14:solidFill>
                </w14:textFill>
              </w:rPr>
              <w:t>，pH维持在10~12。循环水量约5m</w:t>
            </w:r>
            <w:r>
              <w:rPr>
                <w:rFonts w:hint="eastAsia" w:cs="Times New Roman"/>
                <w:b w:val="0"/>
                <w:bCs w:val="0"/>
                <w:color w:val="000000" w:themeColor="text1"/>
                <w:kern w:val="0"/>
                <w:sz w:val="24"/>
                <w:szCs w:val="24"/>
                <w:highlight w:val="none"/>
                <w:vertAlign w:val="superscript"/>
                <w:lang w:val="en-US" w:eastAsia="zh-CN"/>
                <w14:textFill>
                  <w14:solidFill>
                    <w14:schemeClr w14:val="tx1"/>
                  </w14:solidFill>
                </w14:textFill>
              </w:rPr>
              <w:t>3</w:t>
            </w:r>
            <w:r>
              <w:rPr>
                <w:rFonts w:hint="eastAsia" w:cs="Times New Roman"/>
                <w:b w:val="0"/>
                <w:bCs w:val="0"/>
                <w:color w:val="000000" w:themeColor="text1"/>
                <w:kern w:val="0"/>
                <w:sz w:val="24"/>
                <w:szCs w:val="24"/>
                <w:highlight w:val="none"/>
                <w:lang w:val="en-US" w:eastAsia="zh-CN"/>
                <w14:textFill>
                  <w14:solidFill>
                    <w14:schemeClr w14:val="tx1"/>
                  </w14:solidFill>
                </w14:textFill>
              </w:rPr>
              <w:t>/h，补水量约2m</w:t>
            </w:r>
            <w:r>
              <w:rPr>
                <w:rFonts w:hint="eastAsia" w:cs="Times New Roman"/>
                <w:b w:val="0"/>
                <w:bCs w:val="0"/>
                <w:color w:val="000000" w:themeColor="text1"/>
                <w:kern w:val="0"/>
                <w:sz w:val="24"/>
                <w:szCs w:val="24"/>
                <w:highlight w:val="none"/>
                <w:vertAlign w:val="superscript"/>
                <w:lang w:val="en-US" w:eastAsia="zh-CN"/>
                <w14:textFill>
                  <w14:solidFill>
                    <w14:schemeClr w14:val="tx1"/>
                  </w14:solidFill>
                </w14:textFill>
              </w:rPr>
              <w:t>3</w:t>
            </w:r>
            <w:r>
              <w:rPr>
                <w:rFonts w:hint="eastAsia" w:cs="Times New Roman"/>
                <w:b w:val="0"/>
                <w:bCs w:val="0"/>
                <w:color w:val="000000" w:themeColor="text1"/>
                <w:kern w:val="0"/>
                <w:sz w:val="24"/>
                <w:szCs w:val="24"/>
                <w:highlight w:val="none"/>
                <w:lang w:val="en-US" w:eastAsia="zh-CN"/>
                <w14:textFill>
                  <w14:solidFill>
                    <w14:schemeClr w14:val="tx1"/>
                  </w14:solidFill>
                </w14:textFill>
              </w:rPr>
              <w:t>/d，排水量约1.8m</w:t>
            </w:r>
            <w:r>
              <w:rPr>
                <w:rFonts w:hint="eastAsia" w:cs="Times New Roman"/>
                <w:b w:val="0"/>
                <w:bCs w:val="0"/>
                <w:color w:val="000000" w:themeColor="text1"/>
                <w:kern w:val="0"/>
                <w:sz w:val="24"/>
                <w:szCs w:val="24"/>
                <w:highlight w:val="none"/>
                <w:vertAlign w:val="superscript"/>
                <w:lang w:val="en-US" w:eastAsia="zh-CN"/>
                <w14:textFill>
                  <w14:solidFill>
                    <w14:schemeClr w14:val="tx1"/>
                  </w14:solidFill>
                </w14:textFill>
              </w:rPr>
              <w:t>3</w:t>
            </w:r>
            <w:r>
              <w:rPr>
                <w:rFonts w:hint="eastAsia" w:cs="Times New Roman"/>
                <w:b w:val="0"/>
                <w:bCs w:val="0"/>
                <w:color w:val="000000" w:themeColor="text1"/>
                <w:kern w:val="0"/>
                <w:sz w:val="24"/>
                <w:szCs w:val="24"/>
                <w:highlight w:val="none"/>
                <w:lang w:val="en-US" w:eastAsia="zh-CN"/>
                <w14:textFill>
                  <w14:solidFill>
                    <w14:schemeClr w14:val="tx1"/>
                  </w14:solidFill>
                </w14:textFill>
              </w:rPr>
              <w:t>/d</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。其基本原理是利用气体与液体间的接触，而将气体中的污染物传送到液体中，然后再将清洁的气体与被污染的液体分离达成清净空气的目的。废气经由填充式洗涤塔，</w:t>
            </w:r>
            <w:r>
              <w:rPr>
                <w:rFonts w:hint="eastAsia" w:cs="Times New Roman"/>
                <w:b w:val="0"/>
                <w:bCs w:val="0"/>
                <w:color w:val="000000" w:themeColor="text1"/>
                <w:kern w:val="0"/>
                <w:sz w:val="24"/>
                <w:szCs w:val="24"/>
                <w:highlight w:val="none"/>
                <w:lang w:val="en-US" w:eastAsia="zh-CN"/>
                <w14:textFill>
                  <w14:solidFill>
                    <w14:schemeClr w14:val="tx1"/>
                  </w14:solidFill>
                </w14:textFill>
              </w:rPr>
              <w:t>采用</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气液逆向吸收方式处理，即液体自塔顶向下（downward）以雾状（或小水滴）喷洒而下。废气则由塔底（逆向流）达到气液接触之目的。此处理方式，可冷却废气温度、气体调理、颗粒去除。再经过除雾段处理后排入大气中。处理工艺流程</w:t>
            </w:r>
            <w:r>
              <w:rPr>
                <w:rFonts w:hint="eastAsia" w:cs="Times New Roman"/>
                <w:b w:val="0"/>
                <w:bCs w:val="0"/>
                <w:color w:val="000000" w:themeColor="text1"/>
                <w:kern w:val="0"/>
                <w:sz w:val="24"/>
                <w:szCs w:val="24"/>
                <w:highlight w:val="none"/>
                <w:lang w:val="en-US" w:eastAsia="zh-CN"/>
                <w14:textFill>
                  <w14:solidFill>
                    <w14:schemeClr w14:val="tx1"/>
                  </w14:solidFill>
                </w14:textFill>
              </w:rPr>
              <w:t>见下图。</w:t>
            </w:r>
          </w:p>
          <w:p w14:paraId="5657866A">
            <w:pPr>
              <w:spacing w:line="360" w:lineRule="auto"/>
              <w:jc w:val="cente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3886200" cy="2914650"/>
                  <wp:effectExtent l="0" t="0" r="0" b="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16"/>
                          <a:stretch>
                            <a:fillRect/>
                          </a:stretch>
                        </pic:blipFill>
                        <pic:spPr>
                          <a:xfrm>
                            <a:off x="0" y="0"/>
                            <a:ext cx="3886200" cy="2914650"/>
                          </a:xfrm>
                          <a:prstGeom prst="rect">
                            <a:avLst/>
                          </a:prstGeom>
                          <a:noFill/>
                          <a:ln>
                            <a:noFill/>
                          </a:ln>
                        </pic:spPr>
                      </pic:pic>
                    </a:graphicData>
                  </a:graphic>
                </wp:inline>
              </w:drawing>
            </w:r>
          </w:p>
          <w:p w14:paraId="5396ED6E">
            <w:pPr>
              <w:spacing w:line="360" w:lineRule="auto"/>
              <w:jc w:val="center"/>
              <w:rPr>
                <w:rFonts w:hint="eastAsia"/>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图</w:t>
            </w:r>
            <w:r>
              <w:rPr>
                <w:rFonts w:hint="eastAsia"/>
                <w:b/>
                <w:bCs/>
                <w:color w:val="000000" w:themeColor="text1"/>
                <w:sz w:val="24"/>
                <w:szCs w:val="24"/>
                <w:highlight w:val="none"/>
                <w:lang w:val="en-US" w:eastAsia="zh-CN"/>
                <w14:textFill>
                  <w14:solidFill>
                    <w14:schemeClr w14:val="tx1"/>
                  </w14:solidFill>
                </w14:textFill>
              </w:rPr>
              <w:t>4.1-2 酸性废气处理流程图</w:t>
            </w:r>
          </w:p>
          <w:p w14:paraId="48068B43">
            <w:pPr>
              <w:spacing w:line="360" w:lineRule="auto"/>
              <w:ind w:firstLine="480" w:firstLineChars="200"/>
              <w:rPr>
                <w:rFonts w:hint="eastAsia" w:cs="Times New Roman"/>
                <w:b w:val="0"/>
                <w:bCs w:val="0"/>
                <w:color w:val="000000" w:themeColor="text1"/>
                <w:kern w:val="0"/>
                <w:sz w:val="24"/>
                <w:szCs w:val="24"/>
                <w:highlight w:val="none"/>
                <w:lang w:val="en-US" w:eastAsia="zh-CN"/>
                <w14:textFill>
                  <w14:solidFill>
                    <w14:schemeClr w14:val="tx1"/>
                  </w14:solidFill>
                </w14:textFill>
              </w:rPr>
            </w:pPr>
            <w:r>
              <w:rPr>
                <w:rFonts w:hint="eastAsia" w:cs="Times New Roman"/>
                <w:b w:val="0"/>
                <w:bCs w:val="0"/>
                <w:color w:val="000000" w:themeColor="text1"/>
                <w:kern w:val="0"/>
                <w:sz w:val="24"/>
                <w:szCs w:val="24"/>
                <w:highlight w:val="none"/>
                <w:lang w:val="en-US" w:eastAsia="zh-CN"/>
                <w14:textFill>
                  <w14:solidFill>
                    <w14:schemeClr w14:val="tx1"/>
                  </w14:solidFill>
                </w14:textFill>
              </w:rPr>
              <w:t>（2）治理措施可行性</w:t>
            </w:r>
          </w:p>
          <w:p w14:paraId="51205834">
            <w:pPr>
              <w:spacing w:line="360" w:lineRule="auto"/>
              <w:ind w:firstLine="480" w:firstLineChars="200"/>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eastAsia" w:cs="Times New Roman"/>
                <w:b w:val="0"/>
                <w:bCs w:val="0"/>
                <w:color w:val="000000" w:themeColor="text1"/>
                <w:kern w:val="0"/>
                <w:sz w:val="24"/>
                <w:szCs w:val="24"/>
                <w:highlight w:val="none"/>
                <w:lang w:val="en-US" w:eastAsia="zh-CN"/>
                <w14:textFill>
                  <w14:solidFill>
                    <w14:schemeClr w14:val="tx1"/>
                  </w14:solidFill>
                </w14:textFill>
              </w:rPr>
              <w:t>根据《排污许可证申请与核发技术规范—电子工业》（HJ1031—2019），项目酸性废气采用碱液喷淋措施，属于可行技术。详见下表。</w:t>
            </w:r>
          </w:p>
          <w:p w14:paraId="1C87E909">
            <w:pPr>
              <w:spacing w:line="360" w:lineRule="auto"/>
              <w:jc w:val="center"/>
              <w:rPr>
                <w:rFonts w:hint="eastAsia" w:cs="宋体"/>
                <w:b/>
                <w:bCs w:val="0"/>
                <w:color w:val="000000" w:themeColor="text1"/>
                <w:sz w:val="24"/>
                <w:szCs w:val="24"/>
                <w:highlight w:val="none"/>
                <w14:textFill>
                  <w14:solidFill>
                    <w14:schemeClr w14:val="tx1"/>
                  </w14:solidFill>
                </w14:textFill>
              </w:rPr>
            </w:pPr>
            <w:r>
              <w:rPr>
                <w:rFonts w:hint="eastAsia" w:cs="宋体"/>
                <w:b/>
                <w:bCs w:val="0"/>
                <w:color w:val="000000" w:themeColor="text1"/>
                <w:sz w:val="24"/>
                <w:szCs w:val="24"/>
                <w:highlight w:val="none"/>
                <w14:textFill>
                  <w14:solidFill>
                    <w14:schemeClr w14:val="tx1"/>
                  </w14:solidFill>
                </w14:textFill>
              </w:rPr>
              <w:t>表</w:t>
            </w:r>
            <w:r>
              <w:rPr>
                <w:rFonts w:hint="eastAsia" w:cs="宋体"/>
                <w:b/>
                <w:bCs w:val="0"/>
                <w:color w:val="000000" w:themeColor="text1"/>
                <w:sz w:val="24"/>
                <w:szCs w:val="24"/>
                <w:highlight w:val="none"/>
                <w:lang w:val="en-US" w:eastAsia="zh-CN"/>
                <w14:textFill>
                  <w14:solidFill>
                    <w14:schemeClr w14:val="tx1"/>
                  </w14:solidFill>
                </w14:textFill>
              </w:rPr>
              <w:t>4</w:t>
            </w:r>
            <w:r>
              <w:rPr>
                <w:rFonts w:hint="eastAsia"/>
                <w:b/>
                <w:bCs w:val="0"/>
                <w:color w:val="000000" w:themeColor="text1"/>
                <w:sz w:val="24"/>
                <w:szCs w:val="24"/>
                <w:highlight w:val="none"/>
                <w:lang w:val="en-US" w:eastAsia="zh-CN"/>
                <w14:textFill>
                  <w14:solidFill>
                    <w14:schemeClr w14:val="tx1"/>
                  </w14:solidFill>
                </w14:textFill>
              </w:rPr>
              <w:t>.1</w:t>
            </w:r>
            <w:r>
              <w:rPr>
                <w:rFonts w:hint="eastAsia" w:cs="宋体"/>
                <w:b/>
                <w:bCs w:val="0"/>
                <w:color w:val="000000" w:themeColor="text1"/>
                <w:sz w:val="24"/>
                <w:szCs w:val="24"/>
                <w:highlight w:val="none"/>
                <w:lang w:val="en-US" w:eastAsia="zh-CN"/>
                <w14:textFill>
                  <w14:solidFill>
                    <w14:schemeClr w14:val="tx1"/>
                  </w14:solidFill>
                </w14:textFill>
              </w:rPr>
              <w:t xml:space="preserve">-7  </w:t>
            </w:r>
            <w:r>
              <w:rPr>
                <w:rFonts w:hint="eastAsia" w:cs="宋体"/>
                <w:b/>
                <w:bCs w:val="0"/>
                <w:color w:val="000000" w:themeColor="text1"/>
                <w:sz w:val="24"/>
                <w:szCs w:val="24"/>
                <w:highlight w:val="none"/>
                <w14:textFill>
                  <w14:solidFill>
                    <w14:schemeClr w14:val="tx1"/>
                  </w14:solidFill>
                </w14:textFill>
              </w:rPr>
              <w:t>酸性废气治理措施可行分析表</w:t>
            </w:r>
          </w:p>
          <w:tbl>
            <w:tblPr>
              <w:tblStyle w:val="30"/>
              <w:tblW w:w="5000" w:type="pct"/>
              <w:tblInd w:w="10" w:type="dxa"/>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Layout w:type="fixed"/>
              <w:tblCellMar>
                <w:top w:w="0" w:type="dxa"/>
                <w:left w:w="108" w:type="dxa"/>
                <w:bottom w:w="0" w:type="dxa"/>
                <w:right w:w="108" w:type="dxa"/>
              </w:tblCellMar>
            </w:tblPr>
            <w:tblGrid>
              <w:gridCol w:w="1225"/>
              <w:gridCol w:w="2038"/>
              <w:gridCol w:w="1828"/>
              <w:gridCol w:w="1728"/>
              <w:gridCol w:w="1301"/>
            </w:tblGrid>
            <w:tr w14:paraId="7A91FBF7">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c>
                <w:tcPr>
                  <w:tcW w:w="755" w:type="pct"/>
                  <w:tcBorders>
                    <w:tl2br w:val="nil"/>
                    <w:tr2bl w:val="nil"/>
                  </w:tcBorders>
                  <w:vAlign w:val="center"/>
                </w:tcPr>
                <w:p w14:paraId="203C9C2D">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生产单元</w:t>
                  </w:r>
                </w:p>
              </w:tc>
              <w:tc>
                <w:tcPr>
                  <w:tcW w:w="1255" w:type="pct"/>
                  <w:tcBorders>
                    <w:tl2br w:val="nil"/>
                    <w:tr2bl w:val="nil"/>
                  </w:tcBorders>
                  <w:vAlign w:val="center"/>
                </w:tcPr>
                <w:p w14:paraId="42CFC792">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污染物</w:t>
                  </w:r>
                </w:p>
              </w:tc>
              <w:tc>
                <w:tcPr>
                  <w:tcW w:w="1125" w:type="pct"/>
                  <w:tcBorders>
                    <w:tl2br w:val="nil"/>
                    <w:tr2bl w:val="nil"/>
                  </w:tcBorders>
                  <w:vAlign w:val="center"/>
                </w:tcPr>
                <w:p w14:paraId="11E3E3E1">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可行技术</w:t>
                  </w:r>
                </w:p>
              </w:tc>
              <w:tc>
                <w:tcPr>
                  <w:tcW w:w="1064" w:type="pct"/>
                  <w:tcBorders>
                    <w:tl2br w:val="nil"/>
                    <w:tr2bl w:val="nil"/>
                  </w:tcBorders>
                  <w:vAlign w:val="center"/>
                </w:tcPr>
                <w:p w14:paraId="64FBA75B">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项目实际</w:t>
                  </w:r>
                </w:p>
              </w:tc>
              <w:tc>
                <w:tcPr>
                  <w:tcW w:w="801" w:type="pct"/>
                  <w:tcBorders>
                    <w:tl2br w:val="nil"/>
                    <w:tr2bl w:val="nil"/>
                  </w:tcBorders>
                  <w:vAlign w:val="center"/>
                </w:tcPr>
                <w:p w14:paraId="29C09B2B">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是否可行</w:t>
                  </w:r>
                </w:p>
              </w:tc>
            </w:tr>
            <w:tr w14:paraId="55F514DE">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323" w:hRule="atLeast"/>
              </w:trPr>
              <w:tc>
                <w:tcPr>
                  <w:tcW w:w="755" w:type="pct"/>
                  <w:tcBorders>
                    <w:tl2br w:val="nil"/>
                    <w:tr2bl w:val="nil"/>
                  </w:tcBorders>
                  <w:vAlign w:val="center"/>
                </w:tcPr>
                <w:p w14:paraId="721AC7F0">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清洗、湿法刻蚀、薄膜制备</w:t>
                  </w:r>
                </w:p>
              </w:tc>
              <w:tc>
                <w:tcPr>
                  <w:tcW w:w="1255" w:type="pct"/>
                  <w:tcBorders>
                    <w:tl2br w:val="nil"/>
                    <w:tr2bl w:val="nil"/>
                  </w:tcBorders>
                  <w:vAlign w:val="center"/>
                </w:tcPr>
                <w:p w14:paraId="40AFBCB3">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氮氧化物</w:t>
                  </w:r>
                </w:p>
              </w:tc>
              <w:tc>
                <w:tcPr>
                  <w:tcW w:w="1125" w:type="pct"/>
                  <w:tcBorders>
                    <w:tl2br w:val="nil"/>
                    <w:tr2bl w:val="nil"/>
                  </w:tcBorders>
                  <w:vAlign w:val="center"/>
                </w:tcPr>
                <w:p w14:paraId="16783F64">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电热/燃烧+水洗法；碱液喷淋洗涤吸收法</w:t>
                  </w:r>
                </w:p>
              </w:tc>
              <w:tc>
                <w:tcPr>
                  <w:tcW w:w="1064" w:type="pct"/>
                  <w:tcBorders>
                    <w:tl2br w:val="nil"/>
                    <w:tr2bl w:val="nil"/>
                  </w:tcBorders>
                  <w:vAlign w:val="center"/>
                </w:tcPr>
                <w:p w14:paraId="333A332A">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喷淋洗涤吸收法</w:t>
                  </w:r>
                </w:p>
              </w:tc>
              <w:tc>
                <w:tcPr>
                  <w:tcW w:w="801" w:type="pct"/>
                  <w:tcBorders>
                    <w:tl2br w:val="nil"/>
                    <w:tr2bl w:val="nil"/>
                  </w:tcBorders>
                  <w:vAlign w:val="center"/>
                </w:tcPr>
                <w:p w14:paraId="50BE2664">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可行</w:t>
                  </w:r>
                </w:p>
              </w:tc>
            </w:tr>
            <w:tr w14:paraId="19311771">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673" w:hRule="atLeast"/>
              </w:trPr>
              <w:tc>
                <w:tcPr>
                  <w:tcW w:w="755" w:type="pct"/>
                  <w:tcBorders>
                    <w:tl2br w:val="nil"/>
                    <w:tr2bl w:val="nil"/>
                  </w:tcBorders>
                  <w:vAlign w:val="center"/>
                </w:tcPr>
                <w:p w14:paraId="659843D6">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清洗、薄膜制备、刻蚀</w:t>
                  </w:r>
                </w:p>
              </w:tc>
              <w:tc>
                <w:tcPr>
                  <w:tcW w:w="1255" w:type="pct"/>
                  <w:tcBorders>
                    <w:tl2br w:val="nil"/>
                    <w:tr2bl w:val="nil"/>
                  </w:tcBorders>
                  <w:vAlign w:val="center"/>
                </w:tcPr>
                <w:p w14:paraId="3E297B07">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氟化物、氯化氢、氨、硫酸雾等</w:t>
                  </w:r>
                </w:p>
              </w:tc>
              <w:tc>
                <w:tcPr>
                  <w:tcW w:w="1125" w:type="pct"/>
                  <w:tcBorders>
                    <w:tl2br w:val="nil"/>
                    <w:tr2bl w:val="nil"/>
                  </w:tcBorders>
                  <w:vAlign w:val="center"/>
                </w:tcPr>
                <w:p w14:paraId="152517F7">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本地处理系统</w:t>
                  </w:r>
                </w:p>
                <w:p w14:paraId="088D7A0C">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（POU）；酸碱喷淋洗涤吸收法</w:t>
                  </w:r>
                </w:p>
              </w:tc>
              <w:tc>
                <w:tcPr>
                  <w:tcW w:w="1064" w:type="pct"/>
                  <w:tcBorders>
                    <w:tl2br w:val="nil"/>
                    <w:tr2bl w:val="nil"/>
                  </w:tcBorders>
                  <w:vAlign w:val="center"/>
                </w:tcPr>
                <w:p w14:paraId="77064CC5">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喷淋洗涤吸收法</w:t>
                  </w:r>
                </w:p>
              </w:tc>
              <w:tc>
                <w:tcPr>
                  <w:tcW w:w="801" w:type="pct"/>
                  <w:tcBorders>
                    <w:tl2br w:val="nil"/>
                    <w:tr2bl w:val="nil"/>
                  </w:tcBorders>
                  <w:vAlign w:val="center"/>
                </w:tcPr>
                <w:p w14:paraId="38ED7952">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可行</w:t>
                  </w:r>
                </w:p>
              </w:tc>
            </w:tr>
          </w:tbl>
          <w:p w14:paraId="3B1F0832">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（三）碱性废气处理措施合理性分析</w:t>
            </w:r>
          </w:p>
          <w:p w14:paraId="61ECD8AC">
            <w:pPr>
              <w:spacing w:line="360" w:lineRule="auto"/>
              <w:ind w:firstLine="480" w:firstLineChars="200"/>
              <w:rPr>
                <w:rFonts w:hint="eastAsia"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本项目碱性废气经密闭</w:t>
            </w:r>
            <w:r>
              <w:rPr>
                <w:rFonts w:hint="eastAsia" w:cs="宋体"/>
                <w:color w:val="000000" w:themeColor="text1"/>
                <w:sz w:val="24"/>
                <w:szCs w:val="32"/>
                <w:highlight w:val="none"/>
                <w14:textFill>
                  <w14:solidFill>
                    <w14:schemeClr w14:val="tx1"/>
                  </w14:solidFill>
                </w14:textFill>
              </w:rPr>
              <w:t>集气管道</w:t>
            </w:r>
            <w:r>
              <w:rPr>
                <w:rFonts w:hint="eastAsia" w:cs="宋体"/>
                <w:color w:val="000000" w:themeColor="text1"/>
                <w:sz w:val="24"/>
                <w:szCs w:val="32"/>
                <w:highlight w:val="none"/>
                <w:lang w:val="en-US" w:eastAsia="zh-CN"/>
                <w14:textFill>
                  <w14:solidFill>
                    <w14:schemeClr w14:val="tx1"/>
                  </w14:solidFill>
                </w14:textFill>
              </w:rPr>
              <w:t>收集至稀硫酸喷淋塔处理后由一根30米高排气筒排放</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本项目废气治理设施平面布置详见附图10~11。</w:t>
            </w:r>
          </w:p>
          <w:p w14:paraId="66DF10EC">
            <w:pPr>
              <w:spacing w:line="360" w:lineRule="auto"/>
              <w:ind w:firstLine="480" w:firstLineChars="200"/>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（1）治理工艺</w:t>
            </w:r>
          </w:p>
          <w:p w14:paraId="303837BA">
            <w:pPr>
              <w:spacing w:line="360" w:lineRule="auto"/>
              <w:ind w:firstLine="480" w:firstLineChars="200"/>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四甲基氢氧化铵是典型的季铵碱，碱性强且易挥发。稀硫酸喷淋塔</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为填充式洗涤塔。填充方式为任意填充方式，填充物材质为FRP/PP，吸收液采用</w:t>
            </w:r>
            <w:r>
              <w:rPr>
                <w:rFonts w:hint="eastAsia" w:cs="Times New Roman"/>
                <w:b w:val="0"/>
                <w:bCs w:val="0"/>
                <w:color w:val="000000" w:themeColor="text1"/>
                <w:kern w:val="0"/>
                <w:sz w:val="24"/>
                <w:szCs w:val="24"/>
                <w:highlight w:val="none"/>
                <w:lang w:val="en-US" w:eastAsia="zh-CN"/>
                <w14:textFill>
                  <w14:solidFill>
                    <w14:schemeClr w14:val="tx1"/>
                  </w14:solidFill>
                </w14:textFill>
              </w:rPr>
              <w:t>2%～3%</w:t>
            </w:r>
            <w:r>
              <w:rPr>
                <w:rFonts w:hint="eastAsia" w:cs="宋体"/>
                <w:color w:val="000000" w:themeColor="text1"/>
                <w:sz w:val="24"/>
                <w:szCs w:val="32"/>
                <w:highlight w:val="none"/>
                <w:lang w:val="en-US" w:eastAsia="zh-CN"/>
                <w14:textFill>
                  <w14:solidFill>
                    <w14:schemeClr w14:val="tx1"/>
                  </w14:solidFill>
                </w14:textFill>
              </w:rPr>
              <w:t>稀硫酸</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溶液</w:t>
            </w:r>
            <w:r>
              <w:rPr>
                <w:rFonts w:hint="eastAsia" w:cs="Times New Roman"/>
                <w:b w:val="0"/>
                <w:bCs w:val="0"/>
                <w:color w:val="000000" w:themeColor="text1"/>
                <w:kern w:val="0"/>
                <w:sz w:val="24"/>
                <w:szCs w:val="24"/>
                <w:highlight w:val="none"/>
                <w:lang w:val="en-US" w:eastAsia="zh-CN"/>
                <w14:textFill>
                  <w14:solidFill>
                    <w14:schemeClr w14:val="tx1"/>
                  </w14:solidFill>
                </w14:textFill>
              </w:rPr>
              <w:t>，pH维持在2~4。循环水量约5m</w:t>
            </w:r>
            <w:r>
              <w:rPr>
                <w:rFonts w:hint="eastAsia" w:cs="Times New Roman"/>
                <w:b w:val="0"/>
                <w:bCs w:val="0"/>
                <w:color w:val="000000" w:themeColor="text1"/>
                <w:kern w:val="0"/>
                <w:sz w:val="24"/>
                <w:szCs w:val="24"/>
                <w:highlight w:val="none"/>
                <w:vertAlign w:val="superscript"/>
                <w:lang w:val="en-US" w:eastAsia="zh-CN"/>
                <w14:textFill>
                  <w14:solidFill>
                    <w14:schemeClr w14:val="tx1"/>
                  </w14:solidFill>
                </w14:textFill>
              </w:rPr>
              <w:t>3</w:t>
            </w:r>
            <w:r>
              <w:rPr>
                <w:rFonts w:hint="eastAsia" w:cs="Times New Roman"/>
                <w:b w:val="0"/>
                <w:bCs w:val="0"/>
                <w:color w:val="000000" w:themeColor="text1"/>
                <w:kern w:val="0"/>
                <w:sz w:val="24"/>
                <w:szCs w:val="24"/>
                <w:highlight w:val="none"/>
                <w:lang w:val="en-US" w:eastAsia="zh-CN"/>
                <w14:textFill>
                  <w14:solidFill>
                    <w14:schemeClr w14:val="tx1"/>
                  </w14:solidFill>
                </w14:textFill>
              </w:rPr>
              <w:t>/h，补水量约2m</w:t>
            </w:r>
            <w:r>
              <w:rPr>
                <w:rFonts w:hint="eastAsia" w:cs="Times New Roman"/>
                <w:b w:val="0"/>
                <w:bCs w:val="0"/>
                <w:color w:val="000000" w:themeColor="text1"/>
                <w:kern w:val="0"/>
                <w:sz w:val="24"/>
                <w:szCs w:val="24"/>
                <w:highlight w:val="none"/>
                <w:vertAlign w:val="superscript"/>
                <w:lang w:val="en-US" w:eastAsia="zh-CN"/>
                <w14:textFill>
                  <w14:solidFill>
                    <w14:schemeClr w14:val="tx1"/>
                  </w14:solidFill>
                </w14:textFill>
              </w:rPr>
              <w:t>3</w:t>
            </w:r>
            <w:r>
              <w:rPr>
                <w:rFonts w:hint="eastAsia" w:cs="Times New Roman"/>
                <w:b w:val="0"/>
                <w:bCs w:val="0"/>
                <w:color w:val="000000" w:themeColor="text1"/>
                <w:kern w:val="0"/>
                <w:sz w:val="24"/>
                <w:szCs w:val="24"/>
                <w:highlight w:val="none"/>
                <w:lang w:val="en-US" w:eastAsia="zh-CN"/>
                <w14:textFill>
                  <w14:solidFill>
                    <w14:schemeClr w14:val="tx1"/>
                  </w14:solidFill>
                </w14:textFill>
              </w:rPr>
              <w:t>/d，排水量约1.8m</w:t>
            </w:r>
            <w:r>
              <w:rPr>
                <w:rFonts w:hint="eastAsia" w:cs="Times New Roman"/>
                <w:b w:val="0"/>
                <w:bCs w:val="0"/>
                <w:color w:val="000000" w:themeColor="text1"/>
                <w:kern w:val="0"/>
                <w:sz w:val="24"/>
                <w:szCs w:val="24"/>
                <w:highlight w:val="none"/>
                <w:vertAlign w:val="superscript"/>
                <w:lang w:val="en-US" w:eastAsia="zh-CN"/>
                <w14:textFill>
                  <w14:solidFill>
                    <w14:schemeClr w14:val="tx1"/>
                  </w14:solidFill>
                </w14:textFill>
              </w:rPr>
              <w:t>3</w:t>
            </w:r>
            <w:r>
              <w:rPr>
                <w:rFonts w:hint="eastAsia" w:cs="Times New Roman"/>
                <w:b w:val="0"/>
                <w:bCs w:val="0"/>
                <w:color w:val="000000" w:themeColor="text1"/>
                <w:kern w:val="0"/>
                <w:sz w:val="24"/>
                <w:szCs w:val="24"/>
                <w:highlight w:val="none"/>
                <w:lang w:val="en-US" w:eastAsia="zh-CN"/>
                <w14:textFill>
                  <w14:solidFill>
                    <w14:schemeClr w14:val="tx1"/>
                  </w14:solidFill>
                </w14:textFill>
              </w:rPr>
              <w:t>/d</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。其基本原理是利用气体与液体间的接触，而将气体中的污染物传送到液体中，然后再将清洁的气体与被污染的液体分离达成清净空气的目的。废气经由填充式洗涤塔，</w:t>
            </w:r>
            <w:r>
              <w:rPr>
                <w:rFonts w:hint="eastAsia" w:cs="Times New Roman"/>
                <w:b w:val="0"/>
                <w:bCs w:val="0"/>
                <w:color w:val="000000" w:themeColor="text1"/>
                <w:kern w:val="0"/>
                <w:sz w:val="24"/>
                <w:szCs w:val="24"/>
                <w:highlight w:val="none"/>
                <w:lang w:val="en-US" w:eastAsia="zh-CN"/>
                <w14:textFill>
                  <w14:solidFill>
                    <w14:schemeClr w14:val="tx1"/>
                  </w14:solidFill>
                </w14:textFill>
              </w:rPr>
              <w:t>采用</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气液逆向吸收方式处理，即液体自塔顶向下（downward）以雾状（或小水滴）喷洒而下。废气则由塔底（逆向流）达到气液接触之目的。此处理方式，可冷却废气温度、气体调理、颗粒去除。废气进入塔体后，与塔顶喷淋层雾化喷洒的稀硫酸吸收液在填料层充分接触，TMAH碱性分子与稀硫酸发生中和反应，快速转化为水溶性的四甲基硫酸铵，随吸收液落入塔底循环槽。再经过除雾段处理后排入大气中</w:t>
            </w:r>
            <w:r>
              <w:rPr>
                <w:rFonts w:hint="eastAsia" w:cs="Times New Roman"/>
                <w:b w:val="0"/>
                <w:bCs w:val="0"/>
                <w:color w:val="000000" w:themeColor="text1"/>
                <w:kern w:val="0"/>
                <w:sz w:val="24"/>
                <w:szCs w:val="24"/>
                <w:highlight w:val="none"/>
                <w:lang w:val="en-US" w:eastAsia="zh-CN"/>
                <w14:textFill>
                  <w14:solidFill>
                    <w14:schemeClr w14:val="tx1"/>
                  </w14:solidFill>
                </w14:textFill>
              </w:rPr>
              <w:t>。</w:t>
            </w:r>
          </w:p>
          <w:p w14:paraId="747275B5">
            <w:pPr>
              <w:spacing w:line="360" w:lineRule="auto"/>
              <w:ind w:firstLine="480" w:firstLineChars="200"/>
              <w:rPr>
                <w:rFonts w:hint="eastAsia" w:cs="Times New Roman"/>
                <w:b w:val="0"/>
                <w:bCs w:val="0"/>
                <w:color w:val="000000" w:themeColor="text1"/>
                <w:kern w:val="0"/>
                <w:sz w:val="24"/>
                <w:szCs w:val="24"/>
                <w:highlight w:val="none"/>
                <w:lang w:val="en-US" w:eastAsia="zh-CN"/>
                <w14:textFill>
                  <w14:solidFill>
                    <w14:schemeClr w14:val="tx1"/>
                  </w14:solidFill>
                </w14:textFill>
              </w:rPr>
            </w:pPr>
            <w:r>
              <w:rPr>
                <w:rFonts w:hint="eastAsia" w:cs="Times New Roman"/>
                <w:b w:val="0"/>
                <w:bCs w:val="0"/>
                <w:color w:val="000000" w:themeColor="text1"/>
                <w:kern w:val="0"/>
                <w:sz w:val="24"/>
                <w:szCs w:val="24"/>
                <w:highlight w:val="none"/>
                <w:lang w:val="en-US" w:eastAsia="zh-CN"/>
                <w14:textFill>
                  <w14:solidFill>
                    <w14:schemeClr w14:val="tx1"/>
                  </w14:solidFill>
                </w14:textFill>
              </w:rPr>
              <w:t>（2）治理措施可行性</w:t>
            </w:r>
          </w:p>
          <w:p w14:paraId="5D896972">
            <w:pPr>
              <w:spacing w:line="360" w:lineRule="auto"/>
              <w:ind w:firstLine="480" w:firstLineChars="200"/>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eastAsia" w:cs="Times New Roman"/>
                <w:b w:val="0"/>
                <w:bCs w:val="0"/>
                <w:color w:val="000000" w:themeColor="text1"/>
                <w:kern w:val="0"/>
                <w:sz w:val="24"/>
                <w:szCs w:val="24"/>
                <w:highlight w:val="none"/>
                <w:lang w:val="en-US" w:eastAsia="zh-CN"/>
                <w14:textFill>
                  <w14:solidFill>
                    <w14:schemeClr w14:val="tx1"/>
                  </w14:solidFill>
                </w14:textFill>
              </w:rPr>
              <w:t>根据《排污许可证申请与核发技术规范—电子工业》（HJ1031—2019），项目碱性废气采用</w:t>
            </w:r>
            <w:r>
              <w:rPr>
                <w:rFonts w:hint="eastAsia" w:cs="宋体"/>
                <w:color w:val="000000" w:themeColor="text1"/>
                <w:sz w:val="24"/>
                <w:szCs w:val="32"/>
                <w:highlight w:val="none"/>
                <w:lang w:val="en-US" w:eastAsia="zh-CN"/>
                <w14:textFill>
                  <w14:solidFill>
                    <w14:schemeClr w14:val="tx1"/>
                  </w14:solidFill>
                </w14:textFill>
              </w:rPr>
              <w:t>稀硫酸</w:t>
            </w:r>
            <w:r>
              <w:rPr>
                <w:rFonts w:hint="eastAsia" w:cs="Times New Roman"/>
                <w:b w:val="0"/>
                <w:bCs w:val="0"/>
                <w:color w:val="000000" w:themeColor="text1"/>
                <w:kern w:val="0"/>
                <w:sz w:val="24"/>
                <w:szCs w:val="24"/>
                <w:highlight w:val="none"/>
                <w:lang w:val="en-US" w:eastAsia="zh-CN"/>
                <w14:textFill>
                  <w14:solidFill>
                    <w14:schemeClr w14:val="tx1"/>
                  </w14:solidFill>
                </w14:textFill>
              </w:rPr>
              <w:t>喷淋措施，属于可行技术。详见下表。</w:t>
            </w:r>
          </w:p>
          <w:p w14:paraId="6C226424">
            <w:pPr>
              <w:spacing w:line="360" w:lineRule="auto"/>
              <w:jc w:val="center"/>
              <w:rPr>
                <w:rFonts w:hint="eastAsia" w:cs="宋体"/>
                <w:b/>
                <w:bCs w:val="0"/>
                <w:color w:val="000000" w:themeColor="text1"/>
                <w:sz w:val="24"/>
                <w:szCs w:val="24"/>
                <w:highlight w:val="none"/>
                <w14:textFill>
                  <w14:solidFill>
                    <w14:schemeClr w14:val="tx1"/>
                  </w14:solidFill>
                </w14:textFill>
              </w:rPr>
            </w:pPr>
            <w:r>
              <w:rPr>
                <w:rFonts w:hint="eastAsia" w:cs="宋体"/>
                <w:b/>
                <w:bCs w:val="0"/>
                <w:color w:val="000000" w:themeColor="text1"/>
                <w:sz w:val="24"/>
                <w:szCs w:val="24"/>
                <w:highlight w:val="none"/>
                <w14:textFill>
                  <w14:solidFill>
                    <w14:schemeClr w14:val="tx1"/>
                  </w14:solidFill>
                </w14:textFill>
              </w:rPr>
              <w:t>表</w:t>
            </w:r>
            <w:r>
              <w:rPr>
                <w:rFonts w:hint="eastAsia" w:cs="宋体"/>
                <w:b/>
                <w:bCs w:val="0"/>
                <w:color w:val="000000" w:themeColor="text1"/>
                <w:sz w:val="24"/>
                <w:szCs w:val="24"/>
                <w:highlight w:val="none"/>
                <w:lang w:val="en-US" w:eastAsia="zh-CN"/>
                <w14:textFill>
                  <w14:solidFill>
                    <w14:schemeClr w14:val="tx1"/>
                  </w14:solidFill>
                </w14:textFill>
              </w:rPr>
              <w:t>4</w:t>
            </w:r>
            <w:r>
              <w:rPr>
                <w:rFonts w:hint="eastAsia"/>
                <w:b/>
                <w:bCs w:val="0"/>
                <w:color w:val="000000" w:themeColor="text1"/>
                <w:sz w:val="24"/>
                <w:szCs w:val="24"/>
                <w:highlight w:val="none"/>
                <w:lang w:val="en-US" w:eastAsia="zh-CN"/>
                <w14:textFill>
                  <w14:solidFill>
                    <w14:schemeClr w14:val="tx1"/>
                  </w14:solidFill>
                </w14:textFill>
              </w:rPr>
              <w:t>.1</w:t>
            </w:r>
            <w:r>
              <w:rPr>
                <w:rFonts w:hint="eastAsia" w:cs="宋体"/>
                <w:b/>
                <w:bCs w:val="0"/>
                <w:color w:val="000000" w:themeColor="text1"/>
                <w:sz w:val="24"/>
                <w:szCs w:val="24"/>
                <w:highlight w:val="none"/>
                <w:lang w:val="en-US" w:eastAsia="zh-CN"/>
                <w14:textFill>
                  <w14:solidFill>
                    <w14:schemeClr w14:val="tx1"/>
                  </w14:solidFill>
                </w14:textFill>
              </w:rPr>
              <w:t>-8  碱性</w:t>
            </w:r>
            <w:r>
              <w:rPr>
                <w:rFonts w:hint="eastAsia" w:cs="宋体"/>
                <w:b/>
                <w:bCs w:val="0"/>
                <w:color w:val="000000" w:themeColor="text1"/>
                <w:sz w:val="24"/>
                <w:szCs w:val="24"/>
                <w:highlight w:val="none"/>
                <w14:textFill>
                  <w14:solidFill>
                    <w14:schemeClr w14:val="tx1"/>
                  </w14:solidFill>
                </w14:textFill>
              </w:rPr>
              <w:t>废气治理措施可行分析表</w:t>
            </w:r>
          </w:p>
          <w:tbl>
            <w:tblPr>
              <w:tblStyle w:val="30"/>
              <w:tblW w:w="5000" w:type="pct"/>
              <w:tblInd w:w="10" w:type="dxa"/>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Layout w:type="fixed"/>
              <w:tblCellMar>
                <w:top w:w="0" w:type="dxa"/>
                <w:left w:w="108" w:type="dxa"/>
                <w:bottom w:w="0" w:type="dxa"/>
                <w:right w:w="108" w:type="dxa"/>
              </w:tblCellMar>
            </w:tblPr>
            <w:tblGrid>
              <w:gridCol w:w="1225"/>
              <w:gridCol w:w="2038"/>
              <w:gridCol w:w="1828"/>
              <w:gridCol w:w="1728"/>
              <w:gridCol w:w="1301"/>
            </w:tblGrid>
            <w:tr w14:paraId="30D68701">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c>
                <w:tcPr>
                  <w:tcW w:w="754" w:type="pct"/>
                  <w:tcBorders>
                    <w:tl2br w:val="nil"/>
                    <w:tr2bl w:val="nil"/>
                  </w:tcBorders>
                  <w:vAlign w:val="center"/>
                </w:tcPr>
                <w:p w14:paraId="1237A9F6">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生产单元</w:t>
                  </w:r>
                </w:p>
              </w:tc>
              <w:tc>
                <w:tcPr>
                  <w:tcW w:w="1254" w:type="pct"/>
                  <w:tcBorders>
                    <w:tl2br w:val="nil"/>
                    <w:tr2bl w:val="nil"/>
                  </w:tcBorders>
                  <w:vAlign w:val="center"/>
                </w:tcPr>
                <w:p w14:paraId="611498C1">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污染物</w:t>
                  </w:r>
                </w:p>
              </w:tc>
              <w:tc>
                <w:tcPr>
                  <w:tcW w:w="1125" w:type="pct"/>
                  <w:tcBorders>
                    <w:tl2br w:val="nil"/>
                    <w:tr2bl w:val="nil"/>
                  </w:tcBorders>
                  <w:vAlign w:val="center"/>
                </w:tcPr>
                <w:p w14:paraId="48C7CB5E">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可行技术</w:t>
                  </w:r>
                </w:p>
              </w:tc>
              <w:tc>
                <w:tcPr>
                  <w:tcW w:w="1064" w:type="pct"/>
                  <w:tcBorders>
                    <w:tl2br w:val="nil"/>
                    <w:tr2bl w:val="nil"/>
                  </w:tcBorders>
                  <w:vAlign w:val="center"/>
                </w:tcPr>
                <w:p w14:paraId="2F1A77C9">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项目实际</w:t>
                  </w:r>
                </w:p>
              </w:tc>
              <w:tc>
                <w:tcPr>
                  <w:tcW w:w="801" w:type="pct"/>
                  <w:tcBorders>
                    <w:tl2br w:val="nil"/>
                    <w:tr2bl w:val="nil"/>
                  </w:tcBorders>
                  <w:vAlign w:val="center"/>
                </w:tcPr>
                <w:p w14:paraId="52D23BF1">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是否可行</w:t>
                  </w:r>
                </w:p>
              </w:tc>
            </w:tr>
            <w:tr w14:paraId="1C3B4AAE">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673" w:hRule="atLeast"/>
              </w:trPr>
              <w:tc>
                <w:tcPr>
                  <w:tcW w:w="754" w:type="pct"/>
                  <w:tcBorders>
                    <w:tl2br w:val="nil"/>
                    <w:tr2bl w:val="nil"/>
                  </w:tcBorders>
                  <w:vAlign w:val="center"/>
                </w:tcPr>
                <w:p w14:paraId="310A39B8">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清洗、薄膜制备、刻蚀</w:t>
                  </w:r>
                </w:p>
              </w:tc>
              <w:tc>
                <w:tcPr>
                  <w:tcW w:w="1254" w:type="pct"/>
                  <w:tcBorders>
                    <w:tl2br w:val="nil"/>
                    <w:tr2bl w:val="nil"/>
                  </w:tcBorders>
                  <w:vAlign w:val="center"/>
                </w:tcPr>
                <w:p w14:paraId="6FA663B6">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氟化物、氯化氢、氨、硫酸雾等</w:t>
                  </w:r>
                </w:p>
              </w:tc>
              <w:tc>
                <w:tcPr>
                  <w:tcW w:w="1125" w:type="pct"/>
                  <w:tcBorders>
                    <w:tl2br w:val="nil"/>
                    <w:tr2bl w:val="nil"/>
                  </w:tcBorders>
                  <w:vAlign w:val="center"/>
                </w:tcPr>
                <w:p w14:paraId="4761C8B2">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本地处理系统</w:t>
                  </w:r>
                </w:p>
                <w:p w14:paraId="0D8D4F40">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（POU）；酸碱喷淋洗涤吸收法</w:t>
                  </w:r>
                </w:p>
              </w:tc>
              <w:tc>
                <w:tcPr>
                  <w:tcW w:w="1064" w:type="pct"/>
                  <w:tcBorders>
                    <w:tl2br w:val="nil"/>
                    <w:tr2bl w:val="nil"/>
                  </w:tcBorders>
                  <w:vAlign w:val="center"/>
                </w:tcPr>
                <w:p w14:paraId="1F294749">
                  <w:pPr>
                    <w:pStyle w:val="110"/>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稀硫酸喷淋</w:t>
                  </w:r>
                  <w:r>
                    <w:rPr>
                      <w:color w:val="000000" w:themeColor="text1"/>
                      <w:highlight w:val="none"/>
                      <w14:textFill>
                        <w14:solidFill>
                          <w14:schemeClr w14:val="tx1"/>
                        </w14:solidFill>
                      </w14:textFill>
                    </w:rPr>
                    <w:t>洗涤吸收法</w:t>
                  </w:r>
                </w:p>
              </w:tc>
              <w:tc>
                <w:tcPr>
                  <w:tcW w:w="801" w:type="pct"/>
                  <w:tcBorders>
                    <w:tl2br w:val="nil"/>
                    <w:tr2bl w:val="nil"/>
                  </w:tcBorders>
                  <w:vAlign w:val="center"/>
                </w:tcPr>
                <w:p w14:paraId="230FBFCE">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可行</w:t>
                  </w:r>
                </w:p>
              </w:tc>
            </w:tr>
          </w:tbl>
          <w:p w14:paraId="260B38D7">
            <w:pPr>
              <w:spacing w:line="360" w:lineRule="auto"/>
              <w:ind w:firstLine="480" w:firstLineChars="200"/>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eastAsia" w:cs="Times New Roman"/>
                <w:b w:val="0"/>
                <w:bCs w:val="0"/>
                <w:color w:val="000000" w:themeColor="text1"/>
                <w:kern w:val="0"/>
                <w:sz w:val="24"/>
                <w:szCs w:val="24"/>
                <w:highlight w:val="none"/>
                <w:lang w:val="en-US" w:eastAsia="zh-CN"/>
                <w14:textFill>
                  <w14:solidFill>
                    <w14:schemeClr w14:val="tx1"/>
                  </w14:solidFill>
                </w14:textFill>
              </w:rPr>
              <w:t>（四）污水处理站恶臭无组织控制措施</w:t>
            </w:r>
          </w:p>
          <w:p w14:paraId="423ABEFD">
            <w:pPr>
              <w:spacing w:line="360" w:lineRule="auto"/>
              <w:ind w:firstLine="480" w:firstLineChars="200"/>
              <w:rPr>
                <w:rFonts w:hint="default" w:cs="Times New Roman"/>
                <w:b w:val="0"/>
                <w:bCs w:val="0"/>
                <w:color w:val="000000" w:themeColor="text1"/>
                <w:kern w:val="0"/>
                <w:sz w:val="24"/>
                <w:szCs w:val="24"/>
                <w:highlight w:val="none"/>
                <w:lang w:val="en-US" w:eastAsia="zh-CN"/>
                <w14:textFill>
                  <w14:solidFill>
                    <w14:schemeClr w14:val="tx1"/>
                  </w14:solidFill>
                </w14:textFill>
              </w:rPr>
            </w:pPr>
            <w:r>
              <w:rPr>
                <w:rFonts w:hint="eastAsia" w:cs="Times New Roman"/>
                <w:b w:val="0"/>
                <w:bCs w:val="0"/>
                <w:color w:val="000000" w:themeColor="text1"/>
                <w:kern w:val="0"/>
                <w:sz w:val="24"/>
                <w:szCs w:val="24"/>
                <w:highlight w:val="none"/>
                <w:lang w:val="en-US" w:eastAsia="zh-CN"/>
                <w14:textFill>
                  <w14:solidFill>
                    <w14:schemeClr w14:val="tx1"/>
                  </w14:solidFill>
                </w14:textFill>
              </w:rPr>
              <w:t>本项目污水处理站处理的生产废水主要包括光学元件清洗废水、酸碱废水、含氟废水等，不属于高浓度有机废水，废水中COD浓度较低，属于低浓度的工业废水，废水本身恶臭强度较低。</w:t>
            </w:r>
          </w:p>
          <w:p w14:paraId="38A1EBD4">
            <w:pPr>
              <w:spacing w:line="360" w:lineRule="auto"/>
              <w:ind w:firstLine="480" w:firstLineChars="200"/>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eastAsia" w:cs="Times New Roman"/>
                <w:b w:val="0"/>
                <w:bCs w:val="0"/>
                <w:color w:val="000000" w:themeColor="text1"/>
                <w:kern w:val="0"/>
                <w:sz w:val="24"/>
                <w:szCs w:val="24"/>
                <w:highlight w:val="none"/>
                <w:lang w:val="en-US" w:eastAsia="zh-CN"/>
                <w14:textFill>
                  <w14:solidFill>
                    <w14:schemeClr w14:val="tx1"/>
                  </w14:solidFill>
                </w14:textFill>
              </w:rPr>
              <w:t>本项目最近的环保目标为厂房西侧约220m的南湖公寓，本项目所在区域主导风向为东南风，环保目标位于污水处理站</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常年主导风向的</w:t>
            </w:r>
            <w:r>
              <w:rPr>
                <w:rFonts w:hint="eastAsia" w:cs="Times New Roman"/>
                <w:b w:val="0"/>
                <w:bCs w:val="0"/>
                <w:color w:val="000000" w:themeColor="text1"/>
                <w:kern w:val="0"/>
                <w:sz w:val="24"/>
                <w:szCs w:val="24"/>
                <w:highlight w:val="none"/>
                <w:lang w:val="en-US" w:eastAsia="zh-CN"/>
                <w14:textFill>
                  <w14:solidFill>
                    <w14:schemeClr w14:val="tx1"/>
                  </w14:solidFill>
                </w14:textFill>
              </w:rPr>
              <w:t>侧风向。</w:t>
            </w:r>
            <w:r>
              <w:rPr>
                <w:rFonts w:hint="eastAsia"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本项目对恶臭产生的主要构筑物采取加盖</w:t>
            </w:r>
            <w:r>
              <w:rPr>
                <w:rFonts w:hint="eastAsia" w:cs="Times New Roman"/>
                <w:b w:val="0"/>
                <w:bCs w:val="0"/>
                <w:color w:val="000000" w:themeColor="text1"/>
                <w:kern w:val="0"/>
                <w:sz w:val="24"/>
                <w:szCs w:val="24"/>
                <w:highlight w:val="none"/>
                <w:lang w:val="en-US" w:eastAsia="zh-CN"/>
                <w14:textFill>
                  <w14:solidFill>
                    <w14:schemeClr w14:val="tx1"/>
                  </w14:solidFill>
                </w14:textFill>
              </w:rPr>
              <w:t>密闭、投加除臭剂</w:t>
            </w:r>
            <w:r>
              <w:rPr>
                <w:rFonts w:hint="eastAsia"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等措施，</w:t>
            </w:r>
            <w:r>
              <w:rPr>
                <w:rFonts w:hint="eastAsia" w:cs="Times New Roman"/>
                <w:b w:val="0"/>
                <w:bCs w:val="0"/>
                <w:color w:val="000000" w:themeColor="text1"/>
                <w:kern w:val="0"/>
                <w:sz w:val="24"/>
                <w:szCs w:val="24"/>
                <w:highlight w:val="none"/>
                <w:lang w:val="en-US" w:eastAsia="zh-CN"/>
                <w14:textFill>
                  <w14:solidFill>
                    <w14:schemeClr w14:val="tx1"/>
                  </w14:solidFill>
                </w14:textFill>
              </w:rPr>
              <w:t>可进一步</w:t>
            </w:r>
            <w:r>
              <w:rPr>
                <w:rFonts w:hint="eastAsia"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减少恶臭气体对周边环境的影响。</w:t>
            </w:r>
          </w:p>
          <w:p w14:paraId="15655DC6">
            <w:pPr>
              <w:spacing w:line="360" w:lineRule="auto"/>
              <w:ind w:firstLine="480" w:firstLineChars="200"/>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eastAsia" w:cs="Times New Roman"/>
                <w:b w:val="0"/>
                <w:bCs w:val="0"/>
                <w:color w:val="000000" w:themeColor="text1"/>
                <w:kern w:val="0"/>
                <w:sz w:val="24"/>
                <w:szCs w:val="24"/>
                <w:highlight w:val="none"/>
                <w:lang w:val="en-US" w:eastAsia="zh-CN"/>
                <w14:textFill>
                  <w14:solidFill>
                    <w14:schemeClr w14:val="tx1"/>
                  </w14:solidFill>
                </w14:textFill>
              </w:rPr>
              <w:t>本次评要求建设单位</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加强污水站的日常管理，污泥脱水后要及时清运，减少污泥堆存；污泥清运应使用全封闭的环保车辆，污泥运输时要避开运输高峰期，</w:t>
            </w:r>
            <w:r>
              <w:rPr>
                <w:rFonts w:hint="eastAsia" w:cs="Times New Roman"/>
                <w:b w:val="0"/>
                <w:bCs w:val="0"/>
                <w:color w:val="000000" w:themeColor="text1"/>
                <w:kern w:val="0"/>
                <w:sz w:val="24"/>
                <w:szCs w:val="24"/>
                <w:highlight w:val="none"/>
                <w:lang w:val="en-US" w:eastAsia="zh-CN"/>
                <w14:textFill>
                  <w14:solidFill>
                    <w14:schemeClr w14:val="tx1"/>
                  </w14:solidFill>
                </w14:textFill>
              </w:rPr>
              <w:t>尽量减少</w:t>
            </w: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臭气对运输线路附近大气环境的影响。</w:t>
            </w:r>
          </w:p>
          <w:p w14:paraId="0B578D22">
            <w:pPr>
              <w:spacing w:line="360" w:lineRule="auto"/>
              <w:ind w:firstLine="480" w:firstLineChars="200"/>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在各污水处理构筑物停车检修时，池底积泥会暴露出来散发臭气，应及时清除积泥，防止臭气的影响。</w:t>
            </w:r>
          </w:p>
          <w:p w14:paraId="0F594915">
            <w:pPr>
              <w:pStyle w:val="37"/>
              <w:rPr>
                <w:color w:val="000000" w:themeColor="text1"/>
                <w:sz w:val="24"/>
                <w:szCs w:val="21"/>
                <w:highlight w:val="none"/>
                <w14:textFill>
                  <w14:solidFill>
                    <w14:schemeClr w14:val="tx1"/>
                  </w14:solidFill>
                </w14:textFill>
              </w:rPr>
            </w:pPr>
            <w:r>
              <w:rPr>
                <w:color w:val="000000" w:themeColor="text1"/>
                <w:sz w:val="24"/>
                <w:szCs w:val="21"/>
                <w:highlight w:val="none"/>
                <w14:textFill>
                  <w14:solidFill>
                    <w14:schemeClr w14:val="tx1"/>
                  </w14:solidFill>
                </w14:textFill>
              </w:rPr>
              <w:t>4.</w:t>
            </w:r>
            <w:r>
              <w:rPr>
                <w:rFonts w:hint="eastAsia"/>
                <w:color w:val="000000" w:themeColor="text1"/>
                <w:sz w:val="24"/>
                <w:szCs w:val="21"/>
                <w:highlight w:val="none"/>
                <w:lang w:val="en-US" w:eastAsia="zh-CN"/>
                <w14:textFill>
                  <w14:solidFill>
                    <w14:schemeClr w14:val="tx1"/>
                  </w14:solidFill>
                </w14:textFill>
              </w:rPr>
              <w:t>2</w:t>
            </w:r>
            <w:r>
              <w:rPr>
                <w:color w:val="000000" w:themeColor="text1"/>
                <w:sz w:val="24"/>
                <w:szCs w:val="21"/>
                <w:highlight w:val="none"/>
                <w14:textFill>
                  <w14:solidFill>
                    <w14:schemeClr w14:val="tx1"/>
                  </w14:solidFill>
                </w14:textFill>
              </w:rPr>
              <w:t xml:space="preserve"> </w:t>
            </w:r>
            <w:r>
              <w:rPr>
                <w:rFonts w:hint="eastAsia"/>
                <w:color w:val="000000" w:themeColor="text1"/>
                <w:sz w:val="24"/>
                <w:szCs w:val="21"/>
                <w:highlight w:val="none"/>
                <w14:textFill>
                  <w14:solidFill>
                    <w14:schemeClr w14:val="tx1"/>
                  </w14:solidFill>
                </w14:textFill>
              </w:rPr>
              <w:t>运营期</w:t>
            </w:r>
            <w:r>
              <w:rPr>
                <w:rFonts w:hint="eastAsia"/>
                <w:color w:val="000000" w:themeColor="text1"/>
                <w:sz w:val="24"/>
                <w:szCs w:val="21"/>
                <w:highlight w:val="none"/>
                <w:lang w:val="en-US" w:eastAsia="zh-CN"/>
                <w14:textFill>
                  <w14:solidFill>
                    <w14:schemeClr w14:val="tx1"/>
                  </w14:solidFill>
                </w14:textFill>
              </w:rPr>
              <w:t>水</w:t>
            </w:r>
            <w:r>
              <w:rPr>
                <w:rFonts w:hint="eastAsia"/>
                <w:color w:val="000000" w:themeColor="text1"/>
                <w:sz w:val="24"/>
                <w:szCs w:val="21"/>
                <w:highlight w:val="none"/>
                <w14:textFill>
                  <w14:solidFill>
                    <w14:schemeClr w14:val="tx1"/>
                  </w14:solidFill>
                </w14:textFill>
              </w:rPr>
              <w:t>环境影响分析和污染防治措施</w:t>
            </w:r>
          </w:p>
          <w:p w14:paraId="1F95B603">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4.2.1废水源强核算</w:t>
            </w:r>
          </w:p>
          <w:p w14:paraId="64D6EA57">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项目产生的废水主要有清洗废水及生活污水。</w:t>
            </w:r>
          </w:p>
          <w:p w14:paraId="3D2B93A2">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（一）生产废水</w:t>
            </w:r>
          </w:p>
          <w:p w14:paraId="5C44FDF9">
            <w:pPr>
              <w:spacing w:line="360" w:lineRule="auto"/>
              <w:ind w:firstLine="480" w:firstLineChars="200"/>
              <w:rPr>
                <w:rFonts w:hint="default"/>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本项目主要涉及三类生产废水，分别是一般清洗废水、酸碱废水和含氟废水。</w:t>
            </w:r>
          </w:p>
          <w:p w14:paraId="4AC289C4">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（1）一般清洗废水</w:t>
            </w:r>
          </w:p>
          <w:p w14:paraId="7825B285">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根据2.7小节，一般清洗废水量为7.2t/d（1800t/a）。本项目使用的物料与“福建至期光子科技有限公司超精密核心光学及晶体元器件生产项目”类似，因此本次评价类比该项目建设竣工环境保护验收监测表中的污染物浓度，其中清洗废水中主要污染物及浓度为COD：268mg/L、BOD</w:t>
            </w:r>
            <w:r>
              <w:rPr>
                <w:rFonts w:hint="eastAsia"/>
                <w:color w:val="000000" w:themeColor="text1"/>
                <w:sz w:val="24"/>
                <w:szCs w:val="32"/>
                <w:highlight w:val="none"/>
                <w:vertAlign w:val="subscript"/>
                <w:lang w:val="en-US" w:eastAsia="zh-CN"/>
                <w14:textFill>
                  <w14:solidFill>
                    <w14:schemeClr w14:val="tx1"/>
                  </w14:solidFill>
                </w14:textFill>
              </w:rPr>
              <w:t>5</w:t>
            </w:r>
            <w:r>
              <w:rPr>
                <w:rFonts w:hint="eastAsia"/>
                <w:color w:val="000000" w:themeColor="text1"/>
                <w:sz w:val="24"/>
                <w:szCs w:val="32"/>
                <w:highlight w:val="none"/>
                <w:lang w:val="en-US" w:eastAsia="zh-CN"/>
                <w14:textFill>
                  <w14:solidFill>
                    <w14:schemeClr w14:val="tx1"/>
                  </w14:solidFill>
                </w14:textFill>
              </w:rPr>
              <w:t>：126mg/L、SS：173mg/L、氨氮：20mg/L、总氮：30mg/L、总磷：0.3mg/L。</w:t>
            </w:r>
          </w:p>
          <w:p w14:paraId="31230778">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（2）酸碱废水</w:t>
            </w:r>
          </w:p>
          <w:p w14:paraId="61945AA3">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根据2.7小节，酸碱废水包括生产过程中产生的酸碱清洗废水、酸性及碱性废气处理设施排水，合计19.44t/d（4860t/a）。本项目使用的物料与“福建兆元光电有限公司LED芯片填平补齐技改项目”“厦门天马显示科技有限公司第6代柔性AMOLED生产线项目”类似，因此本次评价类比上述项目中的污染物浓度，酸碱废水中主要污染物及浓度为COD：50mg/L、BOD</w:t>
            </w:r>
            <w:r>
              <w:rPr>
                <w:rFonts w:hint="eastAsia"/>
                <w:color w:val="000000" w:themeColor="text1"/>
                <w:sz w:val="24"/>
                <w:szCs w:val="32"/>
                <w:highlight w:val="none"/>
                <w:vertAlign w:val="subscript"/>
                <w:lang w:val="en-US" w:eastAsia="zh-CN"/>
                <w14:textFill>
                  <w14:solidFill>
                    <w14:schemeClr w14:val="tx1"/>
                  </w14:solidFill>
                </w14:textFill>
              </w:rPr>
              <w:t>5</w:t>
            </w:r>
            <w:r>
              <w:rPr>
                <w:rFonts w:hint="eastAsia"/>
                <w:color w:val="000000" w:themeColor="text1"/>
                <w:sz w:val="24"/>
                <w:szCs w:val="32"/>
                <w:highlight w:val="none"/>
                <w:lang w:val="en-US" w:eastAsia="zh-CN"/>
                <w14:textFill>
                  <w14:solidFill>
                    <w14:schemeClr w14:val="tx1"/>
                  </w14:solidFill>
                </w14:textFill>
              </w:rPr>
              <w:t>：20mg/L、SS：500mg/L、氨氮：20mg/L、总氮：30mg/L、总磷：0.3mg/L。</w:t>
            </w:r>
          </w:p>
          <w:p w14:paraId="092E8B1D">
            <w:pPr>
              <w:spacing w:line="360" w:lineRule="auto"/>
              <w:ind w:firstLine="480" w:firstLineChars="200"/>
              <w:rPr>
                <w:rFonts w:hint="default"/>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（3）含氟废水</w:t>
            </w:r>
          </w:p>
          <w:p w14:paraId="4B8DDF8B">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根据2.7小节，含氟废水量为7.2t/d（1800t/a）。本项目使用的物料与“福建兆元光电有限公司LED芯片填平补齐技改项目”“厦门天马显示科技有限公司第6代柔性AMOLED生产线项目”类似，因此本次评价类比上述项目中的污染物浓度，含氟废水中主要污染物及浓度为COD：30mg/L、BOD</w:t>
            </w:r>
            <w:r>
              <w:rPr>
                <w:rFonts w:hint="eastAsia"/>
                <w:color w:val="000000" w:themeColor="text1"/>
                <w:sz w:val="24"/>
                <w:szCs w:val="32"/>
                <w:highlight w:val="none"/>
                <w:vertAlign w:val="subscript"/>
                <w:lang w:val="en-US" w:eastAsia="zh-CN"/>
                <w14:textFill>
                  <w14:solidFill>
                    <w14:schemeClr w14:val="tx1"/>
                  </w14:solidFill>
                </w14:textFill>
              </w:rPr>
              <w:t>5</w:t>
            </w:r>
            <w:r>
              <w:rPr>
                <w:rFonts w:hint="eastAsia"/>
                <w:color w:val="000000" w:themeColor="text1"/>
                <w:sz w:val="24"/>
                <w:szCs w:val="32"/>
                <w:highlight w:val="none"/>
                <w:lang w:val="en-US" w:eastAsia="zh-CN"/>
                <w14:textFill>
                  <w14:solidFill>
                    <w14:schemeClr w14:val="tx1"/>
                  </w14:solidFill>
                </w14:textFill>
              </w:rPr>
              <w:t>：20mg/L、SS：100mg/L、氨氮：20mg/L，氟化物：130mg/L、总氮：30mg/L、总磷：0.1mg/L。</w:t>
            </w:r>
          </w:p>
          <w:p w14:paraId="20653A5D">
            <w:pPr>
              <w:spacing w:line="360" w:lineRule="auto"/>
              <w:ind w:firstLine="480" w:firstLineChars="200"/>
              <w:rPr>
                <w:rFonts w:hint="default"/>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本项目含氟废水先经预处理后，与一般清洗废水、酸碱废水一并排入综合污水处理站处理。项目产生的废水经综合污水处理站处理后排入市政污水管网，纳入福州大学城污水处理厂统一处理。</w:t>
            </w:r>
            <w:r>
              <w:rPr>
                <w:rFonts w:hint="eastAsia" w:cs="宋体"/>
                <w:color w:val="000000" w:themeColor="text1"/>
                <w:sz w:val="24"/>
                <w:szCs w:val="32"/>
                <w:highlight w:val="none"/>
                <w:lang w:val="en-US" w:eastAsia="zh-CN"/>
                <w14:textFill>
                  <w14:solidFill>
                    <w14:schemeClr w14:val="tx1"/>
                  </w14:solidFill>
                </w14:textFill>
              </w:rPr>
              <w:t>本项目废水治理设施平面布置详见附图12~14。</w:t>
            </w:r>
          </w:p>
          <w:p w14:paraId="7946F0D5">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项目生产废水源强核算详见下表。</w:t>
            </w:r>
          </w:p>
          <w:p w14:paraId="1F685034">
            <w:pPr>
              <w:spacing w:line="360" w:lineRule="auto"/>
              <w:jc w:val="center"/>
              <w:rPr>
                <w:rFonts w:hint="eastAsia" w:ascii="Times New Roman" w:hAnsi="Times New Roman" w:eastAsia="宋体" w:cs="宋体"/>
                <w:b/>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宋体"/>
                <w:b/>
                <w:bCs w:val="0"/>
                <w:color w:val="000000" w:themeColor="text1"/>
                <w:sz w:val="24"/>
                <w:szCs w:val="24"/>
                <w:highlight w:val="none"/>
                <w:lang w:val="en-US" w:eastAsia="zh-CN"/>
                <w14:textFill>
                  <w14:solidFill>
                    <w14:schemeClr w14:val="tx1"/>
                  </w14:solidFill>
                </w14:textFill>
              </w:rPr>
              <w:t>表4.2-1本项目生产废水产排情况一览表</w:t>
            </w:r>
          </w:p>
          <w:tbl>
            <w:tblPr>
              <w:tblStyle w:val="30"/>
              <w:tblW w:w="81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124"/>
              <w:gridCol w:w="1333"/>
              <w:gridCol w:w="709"/>
              <w:gridCol w:w="709"/>
              <w:gridCol w:w="709"/>
              <w:gridCol w:w="709"/>
              <w:gridCol w:w="709"/>
              <w:gridCol w:w="709"/>
              <w:gridCol w:w="709"/>
              <w:gridCol w:w="710"/>
            </w:tblGrid>
            <w:tr w14:paraId="2C342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jc w:val="center"/>
              </w:trPr>
              <w:tc>
                <w:tcPr>
                  <w:tcW w:w="24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1E10A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废水类型</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8F87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COD</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3C0B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BOD</w:t>
                  </w:r>
                  <w:r>
                    <w:rPr>
                      <w:rFonts w:hint="default" w:ascii="Times New Roman" w:hAnsi="Times New Roman" w:eastAsia="宋体" w:cs="Times New Roman"/>
                      <w:i w:val="0"/>
                      <w:iCs w:val="0"/>
                      <w:color w:val="000000" w:themeColor="text1"/>
                      <w:kern w:val="0"/>
                      <w:sz w:val="21"/>
                      <w:szCs w:val="21"/>
                      <w:highlight w:val="none"/>
                      <w:u w:val="none"/>
                      <w:vertAlign w:val="subscript"/>
                      <w:lang w:val="en-US" w:eastAsia="zh-CN" w:bidi="ar"/>
                      <w14:textFill>
                        <w14:solidFill>
                          <w14:schemeClr w14:val="tx1"/>
                        </w14:solidFill>
                      </w14:textFill>
                    </w:rPr>
                    <w:t>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D499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SS</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F27D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氨氮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2C3B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氟化物</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7F26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pH</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DBD4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总氮</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5649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总磷</w:t>
                  </w:r>
                </w:p>
              </w:tc>
            </w:tr>
            <w:tr w14:paraId="682AC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jc w:val="center"/>
              </w:trPr>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03B9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含氟废水（</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t/a</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D12A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产生浓度（</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mg/L</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6295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BFB0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BC68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AE71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BD08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130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FEBA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6762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30</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2914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0.1</w:t>
                  </w:r>
                </w:p>
              </w:tc>
            </w:tr>
            <w:tr w14:paraId="14ADF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jc w:val="center"/>
              </w:trPr>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4436A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1800</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A388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产生量（</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t/a</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211F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0.054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CC26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0.036</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463A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0.18</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25EF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0.036</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D889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0.234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D8D9D">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DD9A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0.054</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FBF8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0.00018</w:t>
                  </w:r>
                </w:p>
              </w:tc>
            </w:tr>
            <w:tr w14:paraId="67C86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21882">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CBEA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处理措施</w:t>
                  </w:r>
                </w:p>
              </w:tc>
              <w:tc>
                <w:tcPr>
                  <w:tcW w:w="567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951152B">
                  <w:pPr>
                    <w:keepNext w:val="0"/>
                    <w:keepLines w:val="0"/>
                    <w:widowControl/>
                    <w:suppressLineNumbers w:val="0"/>
                    <w:jc w:val="both"/>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调节池</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反应池（加入氯化钙）</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沉淀池</w:t>
                  </w:r>
                </w:p>
              </w:tc>
            </w:tr>
            <w:tr w14:paraId="1265B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5B507">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7326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处理效率</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9125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E1E4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F561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70%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68BB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1265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2E62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467C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27F8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r>
            <w:tr w14:paraId="0E2EB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DE2FB">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A7A4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处理后浓度（</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mg/L</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129B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168B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4D0E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DC48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EFE6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B252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6-9</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FC25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30</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63C3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0.1</w:t>
                  </w:r>
                </w:p>
              </w:tc>
            </w:tr>
            <w:tr w14:paraId="44A1A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2B6F6">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3AA7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排放量</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8CD0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0.0540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6AFE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0.0360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9E71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0.0540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0F6C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0.0360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4F08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0.0117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D51A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5B63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0.0540 </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EFB1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0.0002 </w:t>
                  </w:r>
                </w:p>
              </w:tc>
            </w:tr>
            <w:tr w14:paraId="115B2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jc w:val="center"/>
              </w:trPr>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E635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一般清洗废水（</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t/a</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0357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产生浓度（</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mg/L</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4696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268</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E346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126</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8FE9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173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860D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7C2A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6C1F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6-9</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F691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30</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D1B3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0.3</w:t>
                  </w:r>
                </w:p>
              </w:tc>
            </w:tr>
            <w:tr w14:paraId="5D2AF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jc w:val="center"/>
              </w:trPr>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A665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1800</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F381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产生量（</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t/a</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C3B1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0.4824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2BB9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0.2268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D15C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0.3114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25B9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0.0360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385C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4E78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F78C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0.0540 </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EE08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0.0005 </w:t>
                  </w:r>
                </w:p>
              </w:tc>
            </w:tr>
            <w:tr w14:paraId="16DBE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jc w:val="center"/>
              </w:trPr>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A692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酸碱废水（</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t/a</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4A89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产生浓度（</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mg/L</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9345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50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3C0B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20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89AA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500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5B38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20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B687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0566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2-12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39D5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30</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BD5C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0.3</w:t>
                  </w:r>
                </w:p>
              </w:tc>
            </w:tr>
            <w:tr w14:paraId="780E0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jc w:val="center"/>
              </w:trPr>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911C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4860</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232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产生量（</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t/a</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D5FB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0.2430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0E44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0.0972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D732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2.4300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5301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0.0972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4E06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E7DF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75AE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0.1458 </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5FF7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0.0015 </w:t>
                  </w:r>
                </w:p>
              </w:tc>
            </w:tr>
            <w:tr w14:paraId="33F90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jc w:val="center"/>
              </w:trPr>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F540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混合后总生产废水（</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t/a</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5CDD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混合后浓度（</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mg/L</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F8BD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92.1277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5BE6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42.5532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7875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330.4255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9949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20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15B0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1.3830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931F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2-12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65FA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30 </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1D98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0.2574 </w:t>
                  </w:r>
                </w:p>
              </w:tc>
            </w:tr>
            <w:tr w14:paraId="039D0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jc w:val="center"/>
              </w:trPr>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A2D0D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8460</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07CE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混合后污染物的量（</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t/a</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70F9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0.7794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4452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0.3600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5FBC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2.7954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9133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0.1692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EA95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0.0117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201D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1685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0.2538 </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8CA0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0.0022 </w:t>
                  </w:r>
                </w:p>
              </w:tc>
            </w:tr>
            <w:tr w14:paraId="739E9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FEDE4">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CAAA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处理措施</w:t>
                  </w:r>
                </w:p>
              </w:tc>
              <w:tc>
                <w:tcPr>
                  <w:tcW w:w="567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5DA8D7A">
                  <w:pPr>
                    <w:keepNext w:val="0"/>
                    <w:keepLines w:val="0"/>
                    <w:widowControl/>
                    <w:suppressLineNumbers w:val="0"/>
                    <w:jc w:val="both"/>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综合调节池</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+pH</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调节池</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混凝池</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沉淀池</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过滤池</w:t>
                  </w:r>
                </w:p>
              </w:tc>
            </w:tr>
            <w:tr w14:paraId="71EA3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DC241">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4088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处理效率</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EF46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4E60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87A3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5B03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F2F2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28AE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0EAB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4902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40%</w:t>
                  </w:r>
                </w:p>
              </w:tc>
            </w:tr>
            <w:tr w14:paraId="1F035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17501">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B53C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排放浓度（</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mg/L</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9ECE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64.4894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0B1F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34.0426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643F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16.5213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CD95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19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EF07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0.5532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6623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6-9</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184C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28.50 </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E1D1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0.1545 </w:t>
                  </w:r>
                </w:p>
              </w:tc>
            </w:tr>
            <w:tr w14:paraId="6B80B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jc w:val="center"/>
              </w:trPr>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F70E1">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12B4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排放量</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8093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0.5456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2542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0.2880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A65E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0.1398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8E2E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0.1607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41D7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0.0047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F108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450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0.2411 </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B634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0.0013 </w:t>
                  </w:r>
                </w:p>
              </w:tc>
            </w:tr>
            <w:tr w14:paraId="790FB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jc w:val="center"/>
              </w:trPr>
              <w:tc>
                <w:tcPr>
                  <w:tcW w:w="24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23FE0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厂区接管标准限值（</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mg/L</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EAEE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240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1A9F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A6DD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180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32F1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EF35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D4E6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6-9</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5623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40</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D0B1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4</w:t>
                  </w:r>
                </w:p>
              </w:tc>
            </w:tr>
            <w:tr w14:paraId="65B26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 w:hRule="atLeast"/>
                <w:jc w:val="center"/>
              </w:trPr>
              <w:tc>
                <w:tcPr>
                  <w:tcW w:w="24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1AB41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《电子工业水污染物排放标准》</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(GB 39731-2020</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）间接排放标准</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31C6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526D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A22E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8405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369F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5A9D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6-9</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6C1B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70</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59D8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8</w:t>
                  </w:r>
                </w:p>
              </w:tc>
            </w:tr>
          </w:tbl>
          <w:p w14:paraId="21D072E6">
            <w:pPr>
              <w:spacing w:line="360" w:lineRule="auto"/>
              <w:ind w:firstLine="480" w:firstLineChars="200"/>
              <w:rPr>
                <w:rFonts w:hint="default"/>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由上表可知，处理后的生产废水各污染物浓度满足《电子工业水污染物排放标准》（GB 39731-2020）间接排放标准，也满足大学城污水处理厂进水水质标准。</w:t>
            </w:r>
          </w:p>
          <w:p w14:paraId="0C7A6A8D">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（二）生活污水</w:t>
            </w:r>
          </w:p>
          <w:p w14:paraId="481C7FCE">
            <w:pPr>
              <w:spacing w:line="360" w:lineRule="auto"/>
              <w:ind w:firstLine="480" w:firstLineChars="20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本项目新增职工人数150人，均不住厂。不住厂人员用水定额按50L/（人·d），则生活用水量为7.5t/d（1875t/a），产污系数为90%，则项目生活污水产生量为6.75t/d（1687.5t/a），根据《给排水设计手册》（第五册城镇排水）典型生活污水水质示例，本项目生活污水中主要污染物浓度取值为COD400mg/L、BOD</w:t>
            </w:r>
            <w:r>
              <w:rPr>
                <w:rFonts w:hint="eastAsia"/>
                <w:color w:val="000000" w:themeColor="text1"/>
                <w:sz w:val="24"/>
                <w:szCs w:val="32"/>
                <w:highlight w:val="none"/>
                <w:vertAlign w:val="subscript"/>
                <w:lang w:val="en-US" w:eastAsia="zh-CN"/>
                <w14:textFill>
                  <w14:solidFill>
                    <w14:schemeClr w14:val="tx1"/>
                  </w14:solidFill>
                </w14:textFill>
              </w:rPr>
              <w:t>5</w:t>
            </w:r>
            <w:r>
              <w:rPr>
                <w:rFonts w:hint="eastAsia"/>
                <w:color w:val="000000" w:themeColor="text1"/>
                <w:sz w:val="24"/>
                <w:szCs w:val="32"/>
                <w:highlight w:val="none"/>
                <w:lang w:val="en-US" w:eastAsia="zh-CN"/>
                <w14:textFill>
                  <w14:solidFill>
                    <w14:schemeClr w14:val="tx1"/>
                  </w14:solidFill>
                </w14:textFill>
              </w:rPr>
              <w:t>150mg/L、SS200mg/L、氨氮25mg/L，生活污水经隔油+化粪池处理达到《污水综合排放标准》（GB8978-1996）表4中三级标准（其中氨氮执行《污水排入城镇下水道水质标准》（GBT31962-2015）表1的B等级标准）后接入市政污水管网，排入福州大学城污水处理厂统一处理；参考环评手册中《常用污水处理设备及去除率》，隔油+化粪池对生活污水的处理效率一般为COD：40%、BOD</w:t>
            </w:r>
            <w:r>
              <w:rPr>
                <w:rFonts w:hint="eastAsia"/>
                <w:color w:val="000000" w:themeColor="text1"/>
                <w:sz w:val="24"/>
                <w:szCs w:val="32"/>
                <w:highlight w:val="none"/>
                <w:vertAlign w:val="subscript"/>
                <w:lang w:val="en-US" w:eastAsia="zh-CN"/>
                <w14:textFill>
                  <w14:solidFill>
                    <w14:schemeClr w14:val="tx1"/>
                  </w14:solidFill>
                </w14:textFill>
              </w:rPr>
              <w:t>5</w:t>
            </w:r>
            <w:r>
              <w:rPr>
                <w:rFonts w:hint="eastAsia"/>
                <w:color w:val="000000" w:themeColor="text1"/>
                <w:sz w:val="24"/>
                <w:szCs w:val="32"/>
                <w:highlight w:val="none"/>
                <w:lang w:val="en-US" w:eastAsia="zh-CN"/>
                <w14:textFill>
                  <w14:solidFill>
                    <w14:schemeClr w14:val="tx1"/>
                  </w14:solidFill>
                </w14:textFill>
              </w:rPr>
              <w:t>：20%、SS：30%、氨氮：10%。</w:t>
            </w:r>
          </w:p>
          <w:p w14:paraId="74789D35">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项目生活污水各污染物产生及排放源强情况见下表。由表可知，</w:t>
            </w:r>
            <w:r>
              <w:rPr>
                <w:rFonts w:hint="eastAsia"/>
                <w:color w:val="000000" w:themeColor="text1"/>
                <w:sz w:val="24"/>
                <w:szCs w:val="32"/>
                <w:highlight w:val="none"/>
                <w:lang w:val="en-US" w:eastAsia="zh-CN"/>
                <w14:textFill>
                  <w14:solidFill>
                    <w14:schemeClr w14:val="tx1"/>
                  </w14:solidFill>
                </w14:textFill>
              </w:rPr>
              <w:t>生活污水经隔油+化粪池处理也能满足大学城污水处理厂进水水质标准。</w:t>
            </w:r>
          </w:p>
          <w:p w14:paraId="065B0DC7">
            <w:pPr>
              <w:spacing w:line="360" w:lineRule="auto"/>
              <w:jc w:val="center"/>
              <w:rPr>
                <w:rFonts w:ascii="宋体" w:cs="宋体"/>
                <w:b/>
                <w:bCs w:val="0"/>
                <w:color w:val="000000" w:themeColor="text1"/>
                <w:kern w:val="0"/>
                <w:sz w:val="24"/>
                <w:szCs w:val="24"/>
                <w:highlight w:val="none"/>
                <w14:textFill>
                  <w14:solidFill>
                    <w14:schemeClr w14:val="tx1"/>
                  </w14:solidFill>
                </w14:textFill>
              </w:rPr>
            </w:pPr>
            <w:r>
              <w:rPr>
                <w:rFonts w:hint="eastAsia" w:cs="宋体"/>
                <w:b/>
                <w:bCs w:val="0"/>
                <w:color w:val="000000" w:themeColor="text1"/>
                <w:sz w:val="24"/>
                <w:szCs w:val="24"/>
                <w:highlight w:val="none"/>
                <w14:textFill>
                  <w14:solidFill>
                    <w14:schemeClr w14:val="tx1"/>
                  </w14:solidFill>
                </w14:textFill>
              </w:rPr>
              <w:t xml:space="preserve">表 </w:t>
            </w:r>
            <w:r>
              <w:rPr>
                <w:b/>
                <w:bCs w:val="0"/>
                <w:color w:val="000000" w:themeColor="text1"/>
                <w:sz w:val="24"/>
                <w:szCs w:val="24"/>
                <w:highlight w:val="none"/>
                <w14:textFill>
                  <w14:solidFill>
                    <w14:schemeClr w14:val="tx1"/>
                  </w14:solidFill>
                </w14:textFill>
              </w:rPr>
              <w:t>4</w:t>
            </w:r>
            <w:r>
              <w:rPr>
                <w:rFonts w:hint="eastAsia"/>
                <w:b/>
                <w:bCs w:val="0"/>
                <w:color w:val="000000" w:themeColor="text1"/>
                <w:sz w:val="24"/>
                <w:szCs w:val="24"/>
                <w:highlight w:val="none"/>
                <w:lang w:val="en-US" w:eastAsia="zh-CN"/>
                <w14:textFill>
                  <w14:solidFill>
                    <w14:schemeClr w14:val="tx1"/>
                  </w14:solidFill>
                </w14:textFill>
              </w:rPr>
              <w:t>.2</w:t>
            </w:r>
            <w:r>
              <w:rPr>
                <w:b/>
                <w:bCs w:val="0"/>
                <w:color w:val="000000" w:themeColor="text1"/>
                <w:sz w:val="24"/>
                <w:szCs w:val="24"/>
                <w:highlight w:val="none"/>
                <w14:textFill>
                  <w14:solidFill>
                    <w14:schemeClr w14:val="tx1"/>
                  </w14:solidFill>
                </w14:textFill>
              </w:rPr>
              <w:t>-</w:t>
            </w:r>
            <w:r>
              <w:rPr>
                <w:rFonts w:hint="eastAsia"/>
                <w:b/>
                <w:bCs w:val="0"/>
                <w:color w:val="000000" w:themeColor="text1"/>
                <w:sz w:val="24"/>
                <w:szCs w:val="24"/>
                <w:highlight w:val="none"/>
                <w:lang w:val="en-US" w:eastAsia="zh-CN"/>
                <w14:textFill>
                  <w14:solidFill>
                    <w14:schemeClr w14:val="tx1"/>
                  </w14:solidFill>
                </w14:textFill>
              </w:rPr>
              <w:t>2</w:t>
            </w:r>
            <w:r>
              <w:rPr>
                <w:b/>
                <w:bCs w:val="0"/>
                <w:color w:val="000000" w:themeColor="text1"/>
                <w:sz w:val="24"/>
                <w:szCs w:val="24"/>
                <w:highlight w:val="none"/>
                <w14:textFill>
                  <w14:solidFill>
                    <w14:schemeClr w14:val="tx1"/>
                  </w14:solidFill>
                </w14:textFill>
              </w:rPr>
              <w:t xml:space="preserve">  </w:t>
            </w:r>
            <w:r>
              <w:rPr>
                <w:rFonts w:hint="eastAsia"/>
                <w:b/>
                <w:bCs w:val="0"/>
                <w:color w:val="000000" w:themeColor="text1"/>
                <w:sz w:val="24"/>
                <w:szCs w:val="24"/>
                <w:highlight w:val="none"/>
                <w:lang w:val="en-US" w:eastAsia="zh-CN"/>
                <w14:textFill>
                  <w14:solidFill>
                    <w14:schemeClr w14:val="tx1"/>
                  </w14:solidFill>
                </w14:textFill>
              </w:rPr>
              <w:t>本项目生活污水污染源产排情况</w:t>
            </w:r>
            <w:r>
              <w:rPr>
                <w:rFonts w:hint="eastAsia"/>
                <w:b/>
                <w:bCs w:val="0"/>
                <w:color w:val="000000" w:themeColor="text1"/>
                <w:sz w:val="24"/>
                <w:szCs w:val="24"/>
                <w:highlight w:val="none"/>
                <w14:textFill>
                  <w14:solidFill>
                    <w14:schemeClr w14:val="tx1"/>
                  </w14:solidFill>
                </w14:textFill>
              </w:rPr>
              <w:t>一览表</w:t>
            </w:r>
          </w:p>
          <w:tbl>
            <w:tblPr>
              <w:tblStyle w:val="31"/>
              <w:tblW w:w="81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7"/>
              <w:gridCol w:w="840"/>
              <w:gridCol w:w="960"/>
              <w:gridCol w:w="765"/>
              <w:gridCol w:w="645"/>
              <w:gridCol w:w="600"/>
              <w:gridCol w:w="825"/>
              <w:gridCol w:w="810"/>
              <w:gridCol w:w="868"/>
              <w:gridCol w:w="1223"/>
            </w:tblGrid>
            <w:tr w14:paraId="55706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1" w:hRule="atLeast"/>
              </w:trPr>
              <w:tc>
                <w:tcPr>
                  <w:tcW w:w="597" w:type="dxa"/>
                  <w:vMerge w:val="restart"/>
                  <w:shd w:val="clear" w:color="auto" w:fill="auto"/>
                  <w:vAlign w:val="center"/>
                </w:tcPr>
                <w:p w14:paraId="32FCC13B">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排放源名称</w:t>
                  </w:r>
                </w:p>
              </w:tc>
              <w:tc>
                <w:tcPr>
                  <w:tcW w:w="840" w:type="dxa"/>
                  <w:vMerge w:val="restart"/>
                  <w:shd w:val="clear" w:color="auto" w:fill="auto"/>
                  <w:vAlign w:val="center"/>
                </w:tcPr>
                <w:p w14:paraId="2F44DF6E">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污染物名称</w:t>
                  </w:r>
                </w:p>
              </w:tc>
              <w:tc>
                <w:tcPr>
                  <w:tcW w:w="1725" w:type="dxa"/>
                  <w:gridSpan w:val="2"/>
                  <w:shd w:val="clear" w:color="auto" w:fill="auto"/>
                  <w:vAlign w:val="center"/>
                </w:tcPr>
                <w:p w14:paraId="07B345AB">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产生情况</w:t>
                  </w:r>
                </w:p>
              </w:tc>
              <w:tc>
                <w:tcPr>
                  <w:tcW w:w="645" w:type="dxa"/>
                  <w:vMerge w:val="restart"/>
                  <w:shd w:val="clear" w:color="auto" w:fill="auto"/>
                  <w:vAlign w:val="center"/>
                </w:tcPr>
                <w:p w14:paraId="7B3B082B">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治理措施</w:t>
                  </w:r>
                </w:p>
              </w:tc>
              <w:tc>
                <w:tcPr>
                  <w:tcW w:w="600" w:type="dxa"/>
                  <w:vMerge w:val="restart"/>
                  <w:shd w:val="clear" w:color="auto" w:fill="auto"/>
                  <w:vAlign w:val="center"/>
                </w:tcPr>
                <w:p w14:paraId="1D3C2A82">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去除率%</w:t>
                  </w:r>
                </w:p>
              </w:tc>
              <w:tc>
                <w:tcPr>
                  <w:tcW w:w="1635" w:type="dxa"/>
                  <w:gridSpan w:val="2"/>
                  <w:shd w:val="clear" w:color="auto" w:fill="auto"/>
                  <w:vAlign w:val="center"/>
                </w:tcPr>
                <w:p w14:paraId="43AEEA69">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排放情况</w:t>
                  </w:r>
                </w:p>
              </w:tc>
              <w:tc>
                <w:tcPr>
                  <w:tcW w:w="868" w:type="dxa"/>
                  <w:vMerge w:val="restart"/>
                  <w:shd w:val="clear" w:color="auto" w:fill="auto"/>
                  <w:vAlign w:val="center"/>
                </w:tcPr>
                <w:p w14:paraId="113E1833">
                  <w:pPr>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排放去向</w:t>
                  </w:r>
                </w:p>
              </w:tc>
              <w:tc>
                <w:tcPr>
                  <w:tcW w:w="1223" w:type="dxa"/>
                  <w:vMerge w:val="restart"/>
                  <w:shd w:val="clear" w:color="auto" w:fill="auto"/>
                  <w:vAlign w:val="center"/>
                </w:tcPr>
                <w:p w14:paraId="6CDB5F2A">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排放标准</w:t>
                  </w:r>
                </w:p>
              </w:tc>
            </w:tr>
            <w:tr w14:paraId="2A5C8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1" w:hRule="atLeast"/>
              </w:trPr>
              <w:tc>
                <w:tcPr>
                  <w:tcW w:w="597" w:type="dxa"/>
                  <w:vMerge w:val="continue"/>
                  <w:shd w:val="clear" w:color="auto" w:fill="auto"/>
                  <w:vAlign w:val="center"/>
                </w:tcPr>
                <w:p w14:paraId="6E8718D7">
                  <w:pPr>
                    <w:jc w:val="center"/>
                    <w:rPr>
                      <w:rFonts w:hint="default" w:eastAsia="宋体"/>
                      <w:color w:val="000000" w:themeColor="text1"/>
                      <w:sz w:val="21"/>
                      <w:szCs w:val="21"/>
                      <w:highlight w:val="none"/>
                      <w:lang w:val="en-US" w:eastAsia="zh-CN"/>
                      <w14:textFill>
                        <w14:solidFill>
                          <w14:schemeClr w14:val="tx1"/>
                        </w14:solidFill>
                      </w14:textFill>
                    </w:rPr>
                  </w:pPr>
                </w:p>
              </w:tc>
              <w:tc>
                <w:tcPr>
                  <w:tcW w:w="840" w:type="dxa"/>
                  <w:vMerge w:val="continue"/>
                  <w:shd w:val="clear" w:color="auto" w:fill="auto"/>
                  <w:vAlign w:val="center"/>
                </w:tcPr>
                <w:p w14:paraId="425C4506">
                  <w:pPr>
                    <w:jc w:val="center"/>
                    <w:rPr>
                      <w:rFonts w:hint="default" w:eastAsia="宋体"/>
                      <w:color w:val="000000" w:themeColor="text1"/>
                      <w:sz w:val="21"/>
                      <w:szCs w:val="21"/>
                      <w:highlight w:val="none"/>
                      <w:lang w:val="en-US" w:eastAsia="zh-CN"/>
                      <w14:textFill>
                        <w14:solidFill>
                          <w14:schemeClr w14:val="tx1"/>
                        </w14:solidFill>
                      </w14:textFill>
                    </w:rPr>
                  </w:pPr>
                </w:p>
              </w:tc>
              <w:tc>
                <w:tcPr>
                  <w:tcW w:w="960" w:type="dxa"/>
                  <w:shd w:val="clear" w:color="auto" w:fill="auto"/>
                  <w:vAlign w:val="center"/>
                </w:tcPr>
                <w:p w14:paraId="27BF5FF9">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产生浓度mg/L</w:t>
                  </w:r>
                </w:p>
              </w:tc>
              <w:tc>
                <w:tcPr>
                  <w:tcW w:w="765" w:type="dxa"/>
                  <w:shd w:val="clear" w:color="auto" w:fill="auto"/>
                  <w:vAlign w:val="center"/>
                </w:tcPr>
                <w:p w14:paraId="52BE5BD0">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产生量t/a</w:t>
                  </w:r>
                </w:p>
              </w:tc>
              <w:tc>
                <w:tcPr>
                  <w:tcW w:w="645" w:type="dxa"/>
                  <w:vMerge w:val="continue"/>
                  <w:shd w:val="clear" w:color="auto" w:fill="auto"/>
                  <w:vAlign w:val="center"/>
                </w:tcPr>
                <w:p w14:paraId="09BB7EF9">
                  <w:pPr>
                    <w:jc w:val="center"/>
                    <w:rPr>
                      <w:color w:val="000000" w:themeColor="text1"/>
                      <w:sz w:val="21"/>
                      <w:szCs w:val="21"/>
                      <w:highlight w:val="none"/>
                      <w14:textFill>
                        <w14:solidFill>
                          <w14:schemeClr w14:val="tx1"/>
                        </w14:solidFill>
                      </w14:textFill>
                    </w:rPr>
                  </w:pPr>
                </w:p>
              </w:tc>
              <w:tc>
                <w:tcPr>
                  <w:tcW w:w="600" w:type="dxa"/>
                  <w:vMerge w:val="continue"/>
                  <w:shd w:val="clear" w:color="auto" w:fill="auto"/>
                  <w:vAlign w:val="center"/>
                </w:tcPr>
                <w:p w14:paraId="1C312633">
                  <w:pPr>
                    <w:jc w:val="center"/>
                    <w:rPr>
                      <w:color w:val="000000" w:themeColor="text1"/>
                      <w:sz w:val="21"/>
                      <w:szCs w:val="21"/>
                      <w:highlight w:val="none"/>
                      <w14:textFill>
                        <w14:solidFill>
                          <w14:schemeClr w14:val="tx1"/>
                        </w14:solidFill>
                      </w14:textFill>
                    </w:rPr>
                  </w:pPr>
                </w:p>
              </w:tc>
              <w:tc>
                <w:tcPr>
                  <w:tcW w:w="825" w:type="dxa"/>
                  <w:shd w:val="clear" w:color="auto" w:fill="auto"/>
                  <w:vAlign w:val="center"/>
                </w:tcPr>
                <w:p w14:paraId="652FF61C">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排放浓度mg/L</w:t>
                  </w:r>
                </w:p>
              </w:tc>
              <w:tc>
                <w:tcPr>
                  <w:tcW w:w="810" w:type="dxa"/>
                  <w:shd w:val="clear" w:color="auto" w:fill="auto"/>
                  <w:vAlign w:val="center"/>
                </w:tcPr>
                <w:p w14:paraId="1F5B4277">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排放量t/a</w:t>
                  </w:r>
                </w:p>
              </w:tc>
              <w:tc>
                <w:tcPr>
                  <w:tcW w:w="868" w:type="dxa"/>
                  <w:vMerge w:val="continue"/>
                  <w:shd w:val="clear" w:color="auto" w:fill="auto"/>
                  <w:vAlign w:val="center"/>
                </w:tcPr>
                <w:p w14:paraId="077603D6">
                  <w:pPr>
                    <w:jc w:val="center"/>
                    <w:rPr>
                      <w:rFonts w:hint="default" w:eastAsia="宋体"/>
                      <w:color w:val="000000" w:themeColor="text1"/>
                      <w:sz w:val="21"/>
                      <w:szCs w:val="21"/>
                      <w:highlight w:val="none"/>
                      <w:lang w:val="en-US" w:eastAsia="zh-CN"/>
                      <w14:textFill>
                        <w14:solidFill>
                          <w14:schemeClr w14:val="tx1"/>
                        </w14:solidFill>
                      </w14:textFill>
                    </w:rPr>
                  </w:pPr>
                </w:p>
              </w:tc>
              <w:tc>
                <w:tcPr>
                  <w:tcW w:w="1223" w:type="dxa"/>
                  <w:vMerge w:val="continue"/>
                  <w:shd w:val="clear" w:color="auto" w:fill="auto"/>
                  <w:vAlign w:val="center"/>
                </w:tcPr>
                <w:p w14:paraId="7CCCB2C1">
                  <w:pPr>
                    <w:jc w:val="center"/>
                    <w:rPr>
                      <w:rFonts w:hint="default" w:eastAsia="宋体"/>
                      <w:color w:val="000000" w:themeColor="text1"/>
                      <w:sz w:val="21"/>
                      <w:szCs w:val="21"/>
                      <w:highlight w:val="none"/>
                      <w:lang w:val="en-US" w:eastAsia="zh-CN"/>
                      <w14:textFill>
                        <w14:solidFill>
                          <w14:schemeClr w14:val="tx1"/>
                        </w14:solidFill>
                      </w14:textFill>
                    </w:rPr>
                  </w:pPr>
                </w:p>
              </w:tc>
            </w:tr>
            <w:tr w14:paraId="02B7B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597" w:type="dxa"/>
                  <w:vMerge w:val="restart"/>
                  <w:shd w:val="clear" w:color="auto" w:fill="auto"/>
                  <w:vAlign w:val="center"/>
                </w:tcPr>
                <w:p w14:paraId="6852742B">
                  <w:pPr>
                    <w:keepNext w:val="0"/>
                    <w:keepLines w:val="0"/>
                    <w:widowControl/>
                    <w:suppressLineNumbers w:val="0"/>
                    <w:jc w:val="center"/>
                    <w:textAlignment w:val="center"/>
                    <w:rPr>
                      <w:rFonts w:hint="default" w:eastAsia="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生活污水</w:t>
                  </w:r>
                </w:p>
              </w:tc>
              <w:tc>
                <w:tcPr>
                  <w:tcW w:w="840" w:type="dxa"/>
                  <w:shd w:val="clear" w:color="auto" w:fill="auto"/>
                  <w:vAlign w:val="center"/>
                </w:tcPr>
                <w:p w14:paraId="641A1F4A">
                  <w:pPr>
                    <w:keepNext w:val="0"/>
                    <w:keepLines w:val="0"/>
                    <w:widowControl/>
                    <w:suppressLineNumbers w:val="0"/>
                    <w:jc w:val="center"/>
                    <w:textAlignment w:val="center"/>
                    <w:rPr>
                      <w:rFonts w:hint="default" w:eastAsia="宋体"/>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pH</w:t>
                  </w:r>
                </w:p>
              </w:tc>
              <w:tc>
                <w:tcPr>
                  <w:tcW w:w="960" w:type="dxa"/>
                  <w:shd w:val="clear" w:color="auto" w:fill="auto"/>
                  <w:vAlign w:val="center"/>
                </w:tcPr>
                <w:p w14:paraId="1B50684B">
                  <w:pPr>
                    <w:keepNext w:val="0"/>
                    <w:keepLines w:val="0"/>
                    <w:widowControl/>
                    <w:suppressLineNumbers w:val="0"/>
                    <w:jc w:val="center"/>
                    <w:textAlignment w:val="center"/>
                    <w:rPr>
                      <w:rFonts w:hint="default"/>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6~9</w:t>
                  </w:r>
                </w:p>
              </w:tc>
              <w:tc>
                <w:tcPr>
                  <w:tcW w:w="765" w:type="dxa"/>
                  <w:shd w:val="clear" w:color="auto" w:fill="auto"/>
                  <w:vAlign w:val="center"/>
                </w:tcPr>
                <w:p w14:paraId="330333CF">
                  <w:pPr>
                    <w:keepNext w:val="0"/>
                    <w:keepLines w:val="0"/>
                    <w:widowControl/>
                    <w:suppressLineNumbers w:val="0"/>
                    <w:jc w:val="center"/>
                    <w:textAlignment w:val="center"/>
                    <w:rPr>
                      <w:rFonts w:hint="eastAsia" w:eastAsia="宋体"/>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645" w:type="dxa"/>
                  <w:vMerge w:val="restart"/>
                  <w:shd w:val="clear" w:color="auto" w:fill="auto"/>
                  <w:vAlign w:val="center"/>
                </w:tcPr>
                <w:p w14:paraId="7A383C99">
                  <w:pPr>
                    <w:keepNext w:val="0"/>
                    <w:keepLines w:val="0"/>
                    <w:widowControl/>
                    <w:suppressLineNumbers w:val="0"/>
                    <w:jc w:val="center"/>
                    <w:textAlignment w:val="center"/>
                    <w:rPr>
                      <w:rFonts w:hint="default" w:eastAsia="宋体"/>
                      <w:color w:val="000000" w:themeColor="text1"/>
                      <w:sz w:val="21"/>
                      <w:szCs w:val="21"/>
                      <w:highlight w:val="none"/>
                      <w:lang w:val="en-US" w:eastAsia="zh-CN"/>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隔油+</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化粪池</w:t>
                  </w:r>
                </w:p>
              </w:tc>
              <w:tc>
                <w:tcPr>
                  <w:tcW w:w="600" w:type="dxa"/>
                  <w:shd w:val="clear" w:color="auto" w:fill="auto"/>
                  <w:vAlign w:val="center"/>
                </w:tcPr>
                <w:p w14:paraId="0D7CE95B">
                  <w:pPr>
                    <w:keepNext w:val="0"/>
                    <w:keepLines w:val="0"/>
                    <w:widowControl/>
                    <w:suppressLineNumbers w:val="0"/>
                    <w:jc w:val="center"/>
                    <w:textAlignment w:val="center"/>
                    <w:rPr>
                      <w:rFonts w:hint="default" w:eastAsia="宋体"/>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825" w:type="dxa"/>
                  <w:shd w:val="clear" w:color="auto" w:fill="auto"/>
                  <w:vAlign w:val="center"/>
                </w:tcPr>
                <w:p w14:paraId="6813425A">
                  <w:pPr>
                    <w:keepNext w:val="0"/>
                    <w:keepLines w:val="0"/>
                    <w:widowControl/>
                    <w:suppressLineNumbers w:val="0"/>
                    <w:jc w:val="center"/>
                    <w:textAlignment w:val="center"/>
                    <w:rPr>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810" w:type="dxa"/>
                  <w:shd w:val="clear" w:color="auto" w:fill="auto"/>
                  <w:vAlign w:val="center"/>
                </w:tcPr>
                <w:p w14:paraId="440B6AC1">
                  <w:pPr>
                    <w:keepNext w:val="0"/>
                    <w:keepLines w:val="0"/>
                    <w:widowControl/>
                    <w:suppressLineNumbers w:val="0"/>
                    <w:jc w:val="center"/>
                    <w:textAlignment w:val="center"/>
                    <w:rPr>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868" w:type="dxa"/>
                  <w:vMerge w:val="restart"/>
                  <w:shd w:val="clear" w:color="auto" w:fill="auto"/>
                  <w:vAlign w:val="center"/>
                </w:tcPr>
                <w:p w14:paraId="7FDE56A8">
                  <w:pPr>
                    <w:jc w:val="center"/>
                    <w:rPr>
                      <w:rFonts w:hint="default" w:eastAsia="宋体"/>
                      <w:color w:val="000000" w:themeColor="text1"/>
                      <w:sz w:val="21"/>
                      <w:szCs w:val="21"/>
                      <w:highlight w:val="none"/>
                      <w:lang w:val="en-US" w:eastAsia="zh-CN"/>
                      <w14:textFill>
                        <w14:solidFill>
                          <w14:schemeClr w14:val="tx1"/>
                        </w14:solidFill>
                      </w14:textFill>
                    </w:rPr>
                  </w:pPr>
                  <w:r>
                    <w:rPr>
                      <w:rFonts w:hint="default" w:eastAsia="宋体"/>
                      <w:color w:val="000000" w:themeColor="text1"/>
                      <w:sz w:val="21"/>
                      <w:szCs w:val="21"/>
                      <w:highlight w:val="none"/>
                      <w:lang w:val="en-US" w:eastAsia="zh-CN"/>
                      <w14:textFill>
                        <w14:solidFill>
                          <w14:schemeClr w14:val="tx1"/>
                        </w14:solidFill>
                      </w14:textFill>
                    </w:rPr>
                    <w:t>福州大学城污水处理厂</w:t>
                  </w:r>
                </w:p>
              </w:tc>
              <w:tc>
                <w:tcPr>
                  <w:tcW w:w="1223" w:type="dxa"/>
                  <w:vMerge w:val="restart"/>
                  <w:shd w:val="clear" w:color="auto" w:fill="auto"/>
                  <w:vAlign w:val="center"/>
                </w:tcPr>
                <w:p w14:paraId="4A66365E">
                  <w:pPr>
                    <w:jc w:val="center"/>
                    <w:rPr>
                      <w:rFonts w:hint="default" w:eastAsia="宋体"/>
                      <w:color w:val="000000" w:themeColor="text1"/>
                      <w:sz w:val="21"/>
                      <w:szCs w:val="21"/>
                      <w:highlight w:val="none"/>
                      <w:lang w:val="en-US" w:eastAsia="zh-CN"/>
                      <w14:textFill>
                        <w14:solidFill>
                          <w14:schemeClr w14:val="tx1"/>
                        </w14:solidFill>
                      </w14:textFill>
                    </w:rPr>
                  </w:pPr>
                  <w:r>
                    <w:rPr>
                      <w:rFonts w:hint="default" w:eastAsia="宋体"/>
                      <w:color w:val="000000" w:themeColor="text1"/>
                      <w:sz w:val="21"/>
                      <w:szCs w:val="21"/>
                      <w:highlight w:val="none"/>
                      <w:lang w:val="en-US" w:eastAsia="zh-CN"/>
                      <w14:textFill>
                        <w14:solidFill>
                          <w14:schemeClr w14:val="tx1"/>
                        </w14:solidFill>
                      </w14:textFill>
                    </w:rPr>
                    <w:t>《城镇污水处理厂污染物排放标准》(GB18918-2002)及其修改单表1中一级A标准</w:t>
                  </w:r>
                </w:p>
              </w:tc>
            </w:tr>
            <w:tr w14:paraId="3B3E0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597" w:type="dxa"/>
                  <w:vMerge w:val="continue"/>
                  <w:shd w:val="clear" w:color="auto" w:fill="auto"/>
                  <w:vAlign w:val="center"/>
                </w:tcPr>
                <w:p w14:paraId="52820B9D">
                  <w:pPr>
                    <w:jc w:val="center"/>
                    <w:rPr>
                      <w:rFonts w:hint="eastAsia"/>
                      <w:color w:val="000000" w:themeColor="text1"/>
                      <w:sz w:val="21"/>
                      <w:szCs w:val="21"/>
                      <w:highlight w:val="none"/>
                      <w:lang w:val="en-US" w:eastAsia="zh-CN"/>
                      <w14:textFill>
                        <w14:solidFill>
                          <w14:schemeClr w14:val="tx1"/>
                        </w14:solidFill>
                      </w14:textFill>
                    </w:rPr>
                  </w:pPr>
                </w:p>
              </w:tc>
              <w:tc>
                <w:tcPr>
                  <w:tcW w:w="840" w:type="dxa"/>
                  <w:shd w:val="clear" w:color="auto" w:fill="auto"/>
                  <w:vAlign w:val="center"/>
                </w:tcPr>
                <w:p w14:paraId="34D5CA5D">
                  <w:pPr>
                    <w:keepNext w:val="0"/>
                    <w:keepLines w:val="0"/>
                    <w:widowControl/>
                    <w:suppressLineNumbers w:val="0"/>
                    <w:jc w:val="center"/>
                    <w:textAlignment w:val="center"/>
                    <w:rPr>
                      <w:rFonts w:hint="eastAsia"/>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CODcr</w:t>
                  </w:r>
                </w:p>
              </w:tc>
              <w:tc>
                <w:tcPr>
                  <w:tcW w:w="960" w:type="dxa"/>
                  <w:shd w:val="clear" w:color="auto" w:fill="auto"/>
                  <w:vAlign w:val="center"/>
                </w:tcPr>
                <w:p w14:paraId="4C9EEB1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400</w:t>
                  </w:r>
                </w:p>
              </w:tc>
              <w:tc>
                <w:tcPr>
                  <w:tcW w:w="765" w:type="dxa"/>
                  <w:shd w:val="clear" w:color="auto" w:fill="auto"/>
                  <w:vAlign w:val="center"/>
                </w:tcPr>
                <w:p w14:paraId="58E92EF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0.6750 </w:t>
                  </w:r>
                </w:p>
              </w:tc>
              <w:tc>
                <w:tcPr>
                  <w:tcW w:w="645" w:type="dxa"/>
                  <w:vMerge w:val="continue"/>
                  <w:shd w:val="clear" w:color="auto" w:fill="auto"/>
                  <w:vAlign w:val="center"/>
                </w:tcPr>
                <w:p w14:paraId="487828F5">
                  <w:pPr>
                    <w:jc w:val="center"/>
                    <w:rPr>
                      <w:rFonts w:hint="eastAsia"/>
                      <w:color w:val="000000" w:themeColor="text1"/>
                      <w:sz w:val="21"/>
                      <w:szCs w:val="21"/>
                      <w:highlight w:val="none"/>
                      <w14:textFill>
                        <w14:solidFill>
                          <w14:schemeClr w14:val="tx1"/>
                        </w14:solidFill>
                      </w14:textFill>
                    </w:rPr>
                  </w:pPr>
                </w:p>
              </w:tc>
              <w:tc>
                <w:tcPr>
                  <w:tcW w:w="600" w:type="dxa"/>
                  <w:shd w:val="clear" w:color="auto" w:fill="auto"/>
                  <w:vAlign w:val="center"/>
                </w:tcPr>
                <w:p w14:paraId="442FDF5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40%</w:t>
                  </w:r>
                </w:p>
              </w:tc>
              <w:tc>
                <w:tcPr>
                  <w:tcW w:w="825" w:type="dxa"/>
                  <w:shd w:val="clear" w:color="auto" w:fill="auto"/>
                  <w:vAlign w:val="center"/>
                </w:tcPr>
                <w:p w14:paraId="0ED7A78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240</w:t>
                  </w:r>
                </w:p>
              </w:tc>
              <w:tc>
                <w:tcPr>
                  <w:tcW w:w="810" w:type="dxa"/>
                  <w:shd w:val="clear" w:color="auto" w:fill="auto"/>
                  <w:vAlign w:val="center"/>
                </w:tcPr>
                <w:p w14:paraId="6E8A6AD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0.4050 </w:t>
                  </w:r>
                </w:p>
              </w:tc>
              <w:tc>
                <w:tcPr>
                  <w:tcW w:w="868" w:type="dxa"/>
                  <w:vMerge w:val="continue"/>
                  <w:shd w:val="clear" w:color="auto" w:fill="auto"/>
                  <w:vAlign w:val="center"/>
                </w:tcPr>
                <w:p w14:paraId="6A6FA1AF">
                  <w:pPr>
                    <w:jc w:val="center"/>
                    <w:rPr>
                      <w:rFonts w:hint="eastAsia"/>
                      <w:color w:val="000000" w:themeColor="text1"/>
                      <w:sz w:val="21"/>
                      <w:szCs w:val="21"/>
                      <w:highlight w:val="none"/>
                      <w:lang w:val="en-US" w:eastAsia="zh-CN"/>
                      <w14:textFill>
                        <w14:solidFill>
                          <w14:schemeClr w14:val="tx1"/>
                        </w14:solidFill>
                      </w14:textFill>
                    </w:rPr>
                  </w:pPr>
                </w:p>
              </w:tc>
              <w:tc>
                <w:tcPr>
                  <w:tcW w:w="1223" w:type="dxa"/>
                  <w:vMerge w:val="continue"/>
                  <w:shd w:val="clear" w:color="auto" w:fill="auto"/>
                  <w:vAlign w:val="center"/>
                </w:tcPr>
                <w:p w14:paraId="69252CE2">
                  <w:pPr>
                    <w:jc w:val="center"/>
                    <w:rPr>
                      <w:rFonts w:hint="eastAsia"/>
                      <w:color w:val="000000" w:themeColor="text1"/>
                      <w:sz w:val="21"/>
                      <w:szCs w:val="21"/>
                      <w:highlight w:val="none"/>
                      <w:lang w:val="en-US" w:eastAsia="zh-CN"/>
                      <w14:textFill>
                        <w14:solidFill>
                          <w14:schemeClr w14:val="tx1"/>
                        </w14:solidFill>
                      </w14:textFill>
                    </w:rPr>
                  </w:pPr>
                </w:p>
              </w:tc>
            </w:tr>
            <w:tr w14:paraId="391FC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597" w:type="dxa"/>
                  <w:vMerge w:val="continue"/>
                  <w:shd w:val="clear" w:color="auto" w:fill="auto"/>
                  <w:vAlign w:val="center"/>
                </w:tcPr>
                <w:p w14:paraId="6B20E8CF">
                  <w:pPr>
                    <w:jc w:val="center"/>
                    <w:rPr>
                      <w:rFonts w:hint="eastAsia"/>
                      <w:color w:val="000000" w:themeColor="text1"/>
                      <w:sz w:val="21"/>
                      <w:szCs w:val="21"/>
                      <w:highlight w:val="none"/>
                      <w:lang w:val="en-US" w:eastAsia="zh-CN"/>
                      <w14:textFill>
                        <w14:solidFill>
                          <w14:schemeClr w14:val="tx1"/>
                        </w14:solidFill>
                      </w14:textFill>
                    </w:rPr>
                  </w:pPr>
                </w:p>
              </w:tc>
              <w:tc>
                <w:tcPr>
                  <w:tcW w:w="840" w:type="dxa"/>
                  <w:shd w:val="clear" w:color="auto" w:fill="auto"/>
                  <w:vAlign w:val="center"/>
                </w:tcPr>
                <w:p w14:paraId="7263D7EB">
                  <w:pPr>
                    <w:keepNext w:val="0"/>
                    <w:keepLines w:val="0"/>
                    <w:widowControl/>
                    <w:suppressLineNumbers w:val="0"/>
                    <w:jc w:val="center"/>
                    <w:textAlignment w:val="center"/>
                    <w:rPr>
                      <w:rFonts w:hint="eastAsia"/>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BOD</w:t>
                  </w:r>
                  <w:r>
                    <w:rPr>
                      <w:rFonts w:hint="default" w:ascii="Times New Roman" w:hAnsi="Times New Roman" w:eastAsia="宋体" w:cs="Times New Roman"/>
                      <w:i w:val="0"/>
                      <w:iCs w:val="0"/>
                      <w:color w:val="000000" w:themeColor="text1"/>
                      <w:kern w:val="0"/>
                      <w:sz w:val="21"/>
                      <w:szCs w:val="21"/>
                      <w:highlight w:val="none"/>
                      <w:u w:val="none"/>
                      <w:vertAlign w:val="subscript"/>
                      <w:lang w:val="en-US" w:eastAsia="zh-CN" w:bidi="ar"/>
                      <w14:textFill>
                        <w14:solidFill>
                          <w14:schemeClr w14:val="tx1"/>
                        </w14:solidFill>
                      </w14:textFill>
                    </w:rPr>
                    <w:t>5</w:t>
                  </w:r>
                </w:p>
              </w:tc>
              <w:tc>
                <w:tcPr>
                  <w:tcW w:w="960" w:type="dxa"/>
                  <w:shd w:val="clear" w:color="auto" w:fill="auto"/>
                  <w:vAlign w:val="center"/>
                </w:tcPr>
                <w:p w14:paraId="1E392AE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150</w:t>
                  </w:r>
                </w:p>
              </w:tc>
              <w:tc>
                <w:tcPr>
                  <w:tcW w:w="765" w:type="dxa"/>
                  <w:shd w:val="clear" w:color="auto" w:fill="auto"/>
                  <w:vAlign w:val="center"/>
                </w:tcPr>
                <w:p w14:paraId="087872A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0.2531 </w:t>
                  </w:r>
                </w:p>
              </w:tc>
              <w:tc>
                <w:tcPr>
                  <w:tcW w:w="645" w:type="dxa"/>
                  <w:vMerge w:val="continue"/>
                  <w:shd w:val="clear" w:color="auto" w:fill="auto"/>
                  <w:vAlign w:val="center"/>
                </w:tcPr>
                <w:p w14:paraId="632347AF">
                  <w:pPr>
                    <w:jc w:val="center"/>
                    <w:rPr>
                      <w:rFonts w:hint="eastAsia"/>
                      <w:color w:val="000000" w:themeColor="text1"/>
                      <w:sz w:val="21"/>
                      <w:szCs w:val="21"/>
                      <w:highlight w:val="none"/>
                      <w14:textFill>
                        <w14:solidFill>
                          <w14:schemeClr w14:val="tx1"/>
                        </w14:solidFill>
                      </w14:textFill>
                    </w:rPr>
                  </w:pPr>
                </w:p>
              </w:tc>
              <w:tc>
                <w:tcPr>
                  <w:tcW w:w="600" w:type="dxa"/>
                  <w:shd w:val="clear" w:color="auto" w:fill="auto"/>
                  <w:vAlign w:val="center"/>
                </w:tcPr>
                <w:p w14:paraId="18360C1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w:t>
                  </w:r>
                </w:p>
              </w:tc>
              <w:tc>
                <w:tcPr>
                  <w:tcW w:w="825" w:type="dxa"/>
                  <w:shd w:val="clear" w:color="auto" w:fill="auto"/>
                  <w:vAlign w:val="center"/>
                </w:tcPr>
                <w:p w14:paraId="6B53624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120</w:t>
                  </w:r>
                </w:p>
              </w:tc>
              <w:tc>
                <w:tcPr>
                  <w:tcW w:w="810" w:type="dxa"/>
                  <w:shd w:val="clear" w:color="auto" w:fill="auto"/>
                  <w:vAlign w:val="center"/>
                </w:tcPr>
                <w:p w14:paraId="3E89913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0.2025 </w:t>
                  </w:r>
                </w:p>
              </w:tc>
              <w:tc>
                <w:tcPr>
                  <w:tcW w:w="868" w:type="dxa"/>
                  <w:vMerge w:val="continue"/>
                  <w:shd w:val="clear" w:color="auto" w:fill="auto"/>
                  <w:vAlign w:val="center"/>
                </w:tcPr>
                <w:p w14:paraId="5117ACEE">
                  <w:pPr>
                    <w:jc w:val="center"/>
                    <w:rPr>
                      <w:rFonts w:hint="eastAsia"/>
                      <w:color w:val="000000" w:themeColor="text1"/>
                      <w:sz w:val="21"/>
                      <w:szCs w:val="21"/>
                      <w:highlight w:val="none"/>
                      <w:lang w:val="en-US" w:eastAsia="zh-CN"/>
                      <w14:textFill>
                        <w14:solidFill>
                          <w14:schemeClr w14:val="tx1"/>
                        </w14:solidFill>
                      </w14:textFill>
                    </w:rPr>
                  </w:pPr>
                </w:p>
              </w:tc>
              <w:tc>
                <w:tcPr>
                  <w:tcW w:w="1223" w:type="dxa"/>
                  <w:vMerge w:val="continue"/>
                  <w:shd w:val="clear" w:color="auto" w:fill="auto"/>
                  <w:vAlign w:val="center"/>
                </w:tcPr>
                <w:p w14:paraId="2CFA08AF">
                  <w:pPr>
                    <w:jc w:val="center"/>
                    <w:rPr>
                      <w:rFonts w:hint="eastAsia"/>
                      <w:color w:val="000000" w:themeColor="text1"/>
                      <w:sz w:val="21"/>
                      <w:szCs w:val="21"/>
                      <w:highlight w:val="none"/>
                      <w:lang w:val="en-US" w:eastAsia="zh-CN"/>
                      <w14:textFill>
                        <w14:solidFill>
                          <w14:schemeClr w14:val="tx1"/>
                        </w14:solidFill>
                      </w14:textFill>
                    </w:rPr>
                  </w:pPr>
                </w:p>
              </w:tc>
            </w:tr>
            <w:tr w14:paraId="72003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597" w:type="dxa"/>
                  <w:vMerge w:val="continue"/>
                  <w:shd w:val="clear" w:color="auto" w:fill="auto"/>
                  <w:vAlign w:val="center"/>
                </w:tcPr>
                <w:p w14:paraId="3094535F">
                  <w:pPr>
                    <w:jc w:val="center"/>
                    <w:rPr>
                      <w:rFonts w:hint="eastAsia"/>
                      <w:color w:val="000000" w:themeColor="text1"/>
                      <w:sz w:val="21"/>
                      <w:szCs w:val="21"/>
                      <w:highlight w:val="none"/>
                      <w:lang w:val="en-US" w:eastAsia="zh-CN"/>
                      <w14:textFill>
                        <w14:solidFill>
                          <w14:schemeClr w14:val="tx1"/>
                        </w14:solidFill>
                      </w14:textFill>
                    </w:rPr>
                  </w:pPr>
                </w:p>
              </w:tc>
              <w:tc>
                <w:tcPr>
                  <w:tcW w:w="840" w:type="dxa"/>
                  <w:shd w:val="clear" w:color="auto" w:fill="auto"/>
                  <w:vAlign w:val="center"/>
                </w:tcPr>
                <w:p w14:paraId="0BFE22A7">
                  <w:pPr>
                    <w:keepNext w:val="0"/>
                    <w:keepLines w:val="0"/>
                    <w:widowControl/>
                    <w:suppressLineNumbers w:val="0"/>
                    <w:jc w:val="center"/>
                    <w:textAlignment w:val="center"/>
                    <w:rPr>
                      <w:rFonts w:hint="eastAsia"/>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SS</w:t>
                  </w:r>
                </w:p>
              </w:tc>
              <w:tc>
                <w:tcPr>
                  <w:tcW w:w="960" w:type="dxa"/>
                  <w:shd w:val="clear" w:color="auto" w:fill="auto"/>
                  <w:vAlign w:val="center"/>
                </w:tcPr>
                <w:p w14:paraId="22389B6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200</w:t>
                  </w:r>
                </w:p>
              </w:tc>
              <w:tc>
                <w:tcPr>
                  <w:tcW w:w="765" w:type="dxa"/>
                  <w:shd w:val="clear" w:color="auto" w:fill="auto"/>
                  <w:vAlign w:val="center"/>
                </w:tcPr>
                <w:p w14:paraId="5155550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0.3375 </w:t>
                  </w:r>
                </w:p>
              </w:tc>
              <w:tc>
                <w:tcPr>
                  <w:tcW w:w="645" w:type="dxa"/>
                  <w:vMerge w:val="continue"/>
                  <w:shd w:val="clear" w:color="auto" w:fill="auto"/>
                  <w:vAlign w:val="center"/>
                </w:tcPr>
                <w:p w14:paraId="2B859F44">
                  <w:pPr>
                    <w:jc w:val="center"/>
                    <w:rPr>
                      <w:rFonts w:hint="eastAsia"/>
                      <w:color w:val="000000" w:themeColor="text1"/>
                      <w:sz w:val="21"/>
                      <w:szCs w:val="21"/>
                      <w:highlight w:val="none"/>
                      <w14:textFill>
                        <w14:solidFill>
                          <w14:schemeClr w14:val="tx1"/>
                        </w14:solidFill>
                      </w14:textFill>
                    </w:rPr>
                  </w:pPr>
                </w:p>
              </w:tc>
              <w:tc>
                <w:tcPr>
                  <w:tcW w:w="600" w:type="dxa"/>
                  <w:shd w:val="clear" w:color="auto" w:fill="auto"/>
                  <w:vAlign w:val="center"/>
                </w:tcPr>
                <w:p w14:paraId="07A5BCB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30%</w:t>
                  </w:r>
                </w:p>
              </w:tc>
              <w:tc>
                <w:tcPr>
                  <w:tcW w:w="825" w:type="dxa"/>
                  <w:shd w:val="clear" w:color="auto" w:fill="auto"/>
                  <w:vAlign w:val="center"/>
                </w:tcPr>
                <w:p w14:paraId="245BE6A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140</w:t>
                  </w:r>
                </w:p>
              </w:tc>
              <w:tc>
                <w:tcPr>
                  <w:tcW w:w="810" w:type="dxa"/>
                  <w:shd w:val="clear" w:color="auto" w:fill="auto"/>
                  <w:vAlign w:val="center"/>
                </w:tcPr>
                <w:p w14:paraId="40D5DE4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0.2363 </w:t>
                  </w:r>
                </w:p>
              </w:tc>
              <w:tc>
                <w:tcPr>
                  <w:tcW w:w="868" w:type="dxa"/>
                  <w:vMerge w:val="continue"/>
                  <w:shd w:val="clear" w:color="auto" w:fill="auto"/>
                  <w:vAlign w:val="center"/>
                </w:tcPr>
                <w:p w14:paraId="39F6E124">
                  <w:pPr>
                    <w:jc w:val="center"/>
                    <w:rPr>
                      <w:rFonts w:hint="eastAsia"/>
                      <w:color w:val="000000" w:themeColor="text1"/>
                      <w:sz w:val="21"/>
                      <w:szCs w:val="21"/>
                      <w:highlight w:val="none"/>
                      <w:lang w:val="en-US" w:eastAsia="zh-CN"/>
                      <w14:textFill>
                        <w14:solidFill>
                          <w14:schemeClr w14:val="tx1"/>
                        </w14:solidFill>
                      </w14:textFill>
                    </w:rPr>
                  </w:pPr>
                </w:p>
              </w:tc>
              <w:tc>
                <w:tcPr>
                  <w:tcW w:w="1223" w:type="dxa"/>
                  <w:vMerge w:val="continue"/>
                  <w:shd w:val="clear" w:color="auto" w:fill="auto"/>
                  <w:vAlign w:val="center"/>
                </w:tcPr>
                <w:p w14:paraId="7ECFA754">
                  <w:pPr>
                    <w:jc w:val="center"/>
                    <w:rPr>
                      <w:rFonts w:hint="eastAsia"/>
                      <w:color w:val="000000" w:themeColor="text1"/>
                      <w:sz w:val="21"/>
                      <w:szCs w:val="21"/>
                      <w:highlight w:val="none"/>
                      <w:lang w:val="en-US" w:eastAsia="zh-CN"/>
                      <w14:textFill>
                        <w14:solidFill>
                          <w14:schemeClr w14:val="tx1"/>
                        </w14:solidFill>
                      </w14:textFill>
                    </w:rPr>
                  </w:pPr>
                </w:p>
              </w:tc>
            </w:tr>
            <w:tr w14:paraId="56A05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597" w:type="dxa"/>
                  <w:vMerge w:val="continue"/>
                  <w:shd w:val="clear" w:color="auto" w:fill="auto"/>
                  <w:vAlign w:val="center"/>
                </w:tcPr>
                <w:p w14:paraId="6D18A6BD">
                  <w:pPr>
                    <w:jc w:val="center"/>
                    <w:rPr>
                      <w:rFonts w:hint="eastAsia"/>
                      <w:color w:val="000000" w:themeColor="text1"/>
                      <w:sz w:val="21"/>
                      <w:szCs w:val="21"/>
                      <w:highlight w:val="none"/>
                      <w:lang w:val="en-US" w:eastAsia="zh-CN"/>
                      <w14:textFill>
                        <w14:solidFill>
                          <w14:schemeClr w14:val="tx1"/>
                        </w14:solidFill>
                      </w14:textFill>
                    </w:rPr>
                  </w:pPr>
                </w:p>
              </w:tc>
              <w:tc>
                <w:tcPr>
                  <w:tcW w:w="840" w:type="dxa"/>
                  <w:shd w:val="clear" w:color="auto" w:fill="auto"/>
                  <w:vAlign w:val="center"/>
                </w:tcPr>
                <w:p w14:paraId="0AD11596">
                  <w:pPr>
                    <w:keepNext w:val="0"/>
                    <w:keepLines w:val="0"/>
                    <w:widowControl/>
                    <w:suppressLineNumbers w:val="0"/>
                    <w:jc w:val="center"/>
                    <w:textAlignment w:val="center"/>
                    <w:rPr>
                      <w:rFonts w:hint="eastAsia" w:cs="宋体"/>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NH</w:t>
                  </w:r>
                  <w:r>
                    <w:rPr>
                      <w:rFonts w:hint="default" w:ascii="Times New Roman" w:hAnsi="Times New Roman" w:eastAsia="宋体" w:cs="Times New Roman"/>
                      <w:i w:val="0"/>
                      <w:iCs w:val="0"/>
                      <w:color w:val="000000" w:themeColor="text1"/>
                      <w:kern w:val="0"/>
                      <w:sz w:val="21"/>
                      <w:szCs w:val="21"/>
                      <w:highlight w:val="none"/>
                      <w:u w:val="none"/>
                      <w:vertAlign w:val="subscript"/>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-N</w:t>
                  </w:r>
                </w:p>
              </w:tc>
              <w:tc>
                <w:tcPr>
                  <w:tcW w:w="960" w:type="dxa"/>
                  <w:shd w:val="clear" w:color="auto" w:fill="auto"/>
                  <w:vAlign w:val="center"/>
                </w:tcPr>
                <w:p w14:paraId="6B7F031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25</w:t>
                  </w:r>
                </w:p>
              </w:tc>
              <w:tc>
                <w:tcPr>
                  <w:tcW w:w="765" w:type="dxa"/>
                  <w:shd w:val="clear" w:color="auto" w:fill="auto"/>
                  <w:vAlign w:val="center"/>
                </w:tcPr>
                <w:p w14:paraId="0C8A144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0.0422 </w:t>
                  </w:r>
                </w:p>
              </w:tc>
              <w:tc>
                <w:tcPr>
                  <w:tcW w:w="645" w:type="dxa"/>
                  <w:vMerge w:val="continue"/>
                  <w:shd w:val="clear" w:color="auto" w:fill="auto"/>
                  <w:vAlign w:val="center"/>
                </w:tcPr>
                <w:p w14:paraId="203588F5">
                  <w:pPr>
                    <w:jc w:val="center"/>
                    <w:rPr>
                      <w:rFonts w:hint="eastAsia"/>
                      <w:color w:val="000000" w:themeColor="text1"/>
                      <w:sz w:val="21"/>
                      <w:szCs w:val="21"/>
                      <w:highlight w:val="none"/>
                      <w14:textFill>
                        <w14:solidFill>
                          <w14:schemeClr w14:val="tx1"/>
                        </w14:solidFill>
                      </w14:textFill>
                    </w:rPr>
                  </w:pPr>
                </w:p>
              </w:tc>
              <w:tc>
                <w:tcPr>
                  <w:tcW w:w="600" w:type="dxa"/>
                  <w:shd w:val="clear" w:color="auto" w:fill="auto"/>
                  <w:vAlign w:val="center"/>
                </w:tcPr>
                <w:p w14:paraId="0C839DB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10%</w:t>
                  </w:r>
                </w:p>
              </w:tc>
              <w:tc>
                <w:tcPr>
                  <w:tcW w:w="825" w:type="dxa"/>
                  <w:shd w:val="clear" w:color="auto" w:fill="auto"/>
                  <w:vAlign w:val="center"/>
                </w:tcPr>
                <w:p w14:paraId="456C98C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22.5</w:t>
                  </w:r>
                </w:p>
              </w:tc>
              <w:tc>
                <w:tcPr>
                  <w:tcW w:w="810" w:type="dxa"/>
                  <w:shd w:val="clear" w:color="auto" w:fill="auto"/>
                  <w:vAlign w:val="center"/>
                </w:tcPr>
                <w:p w14:paraId="4B1798C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0.0380 </w:t>
                  </w:r>
                </w:p>
              </w:tc>
              <w:tc>
                <w:tcPr>
                  <w:tcW w:w="868" w:type="dxa"/>
                  <w:vMerge w:val="continue"/>
                  <w:shd w:val="clear" w:color="auto" w:fill="auto"/>
                  <w:vAlign w:val="center"/>
                </w:tcPr>
                <w:p w14:paraId="732137C6">
                  <w:pPr>
                    <w:jc w:val="center"/>
                    <w:rPr>
                      <w:rFonts w:hint="eastAsia"/>
                      <w:color w:val="000000" w:themeColor="text1"/>
                      <w:sz w:val="21"/>
                      <w:szCs w:val="21"/>
                      <w:highlight w:val="none"/>
                      <w:lang w:val="en-US" w:eastAsia="zh-CN"/>
                      <w14:textFill>
                        <w14:solidFill>
                          <w14:schemeClr w14:val="tx1"/>
                        </w14:solidFill>
                      </w14:textFill>
                    </w:rPr>
                  </w:pPr>
                </w:p>
              </w:tc>
              <w:tc>
                <w:tcPr>
                  <w:tcW w:w="1223" w:type="dxa"/>
                  <w:vMerge w:val="continue"/>
                  <w:shd w:val="clear" w:color="auto" w:fill="auto"/>
                  <w:vAlign w:val="center"/>
                </w:tcPr>
                <w:p w14:paraId="1AAE6E3A">
                  <w:pPr>
                    <w:jc w:val="center"/>
                    <w:rPr>
                      <w:rFonts w:hint="eastAsia"/>
                      <w:color w:val="000000" w:themeColor="text1"/>
                      <w:sz w:val="21"/>
                      <w:szCs w:val="21"/>
                      <w:highlight w:val="none"/>
                      <w:lang w:val="en-US" w:eastAsia="zh-CN"/>
                      <w14:textFill>
                        <w14:solidFill>
                          <w14:schemeClr w14:val="tx1"/>
                        </w14:solidFill>
                      </w14:textFill>
                    </w:rPr>
                  </w:pPr>
                </w:p>
              </w:tc>
            </w:tr>
          </w:tbl>
          <w:p w14:paraId="27FF3BB9">
            <w:pPr>
              <w:pStyle w:val="37"/>
              <w:rPr>
                <w:rFonts w:hint="default"/>
                <w:color w:val="000000" w:themeColor="text1"/>
                <w:sz w:val="24"/>
                <w:szCs w:val="21"/>
                <w:highlight w:val="none"/>
                <w:lang w:val="en-US" w:eastAsia="zh-CN"/>
                <w14:textFill>
                  <w14:solidFill>
                    <w14:schemeClr w14:val="tx1"/>
                  </w14:solidFill>
                </w14:textFill>
              </w:rPr>
            </w:pPr>
            <w:r>
              <w:rPr>
                <w:rFonts w:hint="default"/>
                <w:color w:val="000000" w:themeColor="text1"/>
                <w:sz w:val="24"/>
                <w:szCs w:val="21"/>
                <w:highlight w:val="none"/>
                <w:lang w:val="en-US" w:eastAsia="zh-CN"/>
                <w14:textFill>
                  <w14:solidFill>
                    <w14:schemeClr w14:val="tx1"/>
                  </w14:solidFill>
                </w14:textFill>
              </w:rPr>
              <w:t>4.2.2 运营期水环境影响及污染防治措施可行性分析</w:t>
            </w:r>
          </w:p>
          <w:p w14:paraId="7E5C1962">
            <w:pPr>
              <w:spacing w:line="360" w:lineRule="auto"/>
              <w:ind w:firstLine="480" w:firstLineChars="200"/>
              <w:rPr>
                <w:rFonts w:hint="default" w:eastAsia="宋体"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（一）生产废水处理</w:t>
            </w:r>
            <w:r>
              <w:rPr>
                <w:rFonts w:hint="eastAsia" w:cs="宋体"/>
                <w:color w:val="000000" w:themeColor="text1"/>
                <w:sz w:val="24"/>
                <w:szCs w:val="32"/>
                <w:highlight w:val="none"/>
                <w:lang w:val="en-US" w:eastAsia="zh-CN"/>
                <w14:textFill>
                  <w14:solidFill>
                    <w14:schemeClr w14:val="tx1"/>
                  </w14:solidFill>
                </w14:textFill>
              </w:rPr>
              <w:t>措施可行性分析</w:t>
            </w:r>
          </w:p>
          <w:p w14:paraId="42B2A403">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企业污水站包括</w:t>
            </w:r>
            <w:r>
              <w:rPr>
                <w:rFonts w:hint="eastAsia" w:cs="宋体"/>
                <w:color w:val="000000" w:themeColor="text1"/>
                <w:sz w:val="24"/>
                <w:szCs w:val="32"/>
                <w:highlight w:val="none"/>
                <w:lang w:val="en-US" w:eastAsia="zh-CN"/>
                <w14:textFill>
                  <w14:solidFill>
                    <w14:schemeClr w14:val="tx1"/>
                  </w14:solidFill>
                </w14:textFill>
              </w:rPr>
              <w:t>规模为10t/d的</w:t>
            </w:r>
            <w:r>
              <w:rPr>
                <w:rFonts w:hint="eastAsia" w:cs="宋体"/>
                <w:color w:val="000000" w:themeColor="text1"/>
                <w:sz w:val="24"/>
                <w:szCs w:val="32"/>
                <w:highlight w:val="none"/>
                <w14:textFill>
                  <w14:solidFill>
                    <w14:schemeClr w14:val="tx1"/>
                  </w14:solidFill>
                </w14:textFill>
              </w:rPr>
              <w:t>含氟废水处理系统和</w:t>
            </w:r>
            <w:r>
              <w:rPr>
                <w:rFonts w:hint="eastAsia" w:cs="宋体"/>
                <w:color w:val="000000" w:themeColor="text1"/>
                <w:sz w:val="24"/>
                <w:szCs w:val="32"/>
                <w:highlight w:val="none"/>
                <w:lang w:val="en-US" w:eastAsia="zh-CN"/>
                <w14:textFill>
                  <w14:solidFill>
                    <w14:schemeClr w14:val="tx1"/>
                  </w14:solidFill>
                </w14:textFill>
              </w:rPr>
              <w:t>60t/d的</w:t>
            </w:r>
            <w:r>
              <w:rPr>
                <w:rFonts w:hint="eastAsia" w:cs="宋体"/>
                <w:color w:val="000000" w:themeColor="text1"/>
                <w:sz w:val="24"/>
                <w:szCs w:val="32"/>
                <w:highlight w:val="none"/>
                <w14:textFill>
                  <w14:solidFill>
                    <w14:schemeClr w14:val="tx1"/>
                  </w14:solidFill>
                </w14:textFill>
              </w:rPr>
              <w:t>综合废水处理系统。</w:t>
            </w:r>
            <w:r>
              <w:rPr>
                <w:rFonts w:hint="eastAsia"/>
                <w:color w:val="000000" w:themeColor="text1"/>
                <w:sz w:val="24"/>
                <w:szCs w:val="32"/>
                <w:highlight w:val="none"/>
                <w14:textFill>
                  <w14:solidFill>
                    <w14:schemeClr w14:val="tx1"/>
                  </w14:solidFill>
                </w14:textFill>
              </w:rPr>
              <w:t>本项目含氟废水先经预处理后与一般清洗废水、酸碱废水一并排入综合污水处理站处理</w:t>
            </w:r>
            <w:r>
              <w:rPr>
                <w:rFonts w:hint="eastAsia" w:cs="宋体"/>
                <w:color w:val="000000" w:themeColor="text1"/>
                <w:sz w:val="24"/>
                <w:szCs w:val="32"/>
                <w:highlight w:val="none"/>
                <w14:textFill>
                  <w14:solidFill>
                    <w14:schemeClr w14:val="tx1"/>
                  </w14:solidFill>
                </w14:textFill>
              </w:rPr>
              <w:t>。</w:t>
            </w:r>
          </w:p>
          <w:p w14:paraId="705D3926">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（1）含氟废水处理系统</w:t>
            </w:r>
          </w:p>
          <w:p w14:paraId="17349704">
            <w:pPr>
              <w:spacing w:line="360" w:lineRule="auto"/>
              <w:ind w:firstLine="480" w:firstLineChars="200"/>
              <w:rPr>
                <w:rFonts w:hint="default" w:eastAsia="宋体"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①废水调节池</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14:textFill>
                  <w14:solidFill>
                    <w14:schemeClr w14:val="tx1"/>
                  </w14:solidFill>
                </w14:textFill>
              </w:rPr>
              <w:t>含氟废水通过厂区管网首先进入废水调节池，该单元核心功能为水质水量均质调节，通过池体缓冲作用，平衡废水的进水浓度波动与水量冲击，为后续反应池提供稳定的进水条件，避免瞬时流量波动影响加药量冲击后续处理系统。</w:t>
            </w:r>
            <w:r>
              <w:rPr>
                <w:rFonts w:hint="eastAsia" w:cs="宋体"/>
                <w:color w:val="000000" w:themeColor="text1"/>
                <w:sz w:val="24"/>
                <w:szCs w:val="32"/>
                <w:highlight w:val="none"/>
                <w:lang w:val="en-US" w:eastAsia="zh-CN"/>
                <w14:textFill>
                  <w14:solidFill>
                    <w14:schemeClr w14:val="tx1"/>
                  </w14:solidFill>
                </w14:textFill>
              </w:rPr>
              <w:t>同时控制pH7~9，为氟化钙提供最佳沉淀条件。</w:t>
            </w:r>
          </w:p>
          <w:p w14:paraId="27EAB79F">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default" w:cs="宋体"/>
                <w:color w:val="000000" w:themeColor="text1"/>
                <w:sz w:val="24"/>
                <w:szCs w:val="32"/>
                <w:highlight w:val="none"/>
                <w14:textFill>
                  <w14:solidFill>
                    <w14:schemeClr w14:val="tx1"/>
                  </w14:solidFill>
                </w14:textFill>
              </w:rPr>
              <w:t>②</w:t>
            </w:r>
            <w:r>
              <w:rPr>
                <w:rFonts w:hint="eastAsia" w:cs="宋体"/>
                <w:color w:val="000000" w:themeColor="text1"/>
                <w:sz w:val="24"/>
                <w:szCs w:val="32"/>
                <w:highlight w:val="none"/>
                <w14:textFill>
                  <w14:solidFill>
                    <w14:schemeClr w14:val="tx1"/>
                  </w14:solidFill>
                </w14:textFill>
              </w:rPr>
              <w:t>反应池</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14:textFill>
                  <w14:solidFill>
                    <w14:schemeClr w14:val="tx1"/>
                  </w14:solidFill>
                </w14:textFill>
              </w:rPr>
              <w:t>调节后的含氟废水进入反应池，投加</w:t>
            </w:r>
            <w:r>
              <w:rPr>
                <w:rFonts w:hint="eastAsia" w:cs="宋体"/>
                <w:color w:val="000000" w:themeColor="text1"/>
                <w:sz w:val="24"/>
                <w:szCs w:val="32"/>
                <w:highlight w:val="none"/>
                <w:lang w:val="en-US" w:eastAsia="zh-CN"/>
                <w14:textFill>
                  <w14:solidFill>
                    <w14:schemeClr w14:val="tx1"/>
                  </w14:solidFill>
                </w14:textFill>
              </w:rPr>
              <w:t>过量</w:t>
            </w:r>
            <w:r>
              <w:rPr>
                <w:rFonts w:hint="eastAsia" w:cs="宋体"/>
                <w:color w:val="000000" w:themeColor="text1"/>
                <w:sz w:val="24"/>
                <w:szCs w:val="32"/>
                <w:highlight w:val="none"/>
                <w14:textFill>
                  <w14:solidFill>
                    <w14:schemeClr w14:val="tx1"/>
                  </w14:solidFill>
                </w14:textFill>
              </w:rPr>
              <w:t>氯化钙作为除氟药剂，通过化学反应生成氟化钙沉淀，</w:t>
            </w:r>
            <w:r>
              <w:rPr>
                <w:rFonts w:hint="eastAsia" w:cs="宋体"/>
                <w:color w:val="000000" w:themeColor="text1"/>
                <w:sz w:val="24"/>
                <w:szCs w:val="32"/>
                <w:highlight w:val="none"/>
                <w:lang w:val="en-US" w:eastAsia="zh-CN"/>
                <w14:textFill>
                  <w14:solidFill>
                    <w14:schemeClr w14:val="tx1"/>
                  </w14:solidFill>
                </w14:textFill>
              </w:rPr>
              <w:t>保证氟离子完全反应，</w:t>
            </w:r>
            <w:r>
              <w:rPr>
                <w:rFonts w:hint="eastAsia" w:cs="宋体"/>
                <w:color w:val="000000" w:themeColor="text1"/>
                <w:sz w:val="24"/>
                <w:szCs w:val="32"/>
                <w:highlight w:val="none"/>
                <w14:textFill>
                  <w14:solidFill>
                    <w14:schemeClr w14:val="tx1"/>
                  </w14:solidFill>
                </w14:textFill>
              </w:rPr>
              <w:t>实现氟离子的高效去除，反应过程通过搅拌保证药剂与废水充分混合，确保除氟反应完全。</w:t>
            </w:r>
          </w:p>
          <w:p w14:paraId="78CA8671">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default" w:cs="宋体"/>
                <w:color w:val="000000" w:themeColor="text1"/>
                <w:sz w:val="24"/>
                <w:szCs w:val="32"/>
                <w:highlight w:val="none"/>
                <w14:textFill>
                  <w14:solidFill>
                    <w14:schemeClr w14:val="tx1"/>
                  </w14:solidFill>
                </w14:textFill>
              </w:rPr>
              <w:t>③</w:t>
            </w:r>
            <w:r>
              <w:rPr>
                <w:rFonts w:hint="eastAsia" w:cs="宋体"/>
                <w:color w:val="000000" w:themeColor="text1"/>
                <w:sz w:val="24"/>
                <w:szCs w:val="32"/>
                <w:highlight w:val="none"/>
                <w14:textFill>
                  <w14:solidFill>
                    <w14:schemeClr w14:val="tx1"/>
                  </w14:solidFill>
                </w14:textFill>
              </w:rPr>
              <w:t>沉淀池</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14:textFill>
                  <w14:solidFill>
                    <w14:schemeClr w14:val="tx1"/>
                  </w14:solidFill>
                </w14:textFill>
              </w:rPr>
              <w:t>反应后的含氟泥水混合液进入沉淀池，通过重力沉降作用，将氟化钙污泥与上清液分离：上清液自流进入综合调节池，与其他废水合并处理；沉淀污泥通过污泥管路排入污泥池，进入后续污泥处理系统。</w:t>
            </w:r>
          </w:p>
          <w:p w14:paraId="22D5C58A">
            <w:pPr>
              <w:spacing w:line="360" w:lineRule="auto"/>
              <w:ind w:firstLine="480" w:firstLineChars="200"/>
              <w:rPr>
                <w:rFonts w:hint="default" w:eastAsia="宋体"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氯化钙与氢氟酸反应生成难溶氟化钙（CaF</w:t>
            </w:r>
            <w:r>
              <w:rPr>
                <w:rFonts w:hint="eastAsia" w:cs="宋体"/>
                <w:color w:val="000000" w:themeColor="text1"/>
                <w:sz w:val="24"/>
                <w:szCs w:val="32"/>
                <w:highlight w:val="none"/>
                <w:vertAlign w:val="subscript"/>
                <w:lang w:val="en-US" w:eastAsia="zh-CN"/>
                <w14:textFill>
                  <w14:solidFill>
                    <w14:schemeClr w14:val="tx1"/>
                  </w14:solidFill>
                </w14:textFill>
              </w:rPr>
              <w:t>2</w:t>
            </w:r>
            <w:r>
              <w:rPr>
                <w:rFonts w:hint="eastAsia" w:cs="宋体"/>
                <w:color w:val="000000" w:themeColor="text1"/>
                <w:sz w:val="24"/>
                <w:szCs w:val="32"/>
                <w:highlight w:val="none"/>
                <w14:textFill>
                  <w14:solidFill>
                    <w14:schemeClr w14:val="tx1"/>
                  </w14:solidFill>
                </w14:textFill>
              </w:rPr>
              <w:t>），是经典的化学沉淀除氟技术，对高浓度含氟废水去除率可达</w:t>
            </w:r>
            <w:r>
              <w:rPr>
                <w:rFonts w:hint="eastAsia" w:cs="宋体"/>
                <w:color w:val="000000" w:themeColor="text1"/>
                <w:sz w:val="24"/>
                <w:szCs w:val="32"/>
                <w:highlight w:val="none"/>
                <w:lang w:val="en-US" w:eastAsia="zh-CN"/>
                <w14:textFill>
                  <w14:solidFill>
                    <w14:schemeClr w14:val="tx1"/>
                  </w14:solidFill>
                </w14:textFill>
              </w:rPr>
              <w:t>90</w:t>
            </w:r>
            <w:r>
              <w:rPr>
                <w:rFonts w:hint="eastAsia" w:cs="宋体"/>
                <w:color w:val="000000" w:themeColor="text1"/>
                <w:sz w:val="24"/>
                <w:szCs w:val="32"/>
                <w:highlight w:val="none"/>
                <w14:textFill>
                  <w14:solidFill>
                    <w14:schemeClr w14:val="tx1"/>
                  </w14:solidFill>
                </w14:textFill>
              </w:rPr>
              <w:t>%以上，能大幅降低后续处理负荷。</w:t>
            </w:r>
            <w:r>
              <w:rPr>
                <w:rFonts w:hint="eastAsia" w:cs="宋体"/>
                <w:color w:val="000000" w:themeColor="text1"/>
                <w:sz w:val="24"/>
                <w:szCs w:val="32"/>
                <w:highlight w:val="none"/>
                <w:lang w:val="en-US" w:eastAsia="zh-CN"/>
                <w14:textFill>
                  <w14:solidFill>
                    <w14:schemeClr w14:val="tx1"/>
                  </w14:solidFill>
                </w14:textFill>
              </w:rPr>
              <w:t>含氟废水单独分流，采用化学沉淀法预处理，符合《电子工业水污染防治可行技术指南》(H1298-2023)。本项目含氟废水产生浓度130mg/L，本次采用调节池+氯化钙反应+沉淀预处理，去除率95%，处理后氟化物浓度6.5mg/L，已满足《电子工业水污染物排放标准》(GB 39731-2020）间接排放标准，经后续综合废水处理系统处理后浓度可进一步降低，因此该处理技术可行。</w:t>
            </w:r>
          </w:p>
          <w:p w14:paraId="5AE3A637">
            <w:pPr>
              <w:spacing w:line="360" w:lineRule="auto"/>
              <w:ind w:firstLine="480" w:firstLineChars="200"/>
              <w:rPr>
                <w:rFonts w:hint="default" w:eastAsia="宋体"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该股废水量不大，</w:t>
            </w:r>
            <w:r>
              <w:rPr>
                <w:rFonts w:hint="eastAsia" w:cs="宋体"/>
                <w:color w:val="000000" w:themeColor="text1"/>
                <w:sz w:val="24"/>
                <w:szCs w:val="32"/>
                <w:highlight w:val="none"/>
                <w14:textFill>
                  <w14:solidFill>
                    <w14:schemeClr w14:val="tx1"/>
                  </w14:solidFill>
                </w14:textFill>
              </w:rPr>
              <w:t>单独预处理便于精准控制反应pH、药剂投加量，保证除氟稳定性。预处理产生的酸性废水可通过后续pH调节池中和，工艺衔接顺畅。</w:t>
            </w:r>
            <w:r>
              <w:rPr>
                <w:rFonts w:hint="eastAsia" w:cs="宋体"/>
                <w:color w:val="000000" w:themeColor="text1"/>
                <w:sz w:val="24"/>
                <w:szCs w:val="32"/>
                <w:highlight w:val="none"/>
                <w:lang w:val="en-US" w:eastAsia="zh-CN"/>
                <w14:textFill>
                  <w14:solidFill>
                    <w14:schemeClr w14:val="tx1"/>
                  </w14:solidFill>
                </w14:textFill>
              </w:rPr>
              <w:t>本项目含氟废水产生量7.2t/d，本项目</w:t>
            </w:r>
            <w:r>
              <w:rPr>
                <w:rFonts w:hint="eastAsia" w:cs="宋体"/>
                <w:color w:val="000000" w:themeColor="text1"/>
                <w:sz w:val="24"/>
                <w:szCs w:val="32"/>
                <w:highlight w:val="none"/>
                <w14:textFill>
                  <w14:solidFill>
                    <w14:schemeClr w14:val="tx1"/>
                  </w14:solidFill>
                </w14:textFill>
              </w:rPr>
              <w:t>含氟废水</w:t>
            </w:r>
            <w:r>
              <w:rPr>
                <w:rFonts w:hint="eastAsia" w:cs="宋体"/>
                <w:color w:val="000000" w:themeColor="text1"/>
                <w:sz w:val="24"/>
                <w:szCs w:val="32"/>
                <w:highlight w:val="none"/>
                <w:lang w:val="en-US" w:eastAsia="zh-CN"/>
                <w14:textFill>
                  <w14:solidFill>
                    <w14:schemeClr w14:val="tx1"/>
                  </w14:solidFill>
                </w14:textFill>
              </w:rPr>
              <w:t>预</w:t>
            </w:r>
            <w:r>
              <w:rPr>
                <w:rFonts w:hint="eastAsia" w:cs="宋体"/>
                <w:color w:val="000000" w:themeColor="text1"/>
                <w:sz w:val="24"/>
                <w:szCs w:val="32"/>
                <w:highlight w:val="none"/>
                <w14:textFill>
                  <w14:solidFill>
                    <w14:schemeClr w14:val="tx1"/>
                  </w14:solidFill>
                </w14:textFill>
              </w:rPr>
              <w:t>处理系统</w:t>
            </w:r>
            <w:r>
              <w:rPr>
                <w:rFonts w:hint="eastAsia" w:cs="宋体"/>
                <w:color w:val="000000" w:themeColor="text1"/>
                <w:sz w:val="24"/>
                <w:szCs w:val="32"/>
                <w:highlight w:val="none"/>
                <w:lang w:val="en-US" w:eastAsia="zh-CN"/>
                <w14:textFill>
                  <w14:solidFill>
                    <w14:schemeClr w14:val="tx1"/>
                  </w14:solidFill>
                </w14:textFill>
              </w:rPr>
              <w:t>规模为10t/d，可满足本项目含氟废水量的处理。</w:t>
            </w:r>
          </w:p>
          <w:p w14:paraId="6E117CDF">
            <w:pPr>
              <w:spacing w:line="360" w:lineRule="auto"/>
              <w:ind w:firstLine="480" w:firstLineChars="200"/>
              <w:rPr>
                <w:rFonts w:hint="eastAsia" w:eastAsia="宋体"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2</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综合</w:t>
            </w:r>
            <w:r>
              <w:rPr>
                <w:rFonts w:hint="eastAsia" w:cs="宋体"/>
                <w:color w:val="000000" w:themeColor="text1"/>
                <w:sz w:val="24"/>
                <w:szCs w:val="32"/>
                <w:highlight w:val="none"/>
                <w14:textFill>
                  <w14:solidFill>
                    <w14:schemeClr w14:val="tx1"/>
                  </w14:solidFill>
                </w14:textFill>
              </w:rPr>
              <w:t>废水处理系统</w:t>
            </w:r>
          </w:p>
          <w:p w14:paraId="7E886555">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①综合调节池</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14:textFill>
                  <w14:solidFill>
                    <w14:schemeClr w14:val="tx1"/>
                  </w14:solidFill>
                </w14:textFill>
              </w:rPr>
              <w:t>其他废水与含氟废水预处理单元的出水共同汇入综合调节池。该单元进一步均质混合两股废水的水质水量，同时调节废水pH值，为后续混凝沉淀单元提供稳定的进水工况，保障后续药剂投加效果。</w:t>
            </w:r>
          </w:p>
          <w:p w14:paraId="1DE12B4E">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default" w:cs="宋体"/>
                <w:color w:val="000000" w:themeColor="text1"/>
                <w:sz w:val="24"/>
                <w:szCs w:val="32"/>
                <w:highlight w:val="none"/>
                <w14:textFill>
                  <w14:solidFill>
                    <w14:schemeClr w14:val="tx1"/>
                  </w14:solidFill>
                </w14:textFill>
              </w:rPr>
              <w:t>②</w:t>
            </w:r>
            <w:r>
              <w:rPr>
                <w:rFonts w:hint="eastAsia" w:cs="宋体"/>
                <w:color w:val="000000" w:themeColor="text1"/>
                <w:sz w:val="24"/>
                <w:szCs w:val="32"/>
                <w:highlight w:val="none"/>
                <w14:textFill>
                  <w14:solidFill>
                    <w14:schemeClr w14:val="tx1"/>
                  </w14:solidFill>
                </w14:textFill>
              </w:rPr>
              <w:t>混凝池1#</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14:textFill>
                  <w14:solidFill>
                    <w14:schemeClr w14:val="tx1"/>
                  </w14:solidFill>
                </w14:textFill>
              </w:rPr>
              <w:t>综合调节池出水进入混凝池1#，投加酸/碱、PAC（聚合氯化铝）：通过酸碱调节将废水pH值控制在混凝反应最佳范围，PAC作为混凝剂，通过电中和、吸附架桥作用，使废水中的胶体、悬浮物脱稳凝聚，形成微小絮体。</w:t>
            </w:r>
          </w:p>
          <w:p w14:paraId="5AB96A0D">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default" w:cs="宋体"/>
                <w:color w:val="000000" w:themeColor="text1"/>
                <w:sz w:val="24"/>
                <w:szCs w:val="32"/>
                <w:highlight w:val="none"/>
                <w14:textFill>
                  <w14:solidFill>
                    <w14:schemeClr w14:val="tx1"/>
                  </w14:solidFill>
                </w14:textFill>
              </w:rPr>
              <w:t>③</w:t>
            </w:r>
            <w:r>
              <w:rPr>
                <w:rFonts w:hint="eastAsia" w:cs="宋体"/>
                <w:color w:val="000000" w:themeColor="text1"/>
                <w:sz w:val="24"/>
                <w:szCs w:val="32"/>
                <w:highlight w:val="none"/>
                <w14:textFill>
                  <w14:solidFill>
                    <w14:schemeClr w14:val="tx1"/>
                  </w14:solidFill>
                </w14:textFill>
              </w:rPr>
              <w:t>混凝池2#</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14:textFill>
                  <w14:solidFill>
                    <w14:schemeClr w14:val="tx1"/>
                  </w14:solidFill>
                </w14:textFill>
              </w:rPr>
              <w:t>1#混凝池出水进入混凝池2#，投加PAM（聚丙烯酰胺）作为助凝剂，通过高分子链的吸附架桥作用，将微小絮体进一步絮凝为大而密实的矾花，大幅提升后续沉淀效率。</w:t>
            </w:r>
          </w:p>
          <w:p w14:paraId="0AFD9617">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PAC（混凝剂）+PAM（助凝剂）可高效去除悬浮物、胶体及残留氟化物，是工业废水处理的成熟工艺，运行稳定、抗冲击负荷强。</w:t>
            </w:r>
          </w:p>
          <w:p w14:paraId="29F3A25F">
            <w:pPr>
              <w:spacing w:line="360" w:lineRule="auto"/>
              <w:ind w:firstLine="480" w:firstLineChars="200"/>
              <w:rPr>
                <w:rFonts w:hint="eastAsia" w:eastAsia="宋体"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进入混凝</w:t>
            </w:r>
            <w:r>
              <w:rPr>
                <w:rFonts w:hint="eastAsia" w:cs="宋体"/>
                <w:color w:val="000000" w:themeColor="text1"/>
                <w:sz w:val="24"/>
                <w:szCs w:val="32"/>
                <w:highlight w:val="none"/>
                <w:lang w:val="en-US" w:eastAsia="zh-CN"/>
                <w14:textFill>
                  <w14:solidFill>
                    <w14:schemeClr w14:val="tx1"/>
                  </w14:solidFill>
                </w14:textFill>
              </w:rPr>
              <w:t>池</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14:textFill>
                  <w14:solidFill>
                    <w14:schemeClr w14:val="tx1"/>
                  </w14:solidFill>
                </w14:textFill>
              </w:rPr>
              <w:t>加入PAC混凝剂的作用是通过它或者它的水解产物的压缩双电层、电性中和、卷带网捕以及吸附桥联等四个方面的作用完成</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14:textFill>
                  <w14:solidFill>
                    <w14:schemeClr w14:val="tx1"/>
                  </w14:solidFill>
                </w14:textFill>
              </w:rPr>
              <w:t>然后</w:t>
            </w:r>
            <w:r>
              <w:rPr>
                <w:rFonts w:hint="eastAsia" w:cs="宋体"/>
                <w:color w:val="000000" w:themeColor="text1"/>
                <w:sz w:val="24"/>
                <w:szCs w:val="32"/>
                <w:highlight w:val="none"/>
                <w:lang w:val="en-US" w:eastAsia="zh-CN"/>
                <w14:textFill>
                  <w14:solidFill>
                    <w14:schemeClr w14:val="tx1"/>
                  </w14:solidFill>
                </w14:textFill>
              </w:rPr>
              <w:t>再</w:t>
            </w:r>
            <w:r>
              <w:rPr>
                <w:rFonts w:hint="eastAsia" w:cs="宋体"/>
                <w:color w:val="000000" w:themeColor="text1"/>
                <w:sz w:val="24"/>
                <w:szCs w:val="32"/>
                <w:highlight w:val="none"/>
                <w14:textFill>
                  <w14:solidFill>
                    <w14:schemeClr w14:val="tx1"/>
                  </w14:solidFill>
                </w14:textFill>
              </w:rPr>
              <w:t>加入PAM絮凝剂，能使悬浮物质通过电中和，架桥吸附作用，起絮凝作用：PAM用于絮凝时，与被絮凝物种类表面性质，特别是动电位，</w:t>
            </w:r>
            <w:r>
              <w:rPr>
                <w:rFonts w:hint="eastAsia" w:cs="宋体"/>
                <w:color w:val="000000" w:themeColor="text1"/>
                <w:sz w:val="24"/>
                <w:szCs w:val="32"/>
                <w:highlight w:val="none"/>
                <w:lang w:eastAsia="zh-CN"/>
                <w14:textFill>
                  <w14:solidFill>
                    <w14:schemeClr w14:val="tx1"/>
                  </w14:solidFill>
                </w14:textFill>
              </w:rPr>
              <w:t>黏度</w:t>
            </w:r>
            <w:r>
              <w:rPr>
                <w:rFonts w:hint="eastAsia" w:cs="宋体"/>
                <w:color w:val="000000" w:themeColor="text1"/>
                <w:sz w:val="24"/>
                <w:szCs w:val="32"/>
                <w:highlight w:val="none"/>
                <w14:textFill>
                  <w14:solidFill>
                    <w14:schemeClr w14:val="tx1"/>
                  </w14:solidFill>
                </w14:textFill>
              </w:rPr>
              <w:t>，浊度及悬浮液的pH值有关，颗粒表面的动电位，是颗粒阻聚的原因加入表面电荷相反的PAM，能速动电位降低而凝聚</w:t>
            </w:r>
            <w:r>
              <w:rPr>
                <w:rFonts w:hint="eastAsia" w:cs="宋体"/>
                <w:color w:val="000000" w:themeColor="text1"/>
                <w:sz w:val="24"/>
                <w:szCs w:val="32"/>
                <w:highlight w:val="none"/>
                <w:lang w:val="en-US" w:eastAsia="zh-CN"/>
                <w14:textFill>
                  <w14:solidFill>
                    <w14:schemeClr w14:val="tx1"/>
                  </w14:solidFill>
                </w14:textFill>
              </w:rPr>
              <w:t>。</w:t>
            </w:r>
          </w:p>
          <w:p w14:paraId="08C1FF3A">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④</w:t>
            </w:r>
            <w:r>
              <w:rPr>
                <w:rFonts w:hint="eastAsia" w:cs="宋体"/>
                <w:color w:val="000000" w:themeColor="text1"/>
                <w:sz w:val="24"/>
                <w:szCs w:val="32"/>
                <w:highlight w:val="none"/>
                <w14:textFill>
                  <w14:solidFill>
                    <w14:schemeClr w14:val="tx1"/>
                  </w14:solidFill>
                </w14:textFill>
              </w:rPr>
              <w:t>沉淀池</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14:textFill>
                  <w14:solidFill>
                    <w14:schemeClr w14:val="tx1"/>
                  </w14:solidFill>
                </w14:textFill>
              </w:rPr>
              <w:t>混凝后的泥水混合液进入沉淀池，通过重力沉降实现固液分离：上清液自流进入过滤池进行深度处理；沉淀污泥通过污泥管路排入污泥池，进入污泥处理系统。</w:t>
            </w:r>
          </w:p>
          <w:p w14:paraId="0188C1AE">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⑤</w:t>
            </w:r>
            <w:r>
              <w:rPr>
                <w:rFonts w:hint="eastAsia" w:cs="宋体"/>
                <w:color w:val="000000" w:themeColor="text1"/>
                <w:sz w:val="24"/>
                <w:szCs w:val="32"/>
                <w:highlight w:val="none"/>
                <w14:textFill>
                  <w14:solidFill>
                    <w14:schemeClr w14:val="tx1"/>
                  </w14:solidFill>
                </w14:textFill>
              </w:rPr>
              <w:t>深度处理单元</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14:textFill>
                  <w14:solidFill>
                    <w14:schemeClr w14:val="tx1"/>
                  </w14:solidFill>
                </w14:textFill>
              </w:rPr>
              <w:t>为了保证出水稳定达标，沉淀池上清液进入过滤池，通过微滤膜的物理截留作用，进一步去除废水中残留的悬浮物、胶体及微量污染物，深度净化水质，确保出水各项指标满足排放标准要求，最终达标外排。</w:t>
            </w:r>
          </w:p>
          <w:p w14:paraId="72BF1A4D">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本项目综合</w:t>
            </w:r>
            <w:r>
              <w:rPr>
                <w:rFonts w:hint="eastAsia" w:cs="宋体"/>
                <w:color w:val="000000" w:themeColor="text1"/>
                <w:sz w:val="24"/>
                <w:szCs w:val="32"/>
                <w:highlight w:val="none"/>
                <w14:textFill>
                  <w14:solidFill>
                    <w14:schemeClr w14:val="tx1"/>
                  </w14:solidFill>
                </w14:textFill>
              </w:rPr>
              <w:t>废水处理系统</w:t>
            </w:r>
            <w:r>
              <w:rPr>
                <w:rFonts w:hint="eastAsia" w:cs="宋体"/>
                <w:color w:val="000000" w:themeColor="text1"/>
                <w:sz w:val="24"/>
                <w:szCs w:val="32"/>
                <w:highlight w:val="none"/>
                <w:lang w:val="en-US" w:eastAsia="zh-CN"/>
                <w14:textFill>
                  <w14:solidFill>
                    <w14:schemeClr w14:val="tx1"/>
                  </w14:solidFill>
                </w14:textFill>
              </w:rPr>
              <w:t>规模60t/d，可满足本项目综合废水量的处理。</w:t>
            </w:r>
          </w:p>
          <w:p w14:paraId="176A61BD">
            <w:pPr>
              <w:spacing w:line="360" w:lineRule="auto"/>
              <w:ind w:firstLine="480" w:firstLineChars="200"/>
              <w:rPr>
                <w:rFonts w:hint="default" w:eastAsia="宋体"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3</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污泥处理系统</w:t>
            </w:r>
          </w:p>
          <w:p w14:paraId="4E156885">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（四）污泥处理单元</w:t>
            </w:r>
          </w:p>
          <w:p w14:paraId="7777D941">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①污泥池</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14:textFill>
                  <w14:solidFill>
                    <w14:schemeClr w14:val="tx1"/>
                  </w14:solidFill>
                </w14:textFill>
              </w:rPr>
              <w:t>含氟废水预处理沉淀池、综合废水沉淀池产生的污泥，以及过滤池反冲洗产生的污泥，全部汇入污泥池，进行污泥浓缩，降低污泥含水率，减少后续处理体积。</w:t>
            </w:r>
          </w:p>
          <w:p w14:paraId="3B7184A9">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default" w:cs="宋体"/>
                <w:color w:val="000000" w:themeColor="text1"/>
                <w:sz w:val="24"/>
                <w:szCs w:val="32"/>
                <w:highlight w:val="none"/>
                <w14:textFill>
                  <w14:solidFill>
                    <w14:schemeClr w14:val="tx1"/>
                  </w14:solidFill>
                </w14:textFill>
              </w:rPr>
              <w:t>②</w:t>
            </w:r>
            <w:r>
              <w:rPr>
                <w:rFonts w:hint="eastAsia" w:cs="宋体"/>
                <w:color w:val="000000" w:themeColor="text1"/>
                <w:sz w:val="24"/>
                <w:szCs w:val="32"/>
                <w:highlight w:val="none"/>
                <w14:textFill>
                  <w14:solidFill>
                    <w14:schemeClr w14:val="tx1"/>
                  </w14:solidFill>
                </w14:textFill>
              </w:rPr>
              <w:t>板框压滤机</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14:textFill>
                  <w14:solidFill>
                    <w14:schemeClr w14:val="tx1"/>
                  </w14:solidFill>
                </w14:textFill>
              </w:rPr>
              <w:t>浓缩后的污泥泵入板框压滤机，通过高压压榨实现污泥深度脱水，将污泥含水率降至60%以下，形成泥饼。</w:t>
            </w:r>
          </w:p>
          <w:p w14:paraId="4B670A67">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default" w:cs="宋体"/>
                <w:color w:val="000000" w:themeColor="text1"/>
                <w:sz w:val="24"/>
                <w:szCs w:val="32"/>
                <w:highlight w:val="none"/>
                <w14:textFill>
                  <w14:solidFill>
                    <w14:schemeClr w14:val="tx1"/>
                  </w14:solidFill>
                </w14:textFill>
              </w:rPr>
              <w:t>③</w:t>
            </w:r>
            <w:r>
              <w:rPr>
                <w:rFonts w:hint="eastAsia" w:cs="宋体"/>
                <w:color w:val="000000" w:themeColor="text1"/>
                <w:sz w:val="24"/>
                <w:szCs w:val="32"/>
                <w:highlight w:val="none"/>
                <w14:textFill>
                  <w14:solidFill>
                    <w14:schemeClr w14:val="tx1"/>
                  </w14:solidFill>
                </w14:textFill>
              </w:rPr>
              <w:t>污泥外运</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14:textFill>
                  <w14:solidFill>
                    <w14:schemeClr w14:val="tx1"/>
                  </w14:solidFill>
                </w14:textFill>
              </w:rPr>
              <w:t>压滤产生的泥饼定期外运处置；压滤过程产生的滤液回流至综合调节池，重新进入处理系统，避免二次污染；实现全流程污泥闭环处理。</w:t>
            </w:r>
          </w:p>
          <w:p w14:paraId="282E5C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本项目生产废水污水处理工艺流程见下图。</w:t>
            </w:r>
          </w:p>
          <w:p w14:paraId="3DCD6CB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drawing>
                <wp:inline distT="0" distB="0" distL="114300" distR="114300">
                  <wp:extent cx="5160010" cy="1830070"/>
                  <wp:effectExtent l="0" t="0" r="2540" b="17780"/>
                  <wp:docPr id="14" name="图片 14" descr="污水处理工艺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污水处理工艺流程图"/>
                          <pic:cNvPicPr>
                            <a:picLocks noChangeAspect="1"/>
                          </pic:cNvPicPr>
                        </pic:nvPicPr>
                        <pic:blipFill>
                          <a:blip r:embed="rId17"/>
                          <a:stretch>
                            <a:fillRect/>
                          </a:stretch>
                        </pic:blipFill>
                        <pic:spPr>
                          <a:xfrm>
                            <a:off x="0" y="0"/>
                            <a:ext cx="5160010" cy="1830070"/>
                          </a:xfrm>
                          <a:prstGeom prst="rect">
                            <a:avLst/>
                          </a:prstGeom>
                        </pic:spPr>
                      </pic:pic>
                    </a:graphicData>
                  </a:graphic>
                </wp:inline>
              </w:drawing>
            </w:r>
          </w:p>
          <w:p w14:paraId="57EC5919">
            <w:pPr>
              <w:spacing w:line="360" w:lineRule="auto"/>
              <w:jc w:val="center"/>
              <w:rPr>
                <w:rFonts w:hint="eastAsia"/>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图</w:t>
            </w:r>
            <w:r>
              <w:rPr>
                <w:rFonts w:hint="eastAsia"/>
                <w:b/>
                <w:bCs/>
                <w:color w:val="000000" w:themeColor="text1"/>
                <w:sz w:val="24"/>
                <w:szCs w:val="24"/>
                <w:highlight w:val="none"/>
                <w:lang w:val="en-US" w:eastAsia="zh-CN"/>
                <w14:textFill>
                  <w14:solidFill>
                    <w14:schemeClr w14:val="tx1"/>
                  </w14:solidFill>
                </w14:textFill>
              </w:rPr>
              <w:t>4.2-1 本项目生产废水污水处理工艺流程图</w:t>
            </w:r>
          </w:p>
          <w:p w14:paraId="5CF26B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二</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生活污水</w:t>
            </w:r>
            <w:r>
              <w:rPr>
                <w:rFonts w:hint="eastAsia" w:cs="宋体"/>
                <w:color w:val="000000" w:themeColor="text1"/>
                <w:sz w:val="24"/>
                <w:szCs w:val="32"/>
                <w:highlight w:val="none"/>
                <w14:textFill>
                  <w14:solidFill>
                    <w14:schemeClr w14:val="tx1"/>
                  </w14:solidFill>
                </w14:textFill>
              </w:rPr>
              <w:t>处理</w:t>
            </w:r>
            <w:r>
              <w:rPr>
                <w:rFonts w:hint="eastAsia" w:cs="宋体"/>
                <w:color w:val="000000" w:themeColor="text1"/>
                <w:sz w:val="24"/>
                <w:szCs w:val="32"/>
                <w:highlight w:val="none"/>
                <w:lang w:val="en-US" w:eastAsia="zh-CN"/>
                <w14:textFill>
                  <w14:solidFill>
                    <w14:schemeClr w14:val="tx1"/>
                  </w14:solidFill>
                </w14:textFill>
              </w:rPr>
              <w:t>措施可行性分析</w:t>
            </w:r>
          </w:p>
          <w:p w14:paraId="2ABCC84B">
            <w:pPr>
              <w:spacing w:line="360" w:lineRule="auto"/>
              <w:ind w:firstLine="480" w:firstLineChars="200"/>
              <w:rPr>
                <w:rFonts w:hint="default" w:cs="宋体"/>
                <w:color w:val="000000" w:themeColor="text1"/>
                <w:sz w:val="24"/>
                <w:szCs w:val="32"/>
                <w:highlight w:val="none"/>
                <w:lang w:val="en-US"/>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项目生活污水经</w:t>
            </w:r>
            <w:r>
              <w:rPr>
                <w:rFonts w:hint="eastAsia" w:cs="宋体"/>
                <w:color w:val="000000" w:themeColor="text1"/>
                <w:sz w:val="24"/>
                <w:szCs w:val="32"/>
                <w:highlight w:val="none"/>
                <w:lang w:val="en-US" w:eastAsia="zh-CN"/>
                <w14:textFill>
                  <w14:solidFill>
                    <w14:schemeClr w14:val="tx1"/>
                  </w14:solidFill>
                </w14:textFill>
              </w:rPr>
              <w:t>隔油+</w:t>
            </w:r>
            <w:r>
              <w:rPr>
                <w:rFonts w:hint="eastAsia" w:cs="宋体"/>
                <w:color w:val="000000" w:themeColor="text1"/>
                <w:sz w:val="24"/>
                <w:szCs w:val="32"/>
                <w:highlight w:val="none"/>
                <w14:textFill>
                  <w14:solidFill>
                    <w14:schemeClr w14:val="tx1"/>
                  </w14:solidFill>
                </w14:textFill>
              </w:rPr>
              <w:t>化粪池预处理后排入市政污水管网，送往</w:t>
            </w:r>
            <w:r>
              <w:rPr>
                <w:rFonts w:hint="eastAsia" w:cs="宋体"/>
                <w:color w:val="000000" w:themeColor="text1"/>
                <w:sz w:val="24"/>
                <w:szCs w:val="32"/>
                <w:highlight w:val="none"/>
                <w:lang w:eastAsia="zh-CN"/>
                <w14:textFill>
                  <w14:solidFill>
                    <w14:schemeClr w14:val="tx1"/>
                  </w14:solidFill>
                </w14:textFill>
              </w:rPr>
              <w:t>福州大学城污水处理厂</w:t>
            </w:r>
            <w:r>
              <w:rPr>
                <w:rFonts w:hint="eastAsia" w:cs="宋体"/>
                <w:color w:val="000000" w:themeColor="text1"/>
                <w:sz w:val="24"/>
                <w:szCs w:val="32"/>
                <w:highlight w:val="none"/>
                <w14:textFill>
                  <w14:solidFill>
                    <w14:schemeClr w14:val="tx1"/>
                  </w14:solidFill>
                </w14:textFill>
              </w:rPr>
              <w:t>集中处理，</w:t>
            </w:r>
            <w:r>
              <w:rPr>
                <w:rFonts w:hint="eastAsia"/>
                <w:color w:val="000000" w:themeColor="text1"/>
                <w:sz w:val="24"/>
                <w:szCs w:val="32"/>
                <w:highlight w:val="none"/>
                <w:lang w:val="en-US" w:eastAsia="zh-CN"/>
                <w14:textFill>
                  <w14:solidFill>
                    <w14:schemeClr w14:val="tx1"/>
                  </w14:solidFill>
                </w14:textFill>
              </w:rPr>
              <w:t>生活污水经隔油+化粪池处理也能满足大学城污水处理厂进水水质标准，处理措施可行。</w:t>
            </w:r>
          </w:p>
          <w:p w14:paraId="386B42FA">
            <w:pPr>
              <w:spacing w:line="360" w:lineRule="auto"/>
              <w:ind w:firstLine="480" w:firstLineChars="200"/>
              <w:rPr>
                <w:rFonts w:hint="default" w:cs="Times New Roman"/>
                <w:b w:val="0"/>
                <w:bCs w:val="0"/>
                <w:color w:val="000000" w:themeColor="text1"/>
                <w:kern w:val="0"/>
                <w:sz w:val="24"/>
                <w:szCs w:val="24"/>
                <w:highlight w:val="none"/>
                <w:lang w:val="en-US" w:eastAsia="zh-CN"/>
                <w14:textFill>
                  <w14:solidFill>
                    <w14:schemeClr w14:val="tx1"/>
                  </w14:solidFill>
                </w14:textFill>
              </w:rPr>
            </w:pPr>
            <w:r>
              <w:rPr>
                <w:rFonts w:hint="eastAsia" w:cs="Times New Roman"/>
                <w:b w:val="0"/>
                <w:bCs w:val="0"/>
                <w:color w:val="000000" w:themeColor="text1"/>
                <w:kern w:val="0"/>
                <w:sz w:val="24"/>
                <w:szCs w:val="24"/>
                <w:highlight w:val="none"/>
                <w:lang w:val="en-US" w:eastAsia="zh-CN"/>
                <w14:textFill>
                  <w14:solidFill>
                    <w14:schemeClr w14:val="tx1"/>
                  </w14:solidFill>
                </w14:textFill>
              </w:rPr>
              <w:t>（三）处理工艺可行性分析</w:t>
            </w:r>
          </w:p>
          <w:p w14:paraId="0F167FF1">
            <w:pPr>
              <w:spacing w:line="360" w:lineRule="auto"/>
              <w:ind w:firstLine="480" w:firstLineChars="200"/>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eastAsia" w:cs="Times New Roman"/>
                <w:b w:val="0"/>
                <w:bCs w:val="0"/>
                <w:color w:val="000000" w:themeColor="text1"/>
                <w:kern w:val="0"/>
                <w:sz w:val="24"/>
                <w:szCs w:val="24"/>
                <w:highlight w:val="none"/>
                <w:lang w:val="en-US" w:eastAsia="zh-CN"/>
                <w14:textFill>
                  <w14:solidFill>
                    <w14:schemeClr w14:val="tx1"/>
                  </w14:solidFill>
                </w14:textFill>
              </w:rPr>
              <w:t>根据《排污许可证申请与核发技术规范—电子工业》（HJ1031—2019），厂区污水站生产废水处理工艺和生活污水处理工艺属于可行技术，详见下表。</w:t>
            </w:r>
          </w:p>
          <w:p w14:paraId="2892536E">
            <w:pPr>
              <w:spacing w:line="360" w:lineRule="auto"/>
              <w:jc w:val="center"/>
              <w:rPr>
                <w:rFonts w:hint="eastAsia" w:cs="宋体"/>
                <w:b/>
                <w:bCs w:val="0"/>
                <w:color w:val="000000" w:themeColor="text1"/>
                <w:sz w:val="24"/>
                <w:szCs w:val="24"/>
                <w:highlight w:val="none"/>
                <w14:textFill>
                  <w14:solidFill>
                    <w14:schemeClr w14:val="tx1"/>
                  </w14:solidFill>
                </w14:textFill>
              </w:rPr>
            </w:pPr>
          </w:p>
          <w:p w14:paraId="6DB4C91C">
            <w:pPr>
              <w:spacing w:line="360" w:lineRule="auto"/>
              <w:jc w:val="center"/>
              <w:rPr>
                <w:rFonts w:hint="eastAsia" w:cs="宋体"/>
                <w:b/>
                <w:bCs w:val="0"/>
                <w:color w:val="000000" w:themeColor="text1"/>
                <w:sz w:val="24"/>
                <w:szCs w:val="24"/>
                <w:highlight w:val="none"/>
                <w14:textFill>
                  <w14:solidFill>
                    <w14:schemeClr w14:val="tx1"/>
                  </w14:solidFill>
                </w14:textFill>
              </w:rPr>
            </w:pPr>
            <w:r>
              <w:rPr>
                <w:rFonts w:hint="eastAsia" w:cs="宋体"/>
                <w:b/>
                <w:bCs w:val="0"/>
                <w:color w:val="000000" w:themeColor="text1"/>
                <w:sz w:val="24"/>
                <w:szCs w:val="24"/>
                <w:highlight w:val="none"/>
                <w14:textFill>
                  <w14:solidFill>
                    <w14:schemeClr w14:val="tx1"/>
                  </w14:solidFill>
                </w14:textFill>
              </w:rPr>
              <w:t>表</w:t>
            </w:r>
            <w:r>
              <w:rPr>
                <w:rFonts w:hint="eastAsia" w:cs="宋体"/>
                <w:b/>
                <w:bCs w:val="0"/>
                <w:color w:val="000000" w:themeColor="text1"/>
                <w:sz w:val="24"/>
                <w:szCs w:val="24"/>
                <w:highlight w:val="none"/>
                <w:lang w:val="en-US" w:eastAsia="zh-CN"/>
                <w14:textFill>
                  <w14:solidFill>
                    <w14:schemeClr w14:val="tx1"/>
                  </w14:solidFill>
                </w14:textFill>
              </w:rPr>
              <w:t>4</w:t>
            </w:r>
            <w:r>
              <w:rPr>
                <w:rFonts w:hint="eastAsia"/>
                <w:b/>
                <w:bCs w:val="0"/>
                <w:color w:val="000000" w:themeColor="text1"/>
                <w:sz w:val="24"/>
                <w:szCs w:val="24"/>
                <w:highlight w:val="none"/>
                <w:lang w:val="en-US" w:eastAsia="zh-CN"/>
                <w14:textFill>
                  <w14:solidFill>
                    <w14:schemeClr w14:val="tx1"/>
                  </w14:solidFill>
                </w14:textFill>
              </w:rPr>
              <w:t>.2</w:t>
            </w:r>
            <w:r>
              <w:rPr>
                <w:rFonts w:hint="eastAsia" w:cs="宋体"/>
                <w:b/>
                <w:bCs w:val="0"/>
                <w:color w:val="000000" w:themeColor="text1"/>
                <w:sz w:val="24"/>
                <w:szCs w:val="24"/>
                <w:highlight w:val="none"/>
                <w:lang w:val="en-US" w:eastAsia="zh-CN"/>
                <w14:textFill>
                  <w14:solidFill>
                    <w14:schemeClr w14:val="tx1"/>
                  </w14:solidFill>
                </w14:textFill>
              </w:rPr>
              <w:t xml:space="preserve">-3  </w:t>
            </w:r>
            <w:r>
              <w:rPr>
                <w:rFonts w:hint="eastAsia" w:cs="宋体"/>
                <w:b/>
                <w:bCs w:val="0"/>
                <w:color w:val="000000" w:themeColor="text1"/>
                <w:sz w:val="24"/>
                <w:szCs w:val="24"/>
                <w:highlight w:val="none"/>
                <w14:textFill>
                  <w14:solidFill>
                    <w14:schemeClr w14:val="tx1"/>
                  </w14:solidFill>
                </w14:textFill>
              </w:rPr>
              <w:t>酸性废气治理措施可行分析表</w:t>
            </w:r>
          </w:p>
          <w:tbl>
            <w:tblPr>
              <w:tblStyle w:val="30"/>
              <w:tblW w:w="5000" w:type="pct"/>
              <w:tblInd w:w="10" w:type="dxa"/>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Layout w:type="fixed"/>
              <w:tblCellMar>
                <w:top w:w="0" w:type="dxa"/>
                <w:left w:w="108" w:type="dxa"/>
                <w:bottom w:w="0" w:type="dxa"/>
                <w:right w:w="108" w:type="dxa"/>
              </w:tblCellMar>
            </w:tblPr>
            <w:tblGrid>
              <w:gridCol w:w="1225"/>
              <w:gridCol w:w="2038"/>
              <w:gridCol w:w="1828"/>
              <w:gridCol w:w="1929"/>
              <w:gridCol w:w="1100"/>
            </w:tblGrid>
            <w:tr w14:paraId="056B7EE5">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c>
                <w:tcPr>
                  <w:tcW w:w="754" w:type="pct"/>
                  <w:tcBorders>
                    <w:tl2br w:val="nil"/>
                    <w:tr2bl w:val="nil"/>
                  </w:tcBorders>
                  <w:vAlign w:val="center"/>
                </w:tcPr>
                <w:p w14:paraId="4AFF3D27">
                  <w:pPr>
                    <w:pStyle w:val="11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废水类别</w:t>
                  </w:r>
                </w:p>
              </w:tc>
              <w:tc>
                <w:tcPr>
                  <w:tcW w:w="1254" w:type="pct"/>
                  <w:tcBorders>
                    <w:tl2br w:val="nil"/>
                    <w:tr2bl w:val="nil"/>
                  </w:tcBorders>
                  <w:vAlign w:val="center"/>
                </w:tcPr>
                <w:p w14:paraId="0DE6C8F8">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污染物</w:t>
                  </w:r>
                </w:p>
              </w:tc>
              <w:tc>
                <w:tcPr>
                  <w:tcW w:w="1125" w:type="pct"/>
                  <w:tcBorders>
                    <w:tl2br w:val="nil"/>
                    <w:tr2bl w:val="nil"/>
                  </w:tcBorders>
                  <w:vAlign w:val="center"/>
                </w:tcPr>
                <w:p w14:paraId="5C8EC050">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可行技术</w:t>
                  </w:r>
                </w:p>
              </w:tc>
              <w:tc>
                <w:tcPr>
                  <w:tcW w:w="1187" w:type="pct"/>
                  <w:tcBorders>
                    <w:tl2br w:val="nil"/>
                    <w:tr2bl w:val="nil"/>
                  </w:tcBorders>
                  <w:vAlign w:val="center"/>
                </w:tcPr>
                <w:p w14:paraId="48C01ED2">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项目实际</w:t>
                  </w:r>
                </w:p>
              </w:tc>
              <w:tc>
                <w:tcPr>
                  <w:tcW w:w="677" w:type="pct"/>
                  <w:tcBorders>
                    <w:tl2br w:val="nil"/>
                    <w:tr2bl w:val="nil"/>
                  </w:tcBorders>
                  <w:vAlign w:val="center"/>
                </w:tcPr>
                <w:p w14:paraId="1BB935BD">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是否可行</w:t>
                  </w:r>
                </w:p>
              </w:tc>
            </w:tr>
            <w:tr w14:paraId="253F2DD2">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323" w:hRule="atLeast"/>
              </w:trPr>
              <w:tc>
                <w:tcPr>
                  <w:tcW w:w="754" w:type="pct"/>
                  <w:tcBorders>
                    <w:tl2br w:val="nil"/>
                    <w:tr2bl w:val="nil"/>
                  </w:tcBorders>
                  <w:vAlign w:val="center"/>
                </w:tcPr>
                <w:p w14:paraId="746754FB">
                  <w:pPr>
                    <w:pStyle w:val="11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含氟废水</w:t>
                  </w:r>
                </w:p>
              </w:tc>
              <w:tc>
                <w:tcPr>
                  <w:tcW w:w="1254" w:type="pct"/>
                  <w:tcBorders>
                    <w:tl2br w:val="nil"/>
                    <w:tr2bl w:val="nil"/>
                  </w:tcBorders>
                  <w:vAlign w:val="center"/>
                </w:tcPr>
                <w:p w14:paraId="7FDA9ABE">
                  <w:pPr>
                    <w:pStyle w:val="110"/>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氟化物</w:t>
                  </w:r>
                </w:p>
              </w:tc>
              <w:tc>
                <w:tcPr>
                  <w:tcW w:w="1125" w:type="pct"/>
                  <w:tcBorders>
                    <w:tl2br w:val="nil"/>
                    <w:tr2bl w:val="nil"/>
                  </w:tcBorders>
                  <w:vAlign w:val="center"/>
                </w:tcPr>
                <w:p w14:paraId="13422C67">
                  <w:pPr>
                    <w:pStyle w:val="11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化学沉淀法、其他</w:t>
                  </w:r>
                </w:p>
              </w:tc>
              <w:tc>
                <w:tcPr>
                  <w:tcW w:w="1187" w:type="pct"/>
                  <w:tcBorders>
                    <w:tl2br w:val="nil"/>
                    <w:tr2bl w:val="nil"/>
                  </w:tcBorders>
                  <w:vAlign w:val="center"/>
                </w:tcPr>
                <w:p w14:paraId="41BDED2C">
                  <w:pPr>
                    <w:pStyle w:val="11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氯化钙化学沉淀</w:t>
                  </w:r>
                  <w:r>
                    <w:rPr>
                      <w:rFonts w:hint="eastAsia"/>
                      <w:color w:val="000000" w:themeColor="text1"/>
                      <w:highlight w:val="none"/>
                      <w:lang w:val="en-US" w:eastAsia="zh-CN"/>
                      <w14:textFill>
                        <w14:solidFill>
                          <w14:schemeClr w14:val="tx1"/>
                        </w14:solidFill>
                      </w14:textFill>
                    </w:rPr>
                    <w:t>法</w:t>
                  </w:r>
                </w:p>
              </w:tc>
              <w:tc>
                <w:tcPr>
                  <w:tcW w:w="677" w:type="pct"/>
                  <w:tcBorders>
                    <w:tl2br w:val="nil"/>
                    <w:tr2bl w:val="nil"/>
                  </w:tcBorders>
                  <w:vAlign w:val="center"/>
                </w:tcPr>
                <w:p w14:paraId="4287A71B">
                  <w:pPr>
                    <w:pStyle w:val="110"/>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是</w:t>
                  </w:r>
                </w:p>
              </w:tc>
            </w:tr>
            <w:tr w14:paraId="20858F3C">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673" w:hRule="atLeast"/>
              </w:trPr>
              <w:tc>
                <w:tcPr>
                  <w:tcW w:w="754" w:type="pct"/>
                  <w:tcBorders>
                    <w:tl2br w:val="nil"/>
                    <w:tr2bl w:val="nil"/>
                  </w:tcBorders>
                  <w:vAlign w:val="center"/>
                </w:tcPr>
                <w:p w14:paraId="257D4F8D">
                  <w:pPr>
                    <w:pStyle w:val="11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综合废水</w:t>
                  </w:r>
                </w:p>
              </w:tc>
              <w:tc>
                <w:tcPr>
                  <w:tcW w:w="1254" w:type="pct"/>
                  <w:tcBorders>
                    <w:tl2br w:val="nil"/>
                    <w:tr2bl w:val="nil"/>
                  </w:tcBorders>
                  <w:vAlign w:val="center"/>
                </w:tcPr>
                <w:p w14:paraId="6123D410">
                  <w:pPr>
                    <w:pStyle w:val="110"/>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化学需氧量、氨氮、氟化物、</w:t>
                  </w:r>
                  <w:r>
                    <w:rPr>
                      <w:rFonts w:hint="eastAsia"/>
                      <w:color w:val="000000" w:themeColor="text1"/>
                      <w:highlight w:val="none"/>
                      <w:lang w:val="en-US" w:eastAsia="zh-CN"/>
                      <w14:textFill>
                        <w14:solidFill>
                          <w14:schemeClr w14:val="tx1"/>
                        </w14:solidFill>
                      </w14:textFill>
                    </w:rPr>
                    <w:t>悬浮物</w:t>
                  </w:r>
                </w:p>
              </w:tc>
              <w:tc>
                <w:tcPr>
                  <w:tcW w:w="1125" w:type="pct"/>
                  <w:tcBorders>
                    <w:tl2br w:val="nil"/>
                    <w:tr2bl w:val="nil"/>
                  </w:tcBorders>
                  <w:vAlign w:val="center"/>
                </w:tcPr>
                <w:p w14:paraId="39926BBD">
                  <w:pPr>
                    <w:pStyle w:val="11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厂内综合污水处理设施</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中和调节法、生化法、其他</w:t>
                  </w:r>
                </w:p>
              </w:tc>
              <w:tc>
                <w:tcPr>
                  <w:tcW w:w="1187" w:type="pct"/>
                  <w:tcBorders>
                    <w:tl2br w:val="nil"/>
                    <w:tr2bl w:val="nil"/>
                  </w:tcBorders>
                  <w:vAlign w:val="center"/>
                </w:tcPr>
                <w:p w14:paraId="43CDB83B">
                  <w:pPr>
                    <w:pStyle w:val="11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pH调节+混凝池+沉淀池+过滤池</w:t>
                  </w:r>
                </w:p>
              </w:tc>
              <w:tc>
                <w:tcPr>
                  <w:tcW w:w="677" w:type="pct"/>
                  <w:tcBorders>
                    <w:tl2br w:val="nil"/>
                    <w:tr2bl w:val="nil"/>
                  </w:tcBorders>
                  <w:vAlign w:val="center"/>
                </w:tcPr>
                <w:p w14:paraId="08991C06">
                  <w:pPr>
                    <w:pStyle w:val="110"/>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是</w:t>
                  </w:r>
                </w:p>
              </w:tc>
            </w:tr>
            <w:tr w14:paraId="3EDC3945">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673" w:hRule="atLeast"/>
              </w:trPr>
              <w:tc>
                <w:tcPr>
                  <w:tcW w:w="754" w:type="pct"/>
                  <w:tcBorders>
                    <w:tl2br w:val="nil"/>
                    <w:tr2bl w:val="nil"/>
                  </w:tcBorders>
                  <w:vAlign w:val="center"/>
                </w:tcPr>
                <w:p w14:paraId="27026190">
                  <w:pPr>
                    <w:pStyle w:val="11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生活污水</w:t>
                  </w:r>
                </w:p>
              </w:tc>
              <w:tc>
                <w:tcPr>
                  <w:tcW w:w="1254" w:type="pct"/>
                  <w:tcBorders>
                    <w:tl2br w:val="nil"/>
                    <w:tr2bl w:val="nil"/>
                  </w:tcBorders>
                  <w:vAlign w:val="center"/>
                </w:tcPr>
                <w:p w14:paraId="03B33BBD">
                  <w:pPr>
                    <w:pStyle w:val="11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化学需氧量、氨氮等</w:t>
                  </w:r>
                </w:p>
              </w:tc>
              <w:tc>
                <w:tcPr>
                  <w:tcW w:w="1125" w:type="pct"/>
                  <w:tcBorders>
                    <w:tl2br w:val="nil"/>
                    <w:tr2bl w:val="nil"/>
                  </w:tcBorders>
                  <w:vAlign w:val="center"/>
                </w:tcPr>
                <w:p w14:paraId="2353B872">
                  <w:pPr>
                    <w:pStyle w:val="11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隔油池+化粪池</w:t>
                  </w:r>
                </w:p>
              </w:tc>
              <w:tc>
                <w:tcPr>
                  <w:tcW w:w="1187" w:type="pct"/>
                  <w:tcBorders>
                    <w:tl2br w:val="nil"/>
                    <w:tr2bl w:val="nil"/>
                  </w:tcBorders>
                  <w:vAlign w:val="center"/>
                </w:tcPr>
                <w:p w14:paraId="3CDC4BDD">
                  <w:pPr>
                    <w:pStyle w:val="11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隔油+化粪池</w:t>
                  </w:r>
                </w:p>
              </w:tc>
              <w:tc>
                <w:tcPr>
                  <w:tcW w:w="677" w:type="pct"/>
                  <w:tcBorders>
                    <w:tl2br w:val="nil"/>
                    <w:tr2bl w:val="nil"/>
                  </w:tcBorders>
                  <w:vAlign w:val="center"/>
                </w:tcPr>
                <w:p w14:paraId="4775894C">
                  <w:pPr>
                    <w:pStyle w:val="11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是</w:t>
                  </w:r>
                </w:p>
              </w:tc>
            </w:tr>
          </w:tbl>
          <w:p w14:paraId="6692A185">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eastAsia="宋体"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四</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污水处理厂依托可行性分析</w:t>
            </w:r>
          </w:p>
          <w:p w14:paraId="4C248ADB">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本项目生产废水、生活污水经处理后，均纳入</w:t>
            </w:r>
            <w:r>
              <w:rPr>
                <w:rFonts w:hint="eastAsia" w:cs="宋体"/>
                <w:color w:val="000000" w:themeColor="text1"/>
                <w:sz w:val="24"/>
                <w:szCs w:val="32"/>
                <w:highlight w:val="none"/>
                <w:lang w:eastAsia="zh-CN"/>
                <w14:textFill>
                  <w14:solidFill>
                    <w14:schemeClr w14:val="tx1"/>
                  </w14:solidFill>
                </w14:textFill>
              </w:rPr>
              <w:t>福州大学城污水处理厂</w:t>
            </w:r>
            <w:r>
              <w:rPr>
                <w:rFonts w:hint="eastAsia" w:cs="宋体"/>
                <w:color w:val="000000" w:themeColor="text1"/>
                <w:sz w:val="24"/>
                <w:szCs w:val="32"/>
                <w:highlight w:val="none"/>
                <w14:textFill>
                  <w14:solidFill>
                    <w14:schemeClr w14:val="tx1"/>
                  </w14:solidFill>
                </w14:textFill>
              </w:rPr>
              <w:t>集中处理</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14:textFill>
                  <w14:solidFill>
                    <w14:schemeClr w14:val="tx1"/>
                  </w14:solidFill>
                </w14:textFill>
              </w:rPr>
              <w:t>属于间接排放，根据《建设项目环境影响报告表编制技术指南(污染影响类)(试行)》</w:t>
            </w:r>
            <w:r>
              <w:rPr>
                <w:rFonts w:hint="eastAsia" w:cs="宋体"/>
                <w:color w:val="000000" w:themeColor="text1"/>
                <w:sz w:val="24"/>
                <w:szCs w:val="24"/>
                <w:highlight w:val="none"/>
                <w14:textFill>
                  <w14:solidFill>
                    <w14:schemeClr w14:val="tx1"/>
                  </w14:solidFill>
                </w14:textFill>
              </w:rPr>
              <w:t>(环办环评</w:t>
            </w:r>
            <w:r>
              <w:rPr>
                <w:rFonts w:hint="eastAsia"/>
                <w:color w:val="000000" w:themeColor="text1"/>
                <w:sz w:val="24"/>
                <w:szCs w:val="24"/>
                <w:highlight w:val="none"/>
                <w:lang w:eastAsia="zh-CN"/>
                <w14:textFill>
                  <w14:solidFill>
                    <w14:schemeClr w14:val="tx1"/>
                  </w14:solidFill>
                </w14:textFill>
              </w:rPr>
              <w:t>〔20</w:t>
            </w:r>
            <w:r>
              <w:rPr>
                <w:rFonts w:hint="eastAsia"/>
                <w:color w:val="000000" w:themeColor="text1"/>
                <w:sz w:val="24"/>
                <w:szCs w:val="24"/>
                <w:highlight w:val="none"/>
                <w:lang w:val="en-US" w:eastAsia="zh-CN"/>
                <w14:textFill>
                  <w14:solidFill>
                    <w14:schemeClr w14:val="tx1"/>
                  </w14:solidFill>
                </w14:textFill>
              </w:rPr>
              <w:t>20</w:t>
            </w:r>
            <w:r>
              <w:rPr>
                <w:rFonts w:hint="eastAsia"/>
                <w:color w:val="000000" w:themeColor="text1"/>
                <w:sz w:val="24"/>
                <w:szCs w:val="24"/>
                <w:highlight w:val="none"/>
                <w:lang w:eastAsia="zh-CN"/>
                <w14:textFill>
                  <w14:solidFill>
                    <w14:schemeClr w14:val="tx1"/>
                  </w14:solidFill>
                </w14:textFill>
              </w:rPr>
              <w:t>〕</w:t>
            </w:r>
            <w:r>
              <w:rPr>
                <w:rFonts w:hint="eastAsia" w:cs="宋体"/>
                <w:color w:val="000000" w:themeColor="text1"/>
                <w:sz w:val="24"/>
                <w:szCs w:val="24"/>
                <w:highlight w:val="none"/>
                <w14:textFill>
                  <w14:solidFill>
                    <w14:schemeClr w14:val="tx1"/>
                  </w14:solidFill>
                </w14:textFill>
              </w:rPr>
              <w:t>33号)</w:t>
            </w:r>
            <w:r>
              <w:rPr>
                <w:rFonts w:hint="eastAsia" w:cs="宋体"/>
                <w:color w:val="000000" w:themeColor="text1"/>
                <w:sz w:val="24"/>
                <w:szCs w:val="32"/>
                <w:highlight w:val="none"/>
                <w14:textFill>
                  <w14:solidFill>
                    <w14:schemeClr w14:val="tx1"/>
                  </w14:solidFill>
                </w14:textFill>
              </w:rPr>
              <w:t>要求，废水间接排放的建设项目应从处理能力、处理工艺、设计进出水水质等方面，分析依托集中污水处理厂的可行性。</w:t>
            </w:r>
          </w:p>
          <w:p w14:paraId="0778E801">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(1)</w:t>
            </w:r>
            <w:r>
              <w:rPr>
                <w:rFonts w:hint="eastAsia" w:cs="宋体"/>
                <w:color w:val="000000" w:themeColor="text1"/>
                <w:sz w:val="24"/>
                <w:szCs w:val="32"/>
                <w:highlight w:val="none"/>
                <w:lang w:eastAsia="zh-CN"/>
                <w14:textFill>
                  <w14:solidFill>
                    <w14:schemeClr w14:val="tx1"/>
                  </w14:solidFill>
                </w14:textFill>
              </w:rPr>
              <w:t>福州大学城污水处理厂</w:t>
            </w:r>
            <w:r>
              <w:rPr>
                <w:rFonts w:hint="eastAsia" w:cs="宋体"/>
                <w:color w:val="000000" w:themeColor="text1"/>
                <w:sz w:val="24"/>
                <w:szCs w:val="32"/>
                <w:highlight w:val="none"/>
                <w14:textFill>
                  <w14:solidFill>
                    <w14:schemeClr w14:val="tx1"/>
                  </w14:solidFill>
                </w14:textFill>
              </w:rPr>
              <w:t>基本情况</w:t>
            </w:r>
          </w:p>
          <w:p w14:paraId="289EE40D">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①设计进出水水质</w:t>
            </w:r>
          </w:p>
          <w:p w14:paraId="1E2254FA">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根据</w:t>
            </w:r>
            <w:r>
              <w:rPr>
                <w:rFonts w:hint="eastAsia" w:cs="宋体"/>
                <w:color w:val="000000" w:themeColor="text1"/>
                <w:sz w:val="24"/>
                <w:szCs w:val="32"/>
                <w:highlight w:val="none"/>
                <w:lang w:eastAsia="zh-CN"/>
                <w14:textFill>
                  <w14:solidFill>
                    <w14:schemeClr w14:val="tx1"/>
                  </w14:solidFill>
                </w14:textFill>
              </w:rPr>
              <w:t>福州大学城污水处理厂</w:t>
            </w:r>
            <w:r>
              <w:rPr>
                <w:rFonts w:hint="eastAsia" w:cs="宋体"/>
                <w:color w:val="000000" w:themeColor="text1"/>
                <w:sz w:val="24"/>
                <w:szCs w:val="32"/>
                <w:highlight w:val="none"/>
                <w:lang w:val="en-US" w:eastAsia="zh-CN"/>
                <w14:textFill>
                  <w14:solidFill>
                    <w14:schemeClr w14:val="tx1"/>
                  </w14:solidFill>
                </w14:textFill>
              </w:rPr>
              <w:t>环评报告可知</w:t>
            </w:r>
            <w:r>
              <w:rPr>
                <w:rFonts w:hint="eastAsia" w:cs="宋体"/>
                <w:color w:val="000000" w:themeColor="text1"/>
                <w:sz w:val="24"/>
                <w:szCs w:val="32"/>
                <w:highlight w:val="none"/>
                <w14:textFill>
                  <w14:solidFill>
                    <w14:schemeClr w14:val="tx1"/>
                  </w14:solidFill>
                </w14:textFill>
              </w:rPr>
              <w:t>，</w:t>
            </w:r>
            <w:r>
              <w:rPr>
                <w:rFonts w:hint="eastAsia" w:cs="宋体"/>
                <w:color w:val="000000" w:themeColor="text1"/>
                <w:sz w:val="24"/>
                <w:szCs w:val="32"/>
                <w:highlight w:val="none"/>
                <w:lang w:eastAsia="zh-CN"/>
                <w14:textFill>
                  <w14:solidFill>
                    <w14:schemeClr w14:val="tx1"/>
                  </w14:solidFill>
                </w14:textFill>
              </w:rPr>
              <w:t>福州大学城污水处理厂</w:t>
            </w:r>
            <w:r>
              <w:rPr>
                <w:rFonts w:hint="eastAsia" w:cs="宋体"/>
                <w:color w:val="000000" w:themeColor="text1"/>
                <w:sz w:val="24"/>
                <w:szCs w:val="32"/>
                <w:highlight w:val="none"/>
                <w14:textFill>
                  <w14:solidFill>
                    <w14:schemeClr w14:val="tx1"/>
                  </w14:solidFill>
                </w14:textFill>
              </w:rPr>
              <w:t>进出水水质见</w:t>
            </w:r>
            <w:r>
              <w:rPr>
                <w:rFonts w:hint="eastAsia" w:cs="宋体"/>
                <w:color w:val="000000" w:themeColor="text1"/>
                <w:sz w:val="24"/>
                <w:szCs w:val="32"/>
                <w:highlight w:val="none"/>
                <w:lang w:val="en-US" w:eastAsia="zh-CN"/>
                <w14:textFill>
                  <w14:solidFill>
                    <w14:schemeClr w14:val="tx1"/>
                  </w14:solidFill>
                </w14:textFill>
              </w:rPr>
              <w:t>下</w:t>
            </w:r>
            <w:r>
              <w:rPr>
                <w:rFonts w:hint="eastAsia" w:cs="宋体"/>
                <w:color w:val="000000" w:themeColor="text1"/>
                <w:sz w:val="24"/>
                <w:szCs w:val="32"/>
                <w:highlight w:val="none"/>
                <w14:textFill>
                  <w14:solidFill>
                    <w14:schemeClr w14:val="tx1"/>
                  </w14:solidFill>
                </w14:textFill>
              </w:rPr>
              <w:t>表。</w:t>
            </w:r>
          </w:p>
          <w:p w14:paraId="08F24955">
            <w:pPr>
              <w:pStyle w:val="69"/>
              <w:spacing w:line="360" w:lineRule="auto"/>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表4</w:t>
            </w:r>
            <w:r>
              <w:rPr>
                <w:rFonts w:hint="eastAsia"/>
                <w:b/>
                <w:bCs w:val="0"/>
                <w:color w:val="000000" w:themeColor="text1"/>
                <w:sz w:val="24"/>
                <w:szCs w:val="24"/>
                <w:highlight w:val="none"/>
                <w:lang w:val="en-US" w:eastAsia="zh-CN"/>
                <w14:textFill>
                  <w14:solidFill>
                    <w14:schemeClr w14:val="tx1"/>
                  </w14:solidFill>
                </w14:textFill>
              </w:rPr>
              <w:t>.2</w:t>
            </w: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w:t>
            </w:r>
            <w:r>
              <w:rPr>
                <w:rFonts w:hint="eastAsia" w:eastAsia="宋体" w:cs="宋体"/>
                <w:b/>
                <w:color w:val="000000" w:themeColor="text1"/>
                <w:kern w:val="2"/>
                <w:sz w:val="24"/>
                <w:szCs w:val="24"/>
                <w:highlight w:val="none"/>
                <w:lang w:val="en-US" w:eastAsia="zh-CN" w:bidi="ar-SA"/>
                <w14:textFill>
                  <w14:solidFill>
                    <w14:schemeClr w14:val="tx1"/>
                  </w14:solidFill>
                </w14:textFill>
              </w:rPr>
              <w:t>4</w:t>
            </w: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 xml:space="preserve">  </w:t>
            </w:r>
            <w:r>
              <w:rPr>
                <w:rFonts w:hint="eastAsia" w:eastAsia="宋体" w:cs="宋体"/>
                <w:b/>
                <w:color w:val="000000" w:themeColor="text1"/>
                <w:kern w:val="2"/>
                <w:sz w:val="24"/>
                <w:szCs w:val="24"/>
                <w:highlight w:val="none"/>
                <w:lang w:val="en-US" w:eastAsia="zh-CN" w:bidi="ar-SA"/>
                <w14:textFill>
                  <w14:solidFill>
                    <w14:schemeClr w14:val="tx1"/>
                  </w14:solidFill>
                </w14:textFill>
              </w:rPr>
              <w:t>污水处理厂</w:t>
            </w: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进出水水质标准(mg/L  pH除外)</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
            <w:tblGrid>
              <w:gridCol w:w="1045"/>
              <w:gridCol w:w="543"/>
              <w:gridCol w:w="706"/>
              <w:gridCol w:w="706"/>
              <w:gridCol w:w="580"/>
              <w:gridCol w:w="832"/>
              <w:gridCol w:w="706"/>
              <w:gridCol w:w="712"/>
              <w:gridCol w:w="2290"/>
            </w:tblGrid>
            <w:tr w14:paraId="1FDEB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blHeader/>
                <w:jc w:val="center"/>
              </w:trPr>
              <w:tc>
                <w:tcPr>
                  <w:tcW w:w="643" w:type="pct"/>
                  <w:shd w:val="clear" w:color="auto" w:fill="auto"/>
                  <w:vAlign w:val="center"/>
                </w:tcPr>
                <w:p w14:paraId="257D6E6F">
                  <w:pPr>
                    <w:pStyle w:val="70"/>
                    <w:adjustRightInd/>
                    <w:snapToGrid/>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水质指标</w:t>
                  </w:r>
                </w:p>
              </w:tc>
              <w:tc>
                <w:tcPr>
                  <w:tcW w:w="334" w:type="pct"/>
                  <w:shd w:val="clear" w:color="auto" w:fill="auto"/>
                  <w:vAlign w:val="center"/>
                </w:tcPr>
                <w:p w14:paraId="14BF68FE">
                  <w:pPr>
                    <w:pStyle w:val="70"/>
                    <w:adjustRightInd/>
                    <w:snapToGrid/>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pH</w:t>
                  </w:r>
                </w:p>
              </w:tc>
              <w:tc>
                <w:tcPr>
                  <w:tcW w:w="434" w:type="pct"/>
                  <w:shd w:val="clear" w:color="auto" w:fill="auto"/>
                  <w:vAlign w:val="center"/>
                </w:tcPr>
                <w:p w14:paraId="434D23DC">
                  <w:pPr>
                    <w:pStyle w:val="70"/>
                    <w:adjustRightInd/>
                    <w:snapToGrid/>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COD</w:t>
                  </w:r>
                </w:p>
              </w:tc>
              <w:tc>
                <w:tcPr>
                  <w:tcW w:w="434" w:type="pct"/>
                  <w:shd w:val="clear" w:color="auto" w:fill="auto"/>
                  <w:vAlign w:val="center"/>
                </w:tcPr>
                <w:p w14:paraId="32DC16EE">
                  <w:pPr>
                    <w:pStyle w:val="70"/>
                    <w:adjustRightInd/>
                    <w:snapToGrid/>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BOD</w:t>
                  </w:r>
                  <w:r>
                    <w:rPr>
                      <w:rFonts w:hint="eastAsia"/>
                      <w:color w:val="000000" w:themeColor="text1"/>
                      <w:sz w:val="21"/>
                      <w:szCs w:val="21"/>
                      <w:highlight w:val="none"/>
                      <w:vertAlign w:val="subscript"/>
                      <w:lang w:val="en-US" w:eastAsia="zh-CN"/>
                      <w14:textFill>
                        <w14:solidFill>
                          <w14:schemeClr w14:val="tx1"/>
                        </w14:solidFill>
                      </w14:textFill>
                    </w:rPr>
                    <w:t>5</w:t>
                  </w:r>
                </w:p>
              </w:tc>
              <w:tc>
                <w:tcPr>
                  <w:tcW w:w="357" w:type="pct"/>
                  <w:shd w:val="clear" w:color="auto" w:fill="auto"/>
                  <w:vAlign w:val="center"/>
                </w:tcPr>
                <w:p w14:paraId="570857A9">
                  <w:pPr>
                    <w:pStyle w:val="70"/>
                    <w:adjustRightInd/>
                    <w:snapToGrid/>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SS</w:t>
                  </w:r>
                </w:p>
              </w:tc>
              <w:tc>
                <w:tcPr>
                  <w:tcW w:w="512" w:type="pct"/>
                  <w:shd w:val="clear" w:color="auto" w:fill="auto"/>
                  <w:vAlign w:val="center"/>
                </w:tcPr>
                <w:p w14:paraId="7C4DD583">
                  <w:pPr>
                    <w:pStyle w:val="70"/>
                    <w:adjustRightInd/>
                    <w:snapToGrid/>
                    <w:rPr>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lang w:val="en-US" w:eastAsia="zh-CN"/>
                      <w14:textFill>
                        <w14:solidFill>
                          <w14:schemeClr w14:val="tx1"/>
                        </w14:solidFill>
                      </w14:textFill>
                    </w:rPr>
                    <w:t>NH</w:t>
                  </w:r>
                  <w:r>
                    <w:rPr>
                      <w:rFonts w:hint="eastAsia" w:cs="宋体"/>
                      <w:color w:val="000000" w:themeColor="text1"/>
                      <w:sz w:val="21"/>
                      <w:szCs w:val="21"/>
                      <w:highlight w:val="none"/>
                      <w:vertAlign w:val="subscript"/>
                      <w:lang w:val="en-US" w:eastAsia="zh-CN"/>
                      <w14:textFill>
                        <w14:solidFill>
                          <w14:schemeClr w14:val="tx1"/>
                        </w14:solidFill>
                      </w14:textFill>
                    </w:rPr>
                    <w:t>3</w:t>
                  </w:r>
                  <w:r>
                    <w:rPr>
                      <w:rFonts w:hint="eastAsia" w:cs="宋体"/>
                      <w:color w:val="000000" w:themeColor="text1"/>
                      <w:sz w:val="21"/>
                      <w:szCs w:val="21"/>
                      <w:highlight w:val="none"/>
                      <w:lang w:val="en-US" w:eastAsia="zh-CN"/>
                      <w14:textFill>
                        <w14:solidFill>
                          <w14:schemeClr w14:val="tx1"/>
                        </w14:solidFill>
                      </w14:textFill>
                    </w:rPr>
                    <w:t>-N</w:t>
                  </w:r>
                </w:p>
              </w:tc>
              <w:tc>
                <w:tcPr>
                  <w:tcW w:w="434" w:type="pct"/>
                  <w:shd w:val="clear" w:color="auto" w:fill="auto"/>
                  <w:vAlign w:val="center"/>
                </w:tcPr>
                <w:p w14:paraId="6BE6FB60">
                  <w:pPr>
                    <w:pStyle w:val="70"/>
                    <w:adjustRightInd/>
                    <w:snapToGrid/>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TN</w:t>
                  </w:r>
                </w:p>
              </w:tc>
              <w:tc>
                <w:tcPr>
                  <w:tcW w:w="438" w:type="pct"/>
                  <w:shd w:val="clear" w:color="auto" w:fill="auto"/>
                  <w:vAlign w:val="center"/>
                </w:tcPr>
                <w:p w14:paraId="5D695BAA">
                  <w:pPr>
                    <w:pStyle w:val="70"/>
                    <w:adjustRightInd/>
                    <w:snapToGrid/>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TP</w:t>
                  </w:r>
                </w:p>
              </w:tc>
              <w:tc>
                <w:tcPr>
                  <w:tcW w:w="1410" w:type="pct"/>
                  <w:shd w:val="clear" w:color="auto" w:fill="auto"/>
                  <w:vAlign w:val="center"/>
                </w:tcPr>
                <w:p w14:paraId="6B73C881">
                  <w:pPr>
                    <w:pStyle w:val="70"/>
                    <w:adjustRightInd/>
                    <w:snapToGrid/>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备注</w:t>
                  </w:r>
                </w:p>
              </w:tc>
            </w:tr>
            <w:tr w14:paraId="0591A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jc w:val="center"/>
              </w:trPr>
              <w:tc>
                <w:tcPr>
                  <w:tcW w:w="643" w:type="pct"/>
                  <w:shd w:val="clear" w:color="auto" w:fill="auto"/>
                  <w:vAlign w:val="center"/>
                </w:tcPr>
                <w:p w14:paraId="513DC43D">
                  <w:pPr>
                    <w:pStyle w:val="70"/>
                    <w:adjustRightInd/>
                    <w:snapToGrid/>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进水水质</w:t>
                  </w:r>
                </w:p>
              </w:tc>
              <w:tc>
                <w:tcPr>
                  <w:tcW w:w="334" w:type="pct"/>
                  <w:shd w:val="clear" w:color="auto" w:fill="auto"/>
                  <w:vAlign w:val="center"/>
                </w:tcPr>
                <w:p w14:paraId="0AAFB11F">
                  <w:pPr>
                    <w:pStyle w:val="70"/>
                    <w:adjustRightInd/>
                    <w:snapToGrid/>
                    <w:rPr>
                      <w:color w:val="000000" w:themeColor="text1"/>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6~9</w:t>
                  </w:r>
                </w:p>
              </w:tc>
              <w:tc>
                <w:tcPr>
                  <w:tcW w:w="434" w:type="pct"/>
                  <w:shd w:val="clear" w:color="auto" w:fill="auto"/>
                  <w:vAlign w:val="center"/>
                </w:tcPr>
                <w:p w14:paraId="0A9F877A">
                  <w:pPr>
                    <w:pStyle w:val="70"/>
                    <w:adjustRightInd/>
                    <w:snapToGrid/>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240</w:t>
                  </w:r>
                </w:p>
              </w:tc>
              <w:tc>
                <w:tcPr>
                  <w:tcW w:w="434" w:type="pct"/>
                  <w:shd w:val="clear" w:color="auto" w:fill="auto"/>
                  <w:vAlign w:val="center"/>
                </w:tcPr>
                <w:p w14:paraId="19E4FF80">
                  <w:pPr>
                    <w:pStyle w:val="70"/>
                    <w:adjustRightInd/>
                    <w:snapToGrid/>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120</w:t>
                  </w:r>
                </w:p>
              </w:tc>
              <w:tc>
                <w:tcPr>
                  <w:tcW w:w="357" w:type="pct"/>
                  <w:shd w:val="clear" w:color="auto" w:fill="auto"/>
                  <w:vAlign w:val="center"/>
                </w:tcPr>
                <w:p w14:paraId="6B6D9D94">
                  <w:pPr>
                    <w:pStyle w:val="70"/>
                    <w:adjustRightInd/>
                    <w:snapToGrid/>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180</w:t>
                  </w:r>
                </w:p>
              </w:tc>
              <w:tc>
                <w:tcPr>
                  <w:tcW w:w="512" w:type="pct"/>
                  <w:shd w:val="clear" w:color="auto" w:fill="auto"/>
                  <w:vAlign w:val="center"/>
                </w:tcPr>
                <w:p w14:paraId="170922BA">
                  <w:pPr>
                    <w:pStyle w:val="70"/>
                    <w:adjustRightInd/>
                    <w:snapToGrid/>
                    <w:rPr>
                      <w:rFonts w:hint="default"/>
                      <w:color w:val="000000" w:themeColor="text1"/>
                      <w:sz w:val="21"/>
                      <w:szCs w:val="21"/>
                      <w:highlight w:val="none"/>
                      <w:lang w:val="en-US"/>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30</w:t>
                  </w:r>
                </w:p>
              </w:tc>
              <w:tc>
                <w:tcPr>
                  <w:tcW w:w="434" w:type="pct"/>
                  <w:shd w:val="clear" w:color="auto" w:fill="auto"/>
                  <w:vAlign w:val="center"/>
                </w:tcPr>
                <w:p w14:paraId="61008EB0">
                  <w:pPr>
                    <w:pStyle w:val="70"/>
                    <w:adjustRightInd/>
                    <w:snapToGrid/>
                    <w:rPr>
                      <w:rFonts w:hint="default"/>
                      <w:color w:val="000000" w:themeColor="text1"/>
                      <w:sz w:val="21"/>
                      <w:szCs w:val="21"/>
                      <w:highlight w:val="none"/>
                      <w:lang w:val="en-US"/>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40</w:t>
                  </w:r>
                </w:p>
              </w:tc>
              <w:tc>
                <w:tcPr>
                  <w:tcW w:w="438" w:type="pct"/>
                  <w:shd w:val="clear" w:color="auto" w:fill="auto"/>
                  <w:vAlign w:val="center"/>
                </w:tcPr>
                <w:p w14:paraId="3CF52F1D">
                  <w:pPr>
                    <w:pStyle w:val="70"/>
                    <w:adjustRightInd/>
                    <w:snapToGrid/>
                    <w:rPr>
                      <w:rFonts w:hint="default"/>
                      <w:color w:val="000000" w:themeColor="text1"/>
                      <w:sz w:val="21"/>
                      <w:szCs w:val="21"/>
                      <w:highlight w:val="none"/>
                      <w:lang w:val="en-US"/>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4</w:t>
                  </w:r>
                </w:p>
              </w:tc>
              <w:tc>
                <w:tcPr>
                  <w:tcW w:w="1410" w:type="pct"/>
                  <w:shd w:val="clear" w:color="auto" w:fill="auto"/>
                  <w:vAlign w:val="center"/>
                </w:tcPr>
                <w:p w14:paraId="56CB14D2">
                  <w:pPr>
                    <w:pStyle w:val="70"/>
                    <w:adjustRightInd/>
                    <w:snapToGrid/>
                    <w:rPr>
                      <w:rFonts w:hint="eastAsia"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w:t>
                  </w:r>
                </w:p>
              </w:tc>
            </w:tr>
            <w:tr w14:paraId="15523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jc w:val="center"/>
              </w:trPr>
              <w:tc>
                <w:tcPr>
                  <w:tcW w:w="643" w:type="pct"/>
                  <w:shd w:val="clear" w:color="auto" w:fill="auto"/>
                  <w:vAlign w:val="center"/>
                </w:tcPr>
                <w:p w14:paraId="38CA8ABD">
                  <w:pPr>
                    <w:pStyle w:val="70"/>
                    <w:adjustRightInd/>
                    <w:snapToGrid/>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出水水质</w:t>
                  </w:r>
                </w:p>
              </w:tc>
              <w:tc>
                <w:tcPr>
                  <w:tcW w:w="334" w:type="pct"/>
                  <w:shd w:val="clear" w:color="auto" w:fill="auto"/>
                  <w:vAlign w:val="center"/>
                </w:tcPr>
                <w:p w14:paraId="4BE43732">
                  <w:pPr>
                    <w:pStyle w:val="70"/>
                    <w:adjustRightInd/>
                    <w:snapToGrid/>
                    <w:rPr>
                      <w:color w:val="000000" w:themeColor="text1"/>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6~9</w:t>
                  </w:r>
                </w:p>
              </w:tc>
              <w:tc>
                <w:tcPr>
                  <w:tcW w:w="434" w:type="pct"/>
                  <w:shd w:val="clear" w:color="auto" w:fill="auto"/>
                  <w:vAlign w:val="center"/>
                </w:tcPr>
                <w:p w14:paraId="7CA71795">
                  <w:pPr>
                    <w:pStyle w:val="70"/>
                    <w:adjustRightInd/>
                    <w:snapToGrid/>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50</w:t>
                  </w:r>
                </w:p>
              </w:tc>
              <w:tc>
                <w:tcPr>
                  <w:tcW w:w="434" w:type="pct"/>
                  <w:shd w:val="clear" w:color="auto" w:fill="auto"/>
                  <w:vAlign w:val="center"/>
                </w:tcPr>
                <w:p w14:paraId="219BCC82">
                  <w:pPr>
                    <w:pStyle w:val="70"/>
                    <w:adjustRightInd/>
                    <w:snapToGrid/>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10</w:t>
                  </w:r>
                </w:p>
              </w:tc>
              <w:tc>
                <w:tcPr>
                  <w:tcW w:w="357" w:type="pct"/>
                  <w:shd w:val="clear" w:color="auto" w:fill="auto"/>
                  <w:vAlign w:val="center"/>
                </w:tcPr>
                <w:p w14:paraId="551A2E68">
                  <w:pPr>
                    <w:pStyle w:val="70"/>
                    <w:adjustRightInd/>
                    <w:snapToGrid/>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10</w:t>
                  </w:r>
                </w:p>
              </w:tc>
              <w:tc>
                <w:tcPr>
                  <w:tcW w:w="512" w:type="pct"/>
                  <w:shd w:val="clear" w:color="auto" w:fill="auto"/>
                  <w:vAlign w:val="center"/>
                </w:tcPr>
                <w:p w14:paraId="50EE3D0E">
                  <w:pPr>
                    <w:pStyle w:val="70"/>
                    <w:adjustRightInd/>
                    <w:snapToGrid/>
                    <w:rPr>
                      <w:rFonts w:hint="eastAsia"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5</w:t>
                  </w:r>
                </w:p>
              </w:tc>
              <w:tc>
                <w:tcPr>
                  <w:tcW w:w="434" w:type="pct"/>
                  <w:shd w:val="clear" w:color="auto" w:fill="auto"/>
                  <w:vAlign w:val="center"/>
                </w:tcPr>
                <w:p w14:paraId="1756CA4B">
                  <w:pPr>
                    <w:pStyle w:val="70"/>
                    <w:adjustRightInd/>
                    <w:snapToGrid/>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15</w:t>
                  </w:r>
                </w:p>
              </w:tc>
              <w:tc>
                <w:tcPr>
                  <w:tcW w:w="438" w:type="pct"/>
                  <w:shd w:val="clear" w:color="auto" w:fill="auto"/>
                  <w:vAlign w:val="center"/>
                </w:tcPr>
                <w:p w14:paraId="657574B7">
                  <w:pPr>
                    <w:pStyle w:val="70"/>
                    <w:adjustRightInd/>
                    <w:snapToGrid/>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0.5</w:t>
                  </w:r>
                </w:p>
              </w:tc>
              <w:tc>
                <w:tcPr>
                  <w:tcW w:w="1410" w:type="pct"/>
                  <w:shd w:val="clear" w:color="auto" w:fill="auto"/>
                  <w:vAlign w:val="center"/>
                </w:tcPr>
                <w:p w14:paraId="29131775">
                  <w:pPr>
                    <w:pStyle w:val="70"/>
                    <w:adjustRightInd/>
                    <w:snapToGrid/>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《城镇污水处理厂污染物排放标准》(GB18918-2002)及其修改单表1中一级</w:t>
                  </w:r>
                  <w:r>
                    <w:rPr>
                      <w:rFonts w:hint="eastAsia"/>
                      <w:color w:val="000000" w:themeColor="text1"/>
                      <w:sz w:val="21"/>
                      <w:szCs w:val="21"/>
                      <w:highlight w:val="none"/>
                      <w:lang w:val="en-US" w:eastAsia="zh-CN"/>
                      <w14:textFill>
                        <w14:solidFill>
                          <w14:schemeClr w14:val="tx1"/>
                        </w14:solidFill>
                      </w14:textFill>
                    </w:rPr>
                    <w:t>A</w:t>
                  </w:r>
                  <w:r>
                    <w:rPr>
                      <w:rFonts w:hint="eastAsia"/>
                      <w:color w:val="000000" w:themeColor="text1"/>
                      <w:sz w:val="21"/>
                      <w:szCs w:val="21"/>
                      <w:highlight w:val="none"/>
                      <w14:textFill>
                        <w14:solidFill>
                          <w14:schemeClr w14:val="tx1"/>
                        </w14:solidFill>
                      </w14:textFill>
                    </w:rPr>
                    <w:t>标准</w:t>
                  </w:r>
                </w:p>
              </w:tc>
            </w:tr>
          </w:tbl>
          <w:p w14:paraId="16FFD463">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②处理工艺</w:t>
            </w:r>
          </w:p>
          <w:p w14:paraId="2F18A4C7">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大学城污水处理厂采用CASS工艺（循环式活性污泥法），污水处理工艺流程详见</w:t>
            </w:r>
            <w:r>
              <w:rPr>
                <w:rFonts w:hint="eastAsia" w:cs="宋体"/>
                <w:color w:val="000000" w:themeColor="text1"/>
                <w:sz w:val="24"/>
                <w:szCs w:val="32"/>
                <w:highlight w:val="none"/>
                <w:lang w:val="en-US" w:eastAsia="zh-CN"/>
                <w14:textFill>
                  <w14:solidFill>
                    <w14:schemeClr w14:val="tx1"/>
                  </w14:solidFill>
                </w14:textFill>
              </w:rPr>
              <w:t>下</w:t>
            </w:r>
            <w:r>
              <w:rPr>
                <w:rFonts w:hint="eastAsia" w:cs="宋体"/>
                <w:color w:val="000000" w:themeColor="text1"/>
                <w:sz w:val="24"/>
                <w:szCs w:val="32"/>
                <w:highlight w:val="none"/>
                <w14:textFill>
                  <w14:solidFill>
                    <w14:schemeClr w14:val="tx1"/>
                  </w14:solidFill>
                </w14:textFill>
              </w:rPr>
              <w:t>图。</w:t>
            </w:r>
          </w:p>
          <w:p w14:paraId="24603EC6">
            <w:pPr>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5161915" cy="2094230"/>
                  <wp:effectExtent l="0" t="0" r="635" b="1270"/>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18"/>
                          <a:stretch>
                            <a:fillRect/>
                          </a:stretch>
                        </pic:blipFill>
                        <pic:spPr>
                          <a:xfrm>
                            <a:off x="0" y="0"/>
                            <a:ext cx="5161915" cy="2094230"/>
                          </a:xfrm>
                          <a:prstGeom prst="rect">
                            <a:avLst/>
                          </a:prstGeom>
                          <a:noFill/>
                          <a:ln>
                            <a:noFill/>
                          </a:ln>
                        </pic:spPr>
                      </pic:pic>
                    </a:graphicData>
                  </a:graphic>
                </wp:inline>
              </w:drawing>
            </w:r>
          </w:p>
          <w:p w14:paraId="26DF7AEA">
            <w:pPr>
              <w:spacing w:line="360" w:lineRule="auto"/>
              <w:jc w:val="center"/>
              <w:rPr>
                <w:rFonts w:hint="eastAsia"/>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图</w:t>
            </w:r>
            <w:r>
              <w:rPr>
                <w:rFonts w:hint="eastAsia"/>
                <w:b/>
                <w:bCs/>
                <w:color w:val="000000" w:themeColor="text1"/>
                <w:sz w:val="24"/>
                <w:szCs w:val="24"/>
                <w:highlight w:val="none"/>
                <w:lang w:val="en-US" w:eastAsia="zh-CN"/>
                <w14:textFill>
                  <w14:solidFill>
                    <w14:schemeClr w14:val="tx1"/>
                  </w14:solidFill>
                </w14:textFill>
              </w:rPr>
              <w:t>4.2-2 污水处理厂处理工艺流程图</w:t>
            </w:r>
          </w:p>
          <w:p w14:paraId="3F7AE7DF">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(2)依托可行性分析</w:t>
            </w:r>
          </w:p>
          <w:p w14:paraId="60417919">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①接管可行性</w:t>
            </w:r>
          </w:p>
          <w:p w14:paraId="21B4F6E2">
            <w:pPr>
              <w:spacing w:line="360" w:lineRule="auto"/>
              <w:ind w:firstLine="480" w:firstLineChars="200"/>
              <w:rPr>
                <w:rFonts w:hint="default" w:eastAsia="宋体"/>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大学城污水处理厂现状规模</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12</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.0万m³/d，</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服务范围包括上街镇、大学城、南屿片区，包括本项目所在的福州市生物医药和机电产业园</w:t>
            </w:r>
            <w:r>
              <w:rPr>
                <w:rFonts w:hint="eastAsia" w:cs="Times New Roman"/>
                <w:color w:val="000000" w:themeColor="text1"/>
                <w:sz w:val="24"/>
                <w:szCs w:val="24"/>
                <w:highlight w:val="none"/>
                <w:lang w:val="en-US" w:eastAsia="zh-CN"/>
                <w14:textFill>
                  <w14:solidFill>
                    <w14:schemeClr w14:val="tx1"/>
                  </w14:solidFill>
                </w14:textFill>
              </w:rPr>
              <w:t>，主要</w:t>
            </w:r>
            <w:r>
              <w:rPr>
                <w:rFonts w:hint="eastAsia" w:cs="宋体"/>
                <w:color w:val="000000" w:themeColor="text1"/>
                <w:sz w:val="24"/>
                <w:szCs w:val="32"/>
                <w:highlight w:val="none"/>
                <w14:textFill>
                  <w14:solidFill>
                    <w14:schemeClr w14:val="tx1"/>
                  </w14:solidFill>
                </w14:textFill>
              </w:rPr>
              <w:t>收集和处理</w:t>
            </w:r>
            <w:r>
              <w:rPr>
                <w:rFonts w:hint="eastAsia" w:cs="宋体"/>
                <w:color w:val="000000" w:themeColor="text1"/>
                <w:sz w:val="24"/>
                <w:szCs w:val="32"/>
                <w:highlight w:val="none"/>
                <w:lang w:val="en-US" w:eastAsia="zh-CN"/>
                <w14:textFill>
                  <w14:solidFill>
                    <w14:schemeClr w14:val="tx1"/>
                  </w14:solidFill>
                </w14:textFill>
              </w:rPr>
              <w:t>服务范围内的居民和企业员工的办公生活污水，以及工业园区的企业生产废水。生产废水污染物类型为易控、可控型，不涉及重金属等一类污染物。</w:t>
            </w:r>
          </w:p>
          <w:p w14:paraId="7D915693">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根据现场勘查，项目市政管网已经铺设至项目所在地</w:t>
            </w:r>
            <w:r>
              <w:rPr>
                <w:rFonts w:hint="eastAsia" w:cs="宋体"/>
                <w:color w:val="000000" w:themeColor="text1"/>
                <w:sz w:val="24"/>
                <w:szCs w:val="32"/>
                <w:highlight w:val="none"/>
                <w:lang w:eastAsia="zh-CN"/>
                <w14:textFill>
                  <w14:solidFill>
                    <w14:schemeClr w14:val="tx1"/>
                  </w14:solidFill>
                </w14:textFill>
              </w:rPr>
              <w:t>，项目污水可从项目南侧3号路管网接入福州大学城污水处理厂处理</w:t>
            </w:r>
            <w:r>
              <w:rPr>
                <w:rFonts w:hint="eastAsia" w:cs="宋体"/>
                <w:color w:val="000000" w:themeColor="text1"/>
                <w:sz w:val="24"/>
                <w:szCs w:val="32"/>
                <w:highlight w:val="none"/>
                <w14:textFill>
                  <w14:solidFill>
                    <w14:schemeClr w14:val="tx1"/>
                  </w14:solidFill>
                </w14:textFill>
              </w:rPr>
              <w:t>。</w:t>
            </w:r>
          </w:p>
          <w:p w14:paraId="4B69F35B">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②水质负荷</w:t>
            </w:r>
          </w:p>
          <w:p w14:paraId="03ECAD98">
            <w:pPr>
              <w:spacing w:line="360" w:lineRule="auto"/>
              <w:ind w:firstLine="480" w:firstLineChars="200"/>
              <w:rPr>
                <w:rFonts w:hint="default" w:eastAsia="宋体"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根据本次评价测算，生产废水经处理后，</w:t>
            </w:r>
            <w:r>
              <w:rPr>
                <w:rFonts w:hint="eastAsia"/>
                <w:color w:val="000000" w:themeColor="text1"/>
                <w:sz w:val="24"/>
                <w:szCs w:val="32"/>
                <w:highlight w:val="none"/>
                <w:lang w:val="en-US" w:eastAsia="zh-CN"/>
                <w14:textFill>
                  <w14:solidFill>
                    <w14:schemeClr w14:val="tx1"/>
                  </w14:solidFill>
                </w14:textFill>
              </w:rPr>
              <w:t>浓度满足《电子工业水污染物排放标准》（GB 39731-2020）间接排放标准，也满足大学城污水处理厂进水水质标准；</w:t>
            </w:r>
            <w:r>
              <w:rPr>
                <w:rFonts w:hint="eastAsia" w:cs="宋体"/>
                <w:color w:val="000000" w:themeColor="text1"/>
                <w:sz w:val="24"/>
                <w:szCs w:val="32"/>
                <w:highlight w:val="none"/>
                <w:lang w:val="en-US" w:eastAsia="zh-CN"/>
                <w14:textFill>
                  <w14:solidFill>
                    <w14:schemeClr w14:val="tx1"/>
                  </w14:solidFill>
                </w14:textFill>
              </w:rPr>
              <w:t>生活污水经处理后的浓度</w:t>
            </w:r>
            <w:r>
              <w:rPr>
                <w:rFonts w:hint="eastAsia"/>
                <w:color w:val="000000" w:themeColor="text1"/>
                <w:sz w:val="24"/>
                <w:szCs w:val="32"/>
                <w:highlight w:val="none"/>
                <w:lang w:val="en-US" w:eastAsia="zh-CN"/>
                <w14:textFill>
                  <w14:solidFill>
                    <w14:schemeClr w14:val="tx1"/>
                  </w14:solidFill>
                </w14:textFill>
              </w:rPr>
              <w:t>也满足大学城污水处理厂进水水质标准。</w:t>
            </w:r>
          </w:p>
          <w:p w14:paraId="008BA821">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项目</w:t>
            </w:r>
            <w:r>
              <w:rPr>
                <w:rFonts w:hint="eastAsia" w:cs="宋体"/>
                <w:color w:val="000000" w:themeColor="text1"/>
                <w:sz w:val="24"/>
                <w:szCs w:val="32"/>
                <w:highlight w:val="none"/>
                <w:lang w:val="en-US" w:eastAsia="zh-CN"/>
                <w14:textFill>
                  <w14:solidFill>
                    <w14:schemeClr w14:val="tx1"/>
                  </w14:solidFill>
                </w14:textFill>
              </w:rPr>
              <w:t>生产废水污染物类型为易控、可控型，不涉及重金属等一类污染物，</w:t>
            </w:r>
            <w:r>
              <w:rPr>
                <w:rFonts w:hint="eastAsia" w:cs="宋体"/>
                <w:color w:val="000000" w:themeColor="text1"/>
                <w:sz w:val="24"/>
                <w:szCs w:val="32"/>
                <w:highlight w:val="none"/>
                <w:lang w:eastAsia="zh-CN"/>
                <w14:textFill>
                  <w14:solidFill>
                    <w14:schemeClr w14:val="tx1"/>
                  </w14:solidFill>
                </w14:textFill>
              </w:rPr>
              <w:t>福州大学城污水处理厂</w:t>
            </w:r>
            <w:r>
              <w:rPr>
                <w:rFonts w:hint="eastAsia" w:cs="宋体"/>
                <w:color w:val="000000" w:themeColor="text1"/>
                <w:sz w:val="24"/>
                <w:szCs w:val="32"/>
                <w:highlight w:val="none"/>
                <w14:textFill>
                  <w14:solidFill>
                    <w14:schemeClr w14:val="tx1"/>
                  </w14:solidFill>
                </w14:textFill>
              </w:rPr>
              <w:t>可接纳项目污水水质，不会对</w:t>
            </w:r>
            <w:r>
              <w:rPr>
                <w:rFonts w:hint="eastAsia" w:cs="宋体"/>
                <w:color w:val="000000" w:themeColor="text1"/>
                <w:sz w:val="24"/>
                <w:szCs w:val="32"/>
                <w:highlight w:val="none"/>
                <w:lang w:eastAsia="zh-CN"/>
                <w14:textFill>
                  <w14:solidFill>
                    <w14:schemeClr w14:val="tx1"/>
                  </w14:solidFill>
                </w14:textFill>
              </w:rPr>
              <w:t>污水处理厂</w:t>
            </w:r>
            <w:r>
              <w:rPr>
                <w:rFonts w:hint="eastAsia" w:cs="宋体"/>
                <w:color w:val="000000" w:themeColor="text1"/>
                <w:sz w:val="24"/>
                <w:szCs w:val="32"/>
                <w:highlight w:val="none"/>
                <w14:textFill>
                  <w14:solidFill>
                    <w14:schemeClr w14:val="tx1"/>
                  </w14:solidFill>
                </w14:textFill>
              </w:rPr>
              <w:t>水质负荷造成冲击。</w:t>
            </w:r>
          </w:p>
          <w:p w14:paraId="46F5B9EA">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③水量负荷</w:t>
            </w:r>
          </w:p>
          <w:p w14:paraId="4533CC33">
            <w:pPr>
              <w:spacing w:line="360" w:lineRule="auto"/>
              <w:ind w:firstLine="480" w:firstLineChars="200"/>
              <w:rPr>
                <w:rFonts w:hint="default" w:eastAsia="宋体" w:cs="宋体"/>
                <w:color w:val="000000" w:themeColor="text1"/>
                <w:sz w:val="24"/>
                <w:szCs w:val="32"/>
                <w:highlight w:val="none"/>
                <w:lang w:val="en-US" w:eastAsia="zh-CN"/>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根据调查，目前</w:t>
            </w:r>
            <w:r>
              <w:rPr>
                <w:rFonts w:hint="eastAsia" w:cs="宋体"/>
                <w:color w:val="000000" w:themeColor="text1"/>
                <w:sz w:val="24"/>
                <w:szCs w:val="32"/>
                <w:highlight w:val="none"/>
                <w:lang w:eastAsia="zh-CN"/>
                <w14:textFill>
                  <w14:solidFill>
                    <w14:schemeClr w14:val="tx1"/>
                  </w14:solidFill>
                </w14:textFill>
              </w:rPr>
              <w:t>福州大学城污水处理厂</w:t>
            </w:r>
            <w:r>
              <w:rPr>
                <w:rFonts w:hint="eastAsia" w:cs="宋体"/>
                <w:color w:val="000000" w:themeColor="text1"/>
                <w:sz w:val="24"/>
                <w:szCs w:val="32"/>
                <w:highlight w:val="none"/>
                <w14:textFill>
                  <w14:solidFill>
                    <w14:schemeClr w14:val="tx1"/>
                  </w14:solidFill>
                </w14:textFill>
              </w:rPr>
              <w:t>现状总处理规模</w:t>
            </w:r>
            <w:r>
              <w:rPr>
                <w:rFonts w:hint="eastAsia" w:cs="宋体"/>
                <w:color w:val="000000" w:themeColor="text1"/>
                <w:sz w:val="24"/>
                <w:szCs w:val="32"/>
                <w:highlight w:val="none"/>
                <w:lang w:val="en-US" w:eastAsia="zh-CN"/>
                <w14:textFill>
                  <w14:solidFill>
                    <w14:schemeClr w14:val="tx1"/>
                  </w14:solidFill>
                </w14:textFill>
              </w:rPr>
              <w:t>12万</w:t>
            </w:r>
            <w:r>
              <w:rPr>
                <w:rFonts w:hint="eastAsia" w:cs="宋体"/>
                <w:color w:val="000000" w:themeColor="text1"/>
                <w:sz w:val="24"/>
                <w:szCs w:val="32"/>
                <w:highlight w:val="none"/>
                <w14:textFill>
                  <w14:solidFill>
                    <w14:schemeClr w14:val="tx1"/>
                  </w14:solidFill>
                </w14:textFill>
              </w:rPr>
              <w:t>t/d</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14:textFill>
                  <w14:solidFill>
                    <w14:schemeClr w14:val="tx1"/>
                  </w14:solidFill>
                </w14:textFill>
              </w:rPr>
              <w:t>目前该污水处理厂实际处理规模</w:t>
            </w:r>
            <w:r>
              <w:rPr>
                <w:rFonts w:hint="eastAsia" w:cs="宋体"/>
                <w:color w:val="000000" w:themeColor="text1"/>
                <w:sz w:val="24"/>
                <w:szCs w:val="32"/>
                <w:highlight w:val="none"/>
                <w:lang w:val="en-US" w:eastAsia="zh-CN"/>
                <w14:textFill>
                  <w14:solidFill>
                    <w14:schemeClr w14:val="tx1"/>
                  </w14:solidFill>
                </w14:textFill>
              </w:rPr>
              <w:t>约</w:t>
            </w:r>
            <w:r>
              <w:rPr>
                <w:rFonts w:hint="eastAsia" w:cs="宋体"/>
                <w:color w:val="000000" w:themeColor="text1"/>
                <w:sz w:val="24"/>
                <w:szCs w:val="32"/>
                <w:highlight w:val="none"/>
                <w14:textFill>
                  <w14:solidFill>
                    <w14:schemeClr w14:val="tx1"/>
                  </w14:solidFill>
                </w14:textFill>
              </w:rPr>
              <w:t>为</w:t>
            </w:r>
            <w:r>
              <w:rPr>
                <w:rFonts w:hint="eastAsia" w:cs="宋体"/>
                <w:color w:val="000000" w:themeColor="text1"/>
                <w:sz w:val="24"/>
                <w:szCs w:val="32"/>
                <w:highlight w:val="none"/>
                <w:lang w:val="en-US" w:eastAsia="zh-CN"/>
                <w14:textFill>
                  <w14:solidFill>
                    <w14:schemeClr w14:val="tx1"/>
                  </w14:solidFill>
                </w14:textFill>
              </w:rPr>
              <w:t>11</w:t>
            </w:r>
            <w:r>
              <w:rPr>
                <w:rFonts w:hint="eastAsia" w:cs="宋体"/>
                <w:color w:val="000000" w:themeColor="text1"/>
                <w:sz w:val="24"/>
                <w:szCs w:val="32"/>
                <w:highlight w:val="none"/>
                <w14:textFill>
                  <w14:solidFill>
                    <w14:schemeClr w14:val="tx1"/>
                  </w14:solidFill>
                </w14:textFill>
              </w:rPr>
              <w:t>万t/d</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14:textFill>
                  <w14:solidFill>
                    <w14:schemeClr w14:val="tx1"/>
                  </w14:solidFill>
                </w14:textFill>
              </w:rPr>
              <w:t>剩余处理规模</w:t>
            </w:r>
            <w:r>
              <w:rPr>
                <w:rFonts w:hint="eastAsia" w:cs="宋体"/>
                <w:color w:val="000000" w:themeColor="text1"/>
                <w:sz w:val="24"/>
                <w:szCs w:val="32"/>
                <w:highlight w:val="none"/>
                <w:lang w:val="en-US" w:eastAsia="zh-CN"/>
                <w14:textFill>
                  <w14:solidFill>
                    <w14:schemeClr w14:val="tx1"/>
                  </w14:solidFill>
                </w14:textFill>
              </w:rPr>
              <w:t>1</w:t>
            </w:r>
            <w:r>
              <w:rPr>
                <w:rFonts w:hint="eastAsia" w:cs="宋体"/>
                <w:color w:val="000000" w:themeColor="text1"/>
                <w:sz w:val="24"/>
                <w:szCs w:val="32"/>
                <w:highlight w:val="none"/>
                <w14:textFill>
                  <w14:solidFill>
                    <w14:schemeClr w14:val="tx1"/>
                  </w14:solidFill>
                </w14:textFill>
              </w:rPr>
              <w:t>万t/d</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14:textFill>
                  <w14:solidFill>
                    <w14:schemeClr w14:val="tx1"/>
                  </w14:solidFill>
                </w14:textFill>
              </w:rPr>
              <w:t>项目</w:t>
            </w:r>
            <w:r>
              <w:rPr>
                <w:rFonts w:hint="eastAsia" w:cs="宋体"/>
                <w:color w:val="000000" w:themeColor="text1"/>
                <w:sz w:val="24"/>
                <w:szCs w:val="32"/>
                <w:highlight w:val="none"/>
                <w:lang w:val="en-US" w:eastAsia="zh-CN"/>
                <w14:textFill>
                  <w14:solidFill>
                    <w14:schemeClr w14:val="tx1"/>
                  </w14:solidFill>
                </w14:textFill>
              </w:rPr>
              <w:t>新增生产废水排放量33.84</w:t>
            </w:r>
            <w:r>
              <w:rPr>
                <w:rFonts w:hint="eastAsia" w:cs="宋体"/>
                <w:color w:val="000000" w:themeColor="text1"/>
                <w:sz w:val="24"/>
                <w:szCs w:val="32"/>
                <w:highlight w:val="none"/>
                <w14:textFill>
                  <w14:solidFill>
                    <w14:schemeClr w14:val="tx1"/>
                  </w14:solidFill>
                </w14:textFill>
              </w:rPr>
              <w:t>t/d</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生活污水排放量</w:t>
            </w:r>
            <w:r>
              <w:rPr>
                <w:rFonts w:hint="eastAsia"/>
                <w:color w:val="000000" w:themeColor="text1"/>
                <w:sz w:val="24"/>
                <w:szCs w:val="32"/>
                <w:highlight w:val="none"/>
                <w:lang w:val="en-US" w:eastAsia="zh-CN"/>
                <w14:textFill>
                  <w14:solidFill>
                    <w14:schemeClr w14:val="tx1"/>
                  </w14:solidFill>
                </w14:textFill>
              </w:rPr>
              <w:t>7.5t/d，合计41.34t/d</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14:textFill>
                  <w14:solidFill>
                    <w14:schemeClr w14:val="tx1"/>
                  </w14:solidFill>
                </w14:textFill>
              </w:rPr>
              <w:t>仅占</w:t>
            </w:r>
            <w:r>
              <w:rPr>
                <w:rFonts w:hint="eastAsia" w:cs="宋体"/>
                <w:color w:val="000000" w:themeColor="text1"/>
                <w:sz w:val="24"/>
                <w:szCs w:val="32"/>
                <w:highlight w:val="none"/>
                <w:lang w:eastAsia="zh-CN"/>
                <w14:textFill>
                  <w14:solidFill>
                    <w14:schemeClr w14:val="tx1"/>
                  </w14:solidFill>
                </w14:textFill>
              </w:rPr>
              <w:t>福州大学城污水处理厂</w:t>
            </w:r>
            <w:r>
              <w:rPr>
                <w:rFonts w:hint="eastAsia" w:cs="宋体"/>
                <w:color w:val="000000" w:themeColor="text1"/>
                <w:sz w:val="24"/>
                <w:szCs w:val="32"/>
                <w:highlight w:val="none"/>
                <w14:textFill>
                  <w14:solidFill>
                    <w14:schemeClr w14:val="tx1"/>
                  </w14:solidFill>
                </w14:textFill>
              </w:rPr>
              <w:t>剩余处理规模的0.</w:t>
            </w:r>
            <w:r>
              <w:rPr>
                <w:rFonts w:hint="eastAsia" w:cs="宋体"/>
                <w:color w:val="000000" w:themeColor="text1"/>
                <w:sz w:val="24"/>
                <w:szCs w:val="32"/>
                <w:highlight w:val="none"/>
                <w:lang w:val="en-US" w:eastAsia="zh-CN"/>
                <w14:textFill>
                  <w14:solidFill>
                    <w14:schemeClr w14:val="tx1"/>
                  </w14:solidFill>
                </w14:textFill>
              </w:rPr>
              <w:t>41</w:t>
            </w:r>
            <w:r>
              <w:rPr>
                <w:rFonts w:hint="eastAsia" w:cs="宋体"/>
                <w:color w:val="000000" w:themeColor="text1"/>
                <w:sz w:val="24"/>
                <w:szCs w:val="32"/>
                <w:highlight w:val="none"/>
                <w14:textFill>
                  <w14:solidFill>
                    <w14:schemeClr w14:val="tx1"/>
                  </w14:solidFill>
                </w14:textFill>
              </w:rPr>
              <w:t>%，因此，从处理能力分析，</w:t>
            </w:r>
            <w:r>
              <w:rPr>
                <w:rFonts w:hint="eastAsia" w:cs="宋体"/>
                <w:color w:val="000000" w:themeColor="text1"/>
                <w:sz w:val="24"/>
                <w:szCs w:val="32"/>
                <w:highlight w:val="none"/>
                <w:lang w:eastAsia="zh-CN"/>
                <w14:textFill>
                  <w14:solidFill>
                    <w14:schemeClr w14:val="tx1"/>
                  </w14:solidFill>
                </w14:textFill>
              </w:rPr>
              <w:t>福州大学城污水处理厂</w:t>
            </w:r>
            <w:r>
              <w:rPr>
                <w:rFonts w:hint="eastAsia" w:cs="宋体"/>
                <w:color w:val="000000" w:themeColor="text1"/>
                <w:sz w:val="24"/>
                <w:szCs w:val="32"/>
                <w:highlight w:val="none"/>
                <w14:textFill>
                  <w14:solidFill>
                    <w14:schemeClr w14:val="tx1"/>
                  </w14:solidFill>
                </w14:textFill>
              </w:rPr>
              <w:t>可接纳项目废水排放量，不会对</w:t>
            </w:r>
            <w:r>
              <w:rPr>
                <w:rFonts w:hint="eastAsia" w:cs="宋体"/>
                <w:color w:val="000000" w:themeColor="text1"/>
                <w:sz w:val="24"/>
                <w:szCs w:val="32"/>
                <w:highlight w:val="none"/>
                <w:lang w:eastAsia="zh-CN"/>
                <w14:textFill>
                  <w14:solidFill>
                    <w14:schemeClr w14:val="tx1"/>
                  </w14:solidFill>
                </w14:textFill>
              </w:rPr>
              <w:t>污水处理厂</w:t>
            </w:r>
            <w:r>
              <w:rPr>
                <w:rFonts w:hint="eastAsia" w:cs="宋体"/>
                <w:color w:val="000000" w:themeColor="text1"/>
                <w:sz w:val="24"/>
                <w:szCs w:val="32"/>
                <w:highlight w:val="none"/>
                <w14:textFill>
                  <w14:solidFill>
                    <w14:schemeClr w14:val="tx1"/>
                  </w14:solidFill>
                </w14:textFill>
              </w:rPr>
              <w:t>水量负荷造成冲击。</w:t>
            </w:r>
            <w:r>
              <w:rPr>
                <w:rFonts w:hint="eastAsia" w:cs="宋体"/>
                <w:color w:val="000000" w:themeColor="text1"/>
                <w:sz w:val="24"/>
                <w:szCs w:val="32"/>
                <w:highlight w:val="none"/>
                <w:lang w:val="en-US" w:eastAsia="zh-CN"/>
                <w14:textFill>
                  <w14:solidFill>
                    <w14:schemeClr w14:val="tx1"/>
                  </w14:solidFill>
                </w14:textFill>
              </w:rPr>
              <w:t>且</w:t>
            </w:r>
            <w:r>
              <w:rPr>
                <w:rFonts w:hint="eastAsia" w:cs="宋体"/>
                <w:color w:val="000000" w:themeColor="text1"/>
                <w:sz w:val="24"/>
                <w:szCs w:val="32"/>
                <w:highlight w:val="none"/>
                <w:lang w:eastAsia="zh-CN"/>
                <w14:textFill>
                  <w14:solidFill>
                    <w14:schemeClr w14:val="tx1"/>
                  </w14:solidFill>
                </w14:textFill>
              </w:rPr>
              <w:t>《福州市闽侯县大学城污水处理厂四期工程(厂内工程第一阶段)项目</w:t>
            </w:r>
            <w:r>
              <w:rPr>
                <w:rFonts w:hint="eastAsia" w:cs="宋体"/>
                <w:color w:val="000000" w:themeColor="text1"/>
                <w:sz w:val="24"/>
                <w:szCs w:val="32"/>
                <w:highlight w:val="none"/>
                <w:lang w:val="en-US" w:eastAsia="zh-CN"/>
                <w14:textFill>
                  <w14:solidFill>
                    <w14:schemeClr w14:val="tx1"/>
                  </w14:solidFill>
                </w14:textFill>
              </w:rPr>
              <w:t>环境影响报告表</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lang w:val="en-US" w:eastAsia="zh-CN"/>
                <w14:textFill>
                  <w14:solidFill>
                    <w14:schemeClr w14:val="tx1"/>
                  </w14:solidFill>
                </w14:textFill>
              </w:rPr>
              <w:t>已取得环评批复，</w:t>
            </w:r>
            <w:r>
              <w:rPr>
                <w:rFonts w:hint="eastAsia" w:cs="宋体"/>
                <w:color w:val="000000" w:themeColor="text1"/>
                <w:sz w:val="24"/>
                <w:szCs w:val="32"/>
                <w:highlight w:val="none"/>
                <w:lang w:eastAsia="zh-CN"/>
                <w14:textFill>
                  <w14:solidFill>
                    <w14:schemeClr w14:val="tx1"/>
                  </w14:solidFill>
                </w14:textFill>
              </w:rPr>
              <w:t>福州大学城污水处理厂</w:t>
            </w:r>
            <w:r>
              <w:rPr>
                <w:rFonts w:hint="eastAsia" w:cs="宋体"/>
                <w:color w:val="000000" w:themeColor="text1"/>
                <w:sz w:val="24"/>
                <w:szCs w:val="32"/>
                <w:highlight w:val="none"/>
                <w:lang w:val="en-US" w:eastAsia="zh-CN"/>
                <w14:textFill>
                  <w14:solidFill>
                    <w14:schemeClr w14:val="tx1"/>
                  </w14:solidFill>
                </w14:textFill>
              </w:rPr>
              <w:t>拟新增2</w:t>
            </w:r>
            <w:r>
              <w:rPr>
                <w:rFonts w:hint="eastAsia" w:cs="宋体"/>
                <w:color w:val="000000" w:themeColor="text1"/>
                <w:sz w:val="24"/>
                <w:szCs w:val="32"/>
                <w:highlight w:val="none"/>
                <w14:textFill>
                  <w14:solidFill>
                    <w14:schemeClr w14:val="tx1"/>
                  </w14:solidFill>
                </w14:textFill>
              </w:rPr>
              <w:t>万t/d</w:t>
            </w:r>
            <w:r>
              <w:rPr>
                <w:rFonts w:hint="eastAsia" w:cs="宋体"/>
                <w:color w:val="000000" w:themeColor="text1"/>
                <w:sz w:val="24"/>
                <w:szCs w:val="32"/>
                <w:highlight w:val="none"/>
                <w:lang w:val="en-US" w:eastAsia="zh-CN"/>
                <w14:textFill>
                  <w14:solidFill>
                    <w14:schemeClr w14:val="tx1"/>
                  </w14:solidFill>
                </w14:textFill>
              </w:rPr>
              <w:t>的污水处理能力，可进一步确保污水处理能力。</w:t>
            </w:r>
          </w:p>
          <w:p w14:paraId="45C826B4">
            <w:pPr>
              <w:pStyle w:val="37"/>
              <w:rPr>
                <w:rFonts w:hint="default"/>
                <w:color w:val="000000" w:themeColor="text1"/>
                <w:sz w:val="24"/>
                <w:szCs w:val="21"/>
                <w:highlight w:val="none"/>
                <w:lang w:val="en-US" w:eastAsia="zh-CN"/>
                <w14:textFill>
                  <w14:solidFill>
                    <w14:schemeClr w14:val="tx1"/>
                  </w14:solidFill>
                </w14:textFill>
              </w:rPr>
            </w:pPr>
            <w:r>
              <w:rPr>
                <w:rFonts w:hint="default"/>
                <w:color w:val="000000" w:themeColor="text1"/>
                <w:sz w:val="24"/>
                <w:szCs w:val="21"/>
                <w:highlight w:val="none"/>
                <w:lang w:val="en-US" w:eastAsia="zh-CN"/>
                <w14:textFill>
                  <w14:solidFill>
                    <w14:schemeClr w14:val="tx1"/>
                  </w14:solidFill>
                </w14:textFill>
              </w:rPr>
              <w:t>4.2.</w:t>
            </w:r>
            <w:r>
              <w:rPr>
                <w:rFonts w:hint="eastAsia"/>
                <w:color w:val="000000" w:themeColor="text1"/>
                <w:sz w:val="24"/>
                <w:szCs w:val="21"/>
                <w:highlight w:val="none"/>
                <w:lang w:val="en-US" w:eastAsia="zh-CN"/>
                <w14:textFill>
                  <w14:solidFill>
                    <w14:schemeClr w14:val="tx1"/>
                  </w14:solidFill>
                </w14:textFill>
              </w:rPr>
              <w:t>3</w:t>
            </w:r>
            <w:r>
              <w:rPr>
                <w:rFonts w:hint="default"/>
                <w:color w:val="000000" w:themeColor="text1"/>
                <w:sz w:val="24"/>
                <w:szCs w:val="21"/>
                <w:highlight w:val="none"/>
                <w:lang w:val="en-US" w:eastAsia="zh-CN"/>
                <w14:textFill>
                  <w14:solidFill>
                    <w14:schemeClr w14:val="tx1"/>
                  </w14:solidFill>
                </w14:textFill>
              </w:rPr>
              <w:t xml:space="preserve"> </w:t>
            </w:r>
            <w:r>
              <w:rPr>
                <w:rFonts w:hint="eastAsia"/>
                <w:color w:val="000000" w:themeColor="text1"/>
                <w:sz w:val="24"/>
                <w:szCs w:val="21"/>
                <w:highlight w:val="none"/>
                <w:lang w:val="en-US" w:eastAsia="zh-CN"/>
                <w14:textFill>
                  <w14:solidFill>
                    <w14:schemeClr w14:val="tx1"/>
                  </w14:solidFill>
                </w14:textFill>
              </w:rPr>
              <w:t>小结</w:t>
            </w:r>
          </w:p>
          <w:p w14:paraId="77BE685B">
            <w:pPr>
              <w:spacing w:line="360" w:lineRule="auto"/>
              <w:ind w:firstLine="480" w:firstLineChars="200"/>
              <w:rPr>
                <w:color w:val="000000" w:themeColor="text1"/>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根据上述分析，</w:t>
            </w:r>
            <w:r>
              <w:rPr>
                <w:rFonts w:hint="eastAsia" w:cs="宋体"/>
                <w:color w:val="000000" w:themeColor="text1"/>
                <w:sz w:val="24"/>
                <w:szCs w:val="32"/>
                <w:highlight w:val="none"/>
                <w:lang w:val="en-US" w:eastAsia="zh-CN"/>
                <w14:textFill>
                  <w14:solidFill>
                    <w14:schemeClr w14:val="tx1"/>
                  </w14:solidFill>
                </w14:textFill>
              </w:rPr>
              <w:t>本项目生产废水、生活污水经处理后，均纳入福州大学城污水处理厂集中处理</w:t>
            </w:r>
            <w:r>
              <w:rPr>
                <w:rFonts w:hint="eastAsia" w:cs="宋体"/>
                <w:color w:val="000000" w:themeColor="text1"/>
                <w:sz w:val="24"/>
                <w:szCs w:val="32"/>
                <w:highlight w:val="none"/>
                <w:lang w:eastAsia="zh-CN"/>
                <w14:textFill>
                  <w14:solidFill>
                    <w14:schemeClr w14:val="tx1"/>
                  </w14:solidFill>
                </w14:textFill>
              </w:rPr>
              <w:t>，</w:t>
            </w:r>
            <w:r>
              <w:rPr>
                <w:rFonts w:hint="eastAsia" w:cs="宋体"/>
                <w:color w:val="000000" w:themeColor="text1"/>
                <w:sz w:val="24"/>
                <w:szCs w:val="32"/>
                <w:highlight w:val="none"/>
                <w14:textFill>
                  <w14:solidFill>
                    <w14:schemeClr w14:val="tx1"/>
                  </w14:solidFill>
                </w14:textFill>
              </w:rPr>
              <w:t>项目废水水质、水量不会对污水处理厂造成负荷冲击，项目污水不直接排入地表水体，因此不会对区域地表水环境产生直接不利影响。</w:t>
            </w:r>
          </w:p>
          <w:p w14:paraId="3E67FB64">
            <w:pPr>
              <w:pStyle w:val="37"/>
              <w:rPr>
                <w:color w:val="000000" w:themeColor="text1"/>
                <w:sz w:val="24"/>
                <w:szCs w:val="21"/>
                <w:highlight w:val="none"/>
                <w14:textFill>
                  <w14:solidFill>
                    <w14:schemeClr w14:val="tx1"/>
                  </w14:solidFill>
                </w14:textFill>
              </w:rPr>
            </w:pPr>
            <w:r>
              <w:rPr>
                <w:color w:val="000000" w:themeColor="text1"/>
                <w:sz w:val="24"/>
                <w:szCs w:val="21"/>
                <w:highlight w:val="none"/>
                <w14:textFill>
                  <w14:solidFill>
                    <w14:schemeClr w14:val="tx1"/>
                  </w14:solidFill>
                </w14:textFill>
              </w:rPr>
              <w:t>4.</w:t>
            </w:r>
            <w:r>
              <w:rPr>
                <w:rFonts w:hint="eastAsia"/>
                <w:color w:val="000000" w:themeColor="text1"/>
                <w:sz w:val="24"/>
                <w:szCs w:val="21"/>
                <w:highlight w:val="none"/>
                <w:lang w:val="en-US" w:eastAsia="zh-CN"/>
                <w14:textFill>
                  <w14:solidFill>
                    <w14:schemeClr w14:val="tx1"/>
                  </w14:solidFill>
                </w14:textFill>
              </w:rPr>
              <w:t>3</w:t>
            </w:r>
            <w:r>
              <w:rPr>
                <w:color w:val="000000" w:themeColor="text1"/>
                <w:sz w:val="24"/>
                <w:szCs w:val="21"/>
                <w:highlight w:val="none"/>
                <w14:textFill>
                  <w14:solidFill>
                    <w14:schemeClr w14:val="tx1"/>
                  </w14:solidFill>
                </w14:textFill>
              </w:rPr>
              <w:t xml:space="preserve"> </w:t>
            </w:r>
            <w:r>
              <w:rPr>
                <w:rFonts w:hint="eastAsia"/>
                <w:color w:val="000000" w:themeColor="text1"/>
                <w:sz w:val="24"/>
                <w:szCs w:val="21"/>
                <w:highlight w:val="none"/>
                <w14:textFill>
                  <w14:solidFill>
                    <w14:schemeClr w14:val="tx1"/>
                  </w14:solidFill>
                </w14:textFill>
              </w:rPr>
              <w:t>运营期声环境影响分析和污染防治措施</w:t>
            </w:r>
          </w:p>
          <w:p w14:paraId="19546FF6">
            <w:pPr>
              <w:spacing w:line="360" w:lineRule="auto"/>
              <w:ind w:firstLine="480" w:firstLineChars="200"/>
              <w:rPr>
                <w:rFonts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1、噪声源强</w:t>
            </w:r>
          </w:p>
          <w:p w14:paraId="3D884E1F">
            <w:pPr>
              <w:spacing w:line="360" w:lineRule="auto"/>
              <w:ind w:firstLine="480" w:firstLineChars="200"/>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本项目噪声主要为各种机械设备运行过程中产生的噪声，本次评价主要采用类比法，类比同类型项目对噪声污染源源强进行核算，本项目实施后全厂具体主要噪声源强详见下表</w:t>
            </w:r>
            <w:r>
              <w:rPr>
                <w:rFonts w:hint="eastAsia" w:cs="宋体"/>
                <w:color w:val="000000" w:themeColor="text1"/>
                <w:sz w:val="24"/>
                <w:szCs w:val="32"/>
                <w:highlight w:val="none"/>
                <w:lang w:eastAsia="zh-CN"/>
                <w14:textFill>
                  <w14:solidFill>
                    <w14:schemeClr w14:val="tx1"/>
                  </w14:solidFill>
                </w14:textFill>
              </w:rPr>
              <w:t>。</w:t>
            </w:r>
          </w:p>
          <w:p w14:paraId="75FD44F0">
            <w:pPr>
              <w:pStyle w:val="69"/>
              <w:spacing w:line="360" w:lineRule="auto"/>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表 4</w:t>
            </w:r>
            <w:r>
              <w:rPr>
                <w:rFonts w:hint="eastAsia" w:eastAsia="宋体" w:cs="宋体"/>
                <w:b/>
                <w:color w:val="000000" w:themeColor="text1"/>
                <w:kern w:val="2"/>
                <w:sz w:val="24"/>
                <w:szCs w:val="24"/>
                <w:highlight w:val="none"/>
                <w:lang w:val="en-US" w:eastAsia="zh-CN" w:bidi="ar-SA"/>
                <w14:textFill>
                  <w14:solidFill>
                    <w14:schemeClr w14:val="tx1"/>
                  </w14:solidFill>
                </w14:textFill>
              </w:rPr>
              <w:t>.3-1</w:t>
            </w: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 xml:space="preserve">  项目</w:t>
            </w:r>
            <w:r>
              <w:rPr>
                <w:rFonts w:hint="eastAsia" w:eastAsia="宋体" w:cs="宋体"/>
                <w:b/>
                <w:color w:val="000000" w:themeColor="text1"/>
                <w:kern w:val="2"/>
                <w:sz w:val="24"/>
                <w:szCs w:val="24"/>
                <w:highlight w:val="none"/>
                <w:lang w:val="en-US" w:eastAsia="zh-CN" w:bidi="ar-SA"/>
                <w14:textFill>
                  <w14:solidFill>
                    <w14:schemeClr w14:val="tx1"/>
                  </w14:solidFill>
                </w14:textFill>
              </w:rPr>
              <w:t>主要</w:t>
            </w: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噪声源强调查结果</w:t>
            </w:r>
            <w:r>
              <w:rPr>
                <w:rFonts w:hint="eastAsia" w:eastAsia="宋体" w:cs="宋体"/>
                <w:b/>
                <w:color w:val="000000" w:themeColor="text1"/>
                <w:kern w:val="2"/>
                <w:sz w:val="24"/>
                <w:szCs w:val="24"/>
                <w:highlight w:val="none"/>
                <w:lang w:val="en-US" w:eastAsia="zh-CN" w:bidi="ar-SA"/>
                <w14:textFill>
                  <w14:solidFill>
                    <w14:schemeClr w14:val="tx1"/>
                  </w14:solidFill>
                </w14:textFill>
              </w:rPr>
              <w:t xml:space="preserve">  </w:t>
            </w: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单位 dB(A)</w:t>
            </w:r>
          </w:p>
          <w:tbl>
            <w:tblPr>
              <w:tblStyle w:val="30"/>
              <w:tblW w:w="0" w:type="auto"/>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04"/>
              <w:gridCol w:w="720"/>
              <w:gridCol w:w="540"/>
              <w:gridCol w:w="780"/>
              <w:gridCol w:w="960"/>
              <w:gridCol w:w="1980"/>
              <w:gridCol w:w="870"/>
              <w:gridCol w:w="915"/>
              <w:gridCol w:w="544"/>
            </w:tblGrid>
            <w:tr w14:paraId="782F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4" w:type="dxa"/>
                  <w:vMerge w:val="restart"/>
                  <w:shd w:val="clear" w:color="auto" w:fill="auto"/>
                  <w:vAlign w:val="center"/>
                </w:tcPr>
                <w:p w14:paraId="511AF29A">
                  <w:pPr>
                    <w:pStyle w:val="36"/>
                    <w:autoSpaceDE/>
                    <w:autoSpaceDN/>
                    <w:spacing w:before="0"/>
                    <w:ind w:left="0"/>
                    <w:jc w:val="center"/>
                    <w:rPr>
                      <w:rFonts w:ascii="Times New Roman" w:hAnsi="Times New Roman" w:cs="Times New Roman"/>
                      <w:color w:val="000000" w:themeColor="text1"/>
                      <w:kern w:val="2"/>
                      <w:sz w:val="21"/>
                      <w:szCs w:val="21"/>
                      <w:highlight w:val="none"/>
                      <w14:textFill>
                        <w14:solidFill>
                          <w14:schemeClr w14:val="tx1"/>
                        </w14:solidFill>
                      </w14:textFill>
                    </w:rPr>
                  </w:pPr>
                  <w:r>
                    <w:rPr>
                      <w:rFonts w:ascii="Times New Roman" w:hAnsi="Times New Roman" w:cs="Times New Roman"/>
                      <w:color w:val="000000" w:themeColor="text1"/>
                      <w:kern w:val="2"/>
                      <w:sz w:val="21"/>
                      <w:szCs w:val="21"/>
                      <w:highlight w:val="none"/>
                      <w14:textFill>
                        <w14:solidFill>
                          <w14:schemeClr w14:val="tx1"/>
                        </w14:solidFill>
                      </w14:textFill>
                    </w:rPr>
                    <w:t>噪声源</w:t>
                  </w:r>
                </w:p>
              </w:tc>
              <w:tc>
                <w:tcPr>
                  <w:tcW w:w="720" w:type="dxa"/>
                  <w:vMerge w:val="restart"/>
                  <w:shd w:val="clear" w:color="auto" w:fill="auto"/>
                  <w:vAlign w:val="center"/>
                </w:tcPr>
                <w:p w14:paraId="1767EBBE">
                  <w:pPr>
                    <w:pStyle w:val="36"/>
                    <w:autoSpaceDE/>
                    <w:autoSpaceDN/>
                    <w:spacing w:before="0"/>
                    <w:ind w:left="0"/>
                    <w:jc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空间位置信息</w:t>
                  </w:r>
                </w:p>
              </w:tc>
              <w:tc>
                <w:tcPr>
                  <w:tcW w:w="540" w:type="dxa"/>
                  <w:vMerge w:val="restart"/>
                  <w:shd w:val="clear" w:color="auto" w:fill="auto"/>
                  <w:vAlign w:val="center"/>
                </w:tcPr>
                <w:p w14:paraId="2CD7A3DA">
                  <w:pPr>
                    <w:pStyle w:val="36"/>
                    <w:autoSpaceDE/>
                    <w:autoSpaceDN/>
                    <w:spacing w:before="0"/>
                    <w:ind w:left="0"/>
                    <w:jc w:val="center"/>
                    <w:rPr>
                      <w:rFonts w:hint="eastAsia"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数量</w:t>
                  </w:r>
                </w:p>
              </w:tc>
              <w:tc>
                <w:tcPr>
                  <w:tcW w:w="780" w:type="dxa"/>
                  <w:vMerge w:val="restart"/>
                  <w:shd w:val="clear" w:color="auto" w:fill="auto"/>
                  <w:vAlign w:val="center"/>
                </w:tcPr>
                <w:p w14:paraId="1DFA52CE">
                  <w:pPr>
                    <w:pStyle w:val="36"/>
                    <w:autoSpaceDE/>
                    <w:autoSpaceDN/>
                    <w:spacing w:before="0"/>
                    <w:ind w:left="0"/>
                    <w:jc w:val="center"/>
                    <w:rPr>
                      <w:rFonts w:ascii="Times New Roman" w:hAnsi="Times New Roman" w:cs="Times New Roman"/>
                      <w:color w:val="000000" w:themeColor="text1"/>
                      <w:kern w:val="2"/>
                      <w:sz w:val="21"/>
                      <w:szCs w:val="21"/>
                      <w:highlight w:val="none"/>
                      <w14:textFill>
                        <w14:solidFill>
                          <w14:schemeClr w14:val="tx1"/>
                        </w14:solidFill>
                      </w14:textFill>
                    </w:rPr>
                  </w:pPr>
                  <w:r>
                    <w:rPr>
                      <w:rFonts w:ascii="Times New Roman" w:hAnsi="Times New Roman" w:cs="Times New Roman"/>
                      <w:color w:val="000000" w:themeColor="text1"/>
                      <w:kern w:val="2"/>
                      <w:sz w:val="21"/>
                      <w:szCs w:val="21"/>
                      <w:highlight w:val="none"/>
                      <w14:textFill>
                        <w14:solidFill>
                          <w14:schemeClr w14:val="tx1"/>
                        </w14:solidFill>
                      </w14:textFill>
                    </w:rPr>
                    <w:t>声源类型</w:t>
                  </w:r>
                </w:p>
              </w:tc>
              <w:tc>
                <w:tcPr>
                  <w:tcW w:w="960" w:type="dxa"/>
                  <w:vMerge w:val="restart"/>
                  <w:shd w:val="clear" w:color="auto" w:fill="auto"/>
                  <w:vAlign w:val="center"/>
                </w:tcPr>
                <w:p w14:paraId="46309CA3">
                  <w:pPr>
                    <w:pStyle w:val="36"/>
                    <w:autoSpaceDE/>
                    <w:autoSpaceDN/>
                    <w:spacing w:before="0"/>
                    <w:ind w:left="0"/>
                    <w:jc w:val="center"/>
                    <w:rPr>
                      <w:rFonts w:ascii="Times New Roman" w:hAnsi="Times New Roman" w:cs="Times New Roman"/>
                      <w:color w:val="000000" w:themeColor="text1"/>
                      <w:kern w:val="2"/>
                      <w:sz w:val="21"/>
                      <w:szCs w:val="21"/>
                      <w:highlight w:val="none"/>
                      <w14:textFill>
                        <w14:solidFill>
                          <w14:schemeClr w14:val="tx1"/>
                        </w14:solidFill>
                      </w14:textFill>
                    </w:rPr>
                  </w:pPr>
                  <w:r>
                    <w:rPr>
                      <w:rFonts w:ascii="Times New Roman" w:hAnsi="Times New Roman" w:cs="Times New Roman"/>
                      <w:color w:val="000000" w:themeColor="text1"/>
                      <w:kern w:val="2"/>
                      <w:sz w:val="21"/>
                      <w:szCs w:val="21"/>
                      <w:highlight w:val="none"/>
                      <w14:textFill>
                        <w14:solidFill>
                          <w14:schemeClr w14:val="tx1"/>
                        </w14:solidFill>
                      </w14:textFill>
                    </w:rPr>
                    <w:t>噪声源强dB(A)</w:t>
                  </w:r>
                </w:p>
              </w:tc>
              <w:tc>
                <w:tcPr>
                  <w:tcW w:w="2850" w:type="dxa"/>
                  <w:gridSpan w:val="2"/>
                  <w:shd w:val="clear" w:color="auto" w:fill="auto"/>
                  <w:vAlign w:val="center"/>
                </w:tcPr>
                <w:p w14:paraId="791DE2F6">
                  <w:pPr>
                    <w:pStyle w:val="36"/>
                    <w:autoSpaceDE/>
                    <w:autoSpaceDN/>
                    <w:spacing w:before="0"/>
                    <w:ind w:left="0"/>
                    <w:jc w:val="center"/>
                    <w:rPr>
                      <w:rFonts w:ascii="Times New Roman" w:hAnsi="Times New Roman" w:cs="Times New Roman"/>
                      <w:color w:val="000000" w:themeColor="text1"/>
                      <w:kern w:val="2"/>
                      <w:sz w:val="21"/>
                      <w:szCs w:val="21"/>
                      <w:highlight w:val="none"/>
                      <w14:textFill>
                        <w14:solidFill>
                          <w14:schemeClr w14:val="tx1"/>
                        </w14:solidFill>
                      </w14:textFill>
                    </w:rPr>
                  </w:pPr>
                  <w:r>
                    <w:rPr>
                      <w:rFonts w:ascii="Times New Roman" w:hAnsi="Times New Roman" w:cs="Times New Roman"/>
                      <w:color w:val="000000" w:themeColor="text1"/>
                      <w:kern w:val="2"/>
                      <w:sz w:val="21"/>
                      <w:szCs w:val="21"/>
                      <w:highlight w:val="none"/>
                      <w14:textFill>
                        <w14:solidFill>
                          <w14:schemeClr w14:val="tx1"/>
                        </w14:solidFill>
                      </w14:textFill>
                    </w:rPr>
                    <w:t>降噪措施</w:t>
                  </w:r>
                </w:p>
              </w:tc>
              <w:tc>
                <w:tcPr>
                  <w:tcW w:w="915" w:type="dxa"/>
                  <w:vMerge w:val="restart"/>
                  <w:shd w:val="clear" w:color="auto" w:fill="auto"/>
                  <w:vAlign w:val="center"/>
                </w:tcPr>
                <w:p w14:paraId="4FB6BC8C">
                  <w:pPr>
                    <w:pStyle w:val="36"/>
                    <w:autoSpaceDE/>
                    <w:autoSpaceDN/>
                    <w:spacing w:before="0"/>
                    <w:ind w:left="0"/>
                    <w:jc w:val="center"/>
                    <w:rPr>
                      <w:rFonts w:ascii="Times New Roman" w:hAnsi="Times New Roman" w:cs="Times New Roman"/>
                      <w:color w:val="000000" w:themeColor="text1"/>
                      <w:kern w:val="2"/>
                      <w:sz w:val="21"/>
                      <w:szCs w:val="21"/>
                      <w:highlight w:val="none"/>
                      <w14:textFill>
                        <w14:solidFill>
                          <w14:schemeClr w14:val="tx1"/>
                        </w14:solidFill>
                      </w14:textFill>
                    </w:rPr>
                  </w:pPr>
                  <w:r>
                    <w:rPr>
                      <w:rFonts w:ascii="Times New Roman" w:hAnsi="Times New Roman" w:cs="Times New Roman"/>
                      <w:color w:val="000000" w:themeColor="text1"/>
                      <w:kern w:val="2"/>
                      <w:sz w:val="21"/>
                      <w:szCs w:val="21"/>
                      <w:highlight w:val="none"/>
                      <w14:textFill>
                        <w14:solidFill>
                          <w14:schemeClr w14:val="tx1"/>
                        </w14:solidFill>
                      </w14:textFill>
                    </w:rPr>
                    <w:t>噪声最大排放值(dB(A))</w:t>
                  </w:r>
                </w:p>
              </w:tc>
              <w:tc>
                <w:tcPr>
                  <w:tcW w:w="544" w:type="dxa"/>
                  <w:vMerge w:val="restart"/>
                  <w:shd w:val="clear" w:color="auto" w:fill="auto"/>
                  <w:vAlign w:val="center"/>
                </w:tcPr>
                <w:p w14:paraId="4AA21D46">
                  <w:pPr>
                    <w:pStyle w:val="36"/>
                    <w:autoSpaceDE/>
                    <w:autoSpaceDN/>
                    <w:spacing w:before="0"/>
                    <w:ind w:left="0"/>
                    <w:jc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t>持续时间</w:t>
                  </w:r>
                </w:p>
              </w:tc>
            </w:tr>
            <w:tr w14:paraId="0D2D5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 w:hRule="atLeast"/>
              </w:trPr>
              <w:tc>
                <w:tcPr>
                  <w:tcW w:w="804" w:type="dxa"/>
                  <w:vMerge w:val="continue"/>
                  <w:shd w:val="clear" w:color="auto" w:fill="auto"/>
                  <w:vAlign w:val="center"/>
                </w:tcPr>
                <w:p w14:paraId="72AE0C7E">
                  <w:pPr>
                    <w:jc w:val="center"/>
                    <w:rPr>
                      <w:color w:val="000000" w:themeColor="text1"/>
                      <w:sz w:val="21"/>
                      <w:szCs w:val="21"/>
                      <w:highlight w:val="none"/>
                      <w:lang w:eastAsia="en-US"/>
                      <w14:textFill>
                        <w14:solidFill>
                          <w14:schemeClr w14:val="tx1"/>
                        </w14:solidFill>
                      </w14:textFill>
                    </w:rPr>
                  </w:pPr>
                </w:p>
              </w:tc>
              <w:tc>
                <w:tcPr>
                  <w:tcW w:w="720" w:type="dxa"/>
                  <w:vMerge w:val="continue"/>
                  <w:shd w:val="clear" w:color="auto" w:fill="auto"/>
                  <w:vAlign w:val="center"/>
                </w:tcPr>
                <w:p w14:paraId="7F8017D9">
                  <w:pPr>
                    <w:jc w:val="center"/>
                    <w:rPr>
                      <w:color w:val="000000" w:themeColor="text1"/>
                      <w:sz w:val="21"/>
                      <w:szCs w:val="21"/>
                      <w:highlight w:val="none"/>
                      <w:lang w:eastAsia="en-US"/>
                      <w14:textFill>
                        <w14:solidFill>
                          <w14:schemeClr w14:val="tx1"/>
                        </w14:solidFill>
                      </w14:textFill>
                    </w:rPr>
                  </w:pPr>
                </w:p>
              </w:tc>
              <w:tc>
                <w:tcPr>
                  <w:tcW w:w="540" w:type="dxa"/>
                  <w:vMerge w:val="continue"/>
                  <w:shd w:val="clear" w:color="auto" w:fill="auto"/>
                  <w:vAlign w:val="center"/>
                </w:tcPr>
                <w:p w14:paraId="6970B7DF">
                  <w:pPr>
                    <w:jc w:val="center"/>
                    <w:rPr>
                      <w:color w:val="000000" w:themeColor="text1"/>
                      <w:sz w:val="21"/>
                      <w:szCs w:val="21"/>
                      <w:highlight w:val="none"/>
                      <w:lang w:eastAsia="en-US"/>
                      <w14:textFill>
                        <w14:solidFill>
                          <w14:schemeClr w14:val="tx1"/>
                        </w14:solidFill>
                      </w14:textFill>
                    </w:rPr>
                  </w:pPr>
                </w:p>
              </w:tc>
              <w:tc>
                <w:tcPr>
                  <w:tcW w:w="780" w:type="dxa"/>
                  <w:vMerge w:val="continue"/>
                  <w:shd w:val="clear" w:color="auto" w:fill="auto"/>
                  <w:vAlign w:val="center"/>
                </w:tcPr>
                <w:p w14:paraId="1A56570C">
                  <w:pPr>
                    <w:jc w:val="center"/>
                    <w:rPr>
                      <w:color w:val="000000" w:themeColor="text1"/>
                      <w:sz w:val="21"/>
                      <w:szCs w:val="21"/>
                      <w:highlight w:val="none"/>
                      <w:lang w:eastAsia="en-US"/>
                      <w14:textFill>
                        <w14:solidFill>
                          <w14:schemeClr w14:val="tx1"/>
                        </w14:solidFill>
                      </w14:textFill>
                    </w:rPr>
                  </w:pPr>
                </w:p>
              </w:tc>
              <w:tc>
                <w:tcPr>
                  <w:tcW w:w="960" w:type="dxa"/>
                  <w:vMerge w:val="continue"/>
                  <w:shd w:val="clear" w:color="auto" w:fill="auto"/>
                  <w:vAlign w:val="center"/>
                </w:tcPr>
                <w:p w14:paraId="2EEFE2B1">
                  <w:pPr>
                    <w:jc w:val="center"/>
                    <w:rPr>
                      <w:color w:val="000000" w:themeColor="text1"/>
                      <w:sz w:val="21"/>
                      <w:szCs w:val="21"/>
                      <w:highlight w:val="none"/>
                      <w:lang w:eastAsia="en-US"/>
                      <w14:textFill>
                        <w14:solidFill>
                          <w14:schemeClr w14:val="tx1"/>
                        </w14:solidFill>
                      </w14:textFill>
                    </w:rPr>
                  </w:pPr>
                </w:p>
              </w:tc>
              <w:tc>
                <w:tcPr>
                  <w:tcW w:w="1980" w:type="dxa"/>
                  <w:shd w:val="clear" w:color="auto" w:fill="auto"/>
                  <w:vAlign w:val="center"/>
                </w:tcPr>
                <w:p w14:paraId="6C69F873">
                  <w:pPr>
                    <w:pStyle w:val="36"/>
                    <w:autoSpaceDE/>
                    <w:autoSpaceDN/>
                    <w:spacing w:before="0"/>
                    <w:ind w:left="0"/>
                    <w:jc w:val="center"/>
                    <w:rPr>
                      <w:rFonts w:ascii="Times New Roman" w:hAnsi="Times New Roman" w:cs="Times New Roman"/>
                      <w:color w:val="000000" w:themeColor="text1"/>
                      <w:kern w:val="2"/>
                      <w:sz w:val="21"/>
                      <w:szCs w:val="21"/>
                      <w:highlight w:val="none"/>
                      <w14:textFill>
                        <w14:solidFill>
                          <w14:schemeClr w14:val="tx1"/>
                        </w14:solidFill>
                      </w14:textFill>
                    </w:rPr>
                  </w:pPr>
                  <w:r>
                    <w:rPr>
                      <w:rFonts w:ascii="Times New Roman" w:hAnsi="Times New Roman" w:cs="Times New Roman"/>
                      <w:color w:val="000000" w:themeColor="text1"/>
                      <w:kern w:val="2"/>
                      <w:sz w:val="21"/>
                      <w:szCs w:val="21"/>
                      <w:highlight w:val="none"/>
                      <w14:textFill>
                        <w14:solidFill>
                          <w14:schemeClr w14:val="tx1"/>
                        </w14:solidFill>
                      </w14:textFill>
                    </w:rPr>
                    <w:t>工艺</w:t>
                  </w:r>
                </w:p>
              </w:tc>
              <w:tc>
                <w:tcPr>
                  <w:tcW w:w="870" w:type="dxa"/>
                  <w:shd w:val="clear" w:color="auto" w:fill="auto"/>
                  <w:vAlign w:val="center"/>
                </w:tcPr>
                <w:p w14:paraId="634EECF9">
                  <w:pPr>
                    <w:pStyle w:val="36"/>
                    <w:autoSpaceDE/>
                    <w:autoSpaceDN/>
                    <w:spacing w:before="0"/>
                    <w:ind w:left="0"/>
                    <w:jc w:val="center"/>
                    <w:rPr>
                      <w:rFonts w:ascii="Times New Roman" w:hAnsi="Times New Roman" w:cs="Times New Roman"/>
                      <w:color w:val="000000" w:themeColor="text1"/>
                      <w:kern w:val="2"/>
                      <w:sz w:val="21"/>
                      <w:szCs w:val="21"/>
                      <w:highlight w:val="none"/>
                      <w14:textFill>
                        <w14:solidFill>
                          <w14:schemeClr w14:val="tx1"/>
                        </w14:solidFill>
                      </w14:textFill>
                    </w:rPr>
                  </w:pPr>
                  <w:r>
                    <w:rPr>
                      <w:rFonts w:ascii="Times New Roman" w:hAnsi="Times New Roman" w:cs="Times New Roman"/>
                      <w:color w:val="000000" w:themeColor="text1"/>
                      <w:kern w:val="2"/>
                      <w:sz w:val="21"/>
                      <w:szCs w:val="21"/>
                      <w:highlight w:val="none"/>
                      <w14:textFill>
                        <w14:solidFill>
                          <w14:schemeClr w14:val="tx1"/>
                        </w14:solidFill>
                      </w14:textFill>
                    </w:rPr>
                    <w:t>降噪效果</w:t>
                  </w:r>
                </w:p>
                <w:p w14:paraId="379E8D53">
                  <w:pPr>
                    <w:pStyle w:val="36"/>
                    <w:autoSpaceDE/>
                    <w:autoSpaceDN/>
                    <w:spacing w:before="0"/>
                    <w:ind w:left="0"/>
                    <w:jc w:val="center"/>
                    <w:rPr>
                      <w:rFonts w:ascii="Times New Roman" w:hAnsi="Times New Roman" w:cs="Times New Roman"/>
                      <w:color w:val="000000" w:themeColor="text1"/>
                      <w:kern w:val="2"/>
                      <w:sz w:val="21"/>
                      <w:szCs w:val="21"/>
                      <w:highlight w:val="none"/>
                      <w14:textFill>
                        <w14:solidFill>
                          <w14:schemeClr w14:val="tx1"/>
                        </w14:solidFill>
                      </w14:textFill>
                    </w:rPr>
                  </w:pPr>
                  <w:r>
                    <w:rPr>
                      <w:rFonts w:ascii="Times New Roman" w:hAnsi="Times New Roman" w:cs="Times New Roman"/>
                      <w:color w:val="000000" w:themeColor="text1"/>
                      <w:kern w:val="2"/>
                      <w:sz w:val="21"/>
                      <w:szCs w:val="21"/>
                      <w:highlight w:val="none"/>
                      <w14:textFill>
                        <w14:solidFill>
                          <w14:schemeClr w14:val="tx1"/>
                        </w14:solidFill>
                      </w14:textFill>
                    </w:rPr>
                    <w:t>dB(A)</w:t>
                  </w:r>
                </w:p>
              </w:tc>
              <w:tc>
                <w:tcPr>
                  <w:tcW w:w="915" w:type="dxa"/>
                  <w:vMerge w:val="continue"/>
                  <w:shd w:val="clear" w:color="auto" w:fill="auto"/>
                  <w:vAlign w:val="center"/>
                </w:tcPr>
                <w:p w14:paraId="25198571">
                  <w:pPr>
                    <w:jc w:val="center"/>
                    <w:rPr>
                      <w:color w:val="000000" w:themeColor="text1"/>
                      <w:sz w:val="21"/>
                      <w:szCs w:val="21"/>
                      <w:highlight w:val="none"/>
                      <w:lang w:eastAsia="en-US"/>
                      <w14:textFill>
                        <w14:solidFill>
                          <w14:schemeClr w14:val="tx1"/>
                        </w14:solidFill>
                      </w14:textFill>
                    </w:rPr>
                  </w:pPr>
                </w:p>
              </w:tc>
              <w:tc>
                <w:tcPr>
                  <w:tcW w:w="544" w:type="dxa"/>
                  <w:vMerge w:val="continue"/>
                  <w:shd w:val="clear" w:color="auto" w:fill="auto"/>
                  <w:vAlign w:val="center"/>
                </w:tcPr>
                <w:p w14:paraId="131E6C20">
                  <w:pPr>
                    <w:jc w:val="center"/>
                    <w:rPr>
                      <w:color w:val="000000" w:themeColor="text1"/>
                      <w:sz w:val="21"/>
                      <w:szCs w:val="21"/>
                      <w:highlight w:val="none"/>
                      <w:lang w:eastAsia="en-US"/>
                      <w14:textFill>
                        <w14:solidFill>
                          <w14:schemeClr w14:val="tx1"/>
                        </w14:solidFill>
                      </w14:textFill>
                    </w:rPr>
                  </w:pPr>
                </w:p>
              </w:tc>
            </w:tr>
            <w:tr w14:paraId="510CF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4" w:type="dxa"/>
                  <w:shd w:val="clear" w:color="auto" w:fill="auto"/>
                  <w:vAlign w:val="center"/>
                </w:tcPr>
                <w:p w14:paraId="54890214">
                  <w:pPr>
                    <w:keepNext w:val="0"/>
                    <w:keepLines w:val="0"/>
                    <w:widowControl/>
                    <w:suppressLineNumbers w:val="0"/>
                    <w:jc w:val="center"/>
                    <w:textAlignment w:val="center"/>
                    <w:rPr>
                      <w:rFonts w:hint="eastAsia"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抛光机</w:t>
                  </w:r>
                </w:p>
              </w:tc>
              <w:tc>
                <w:tcPr>
                  <w:tcW w:w="720" w:type="dxa"/>
                  <w:shd w:val="clear" w:color="auto" w:fill="auto"/>
                  <w:vAlign w:val="center"/>
                </w:tcPr>
                <w:p w14:paraId="1EF5E609">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室内</w:t>
                  </w:r>
                </w:p>
              </w:tc>
              <w:tc>
                <w:tcPr>
                  <w:tcW w:w="540" w:type="dxa"/>
                  <w:shd w:val="clear" w:color="auto" w:fill="auto"/>
                  <w:vAlign w:val="center"/>
                </w:tcPr>
                <w:p w14:paraId="14449A35">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2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780" w:type="dxa"/>
                  <w:shd w:val="clear" w:color="auto" w:fill="auto"/>
                  <w:vAlign w:val="center"/>
                </w:tcPr>
                <w:p w14:paraId="45FFDA3B">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频发</w:t>
                  </w:r>
                </w:p>
              </w:tc>
              <w:tc>
                <w:tcPr>
                  <w:tcW w:w="960" w:type="dxa"/>
                  <w:shd w:val="clear" w:color="auto" w:fill="auto"/>
                  <w:vAlign w:val="center"/>
                </w:tcPr>
                <w:p w14:paraId="0E7E7BED">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80</w:t>
                  </w:r>
                </w:p>
              </w:tc>
              <w:tc>
                <w:tcPr>
                  <w:tcW w:w="1980" w:type="dxa"/>
                  <w:shd w:val="clear" w:color="auto" w:fill="auto"/>
                  <w:vAlign w:val="center"/>
                </w:tcPr>
                <w:p w14:paraId="4A6B2144">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基础减震</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厂房隔声</w:t>
                  </w:r>
                </w:p>
              </w:tc>
              <w:tc>
                <w:tcPr>
                  <w:tcW w:w="870" w:type="dxa"/>
                  <w:shd w:val="clear" w:color="auto" w:fill="auto"/>
                  <w:vAlign w:val="center"/>
                </w:tcPr>
                <w:p w14:paraId="37273A79">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915" w:type="dxa"/>
                  <w:shd w:val="clear" w:color="auto" w:fill="auto"/>
                  <w:vAlign w:val="center"/>
                </w:tcPr>
                <w:p w14:paraId="045F65FB">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65</w:t>
                  </w:r>
                </w:p>
              </w:tc>
              <w:tc>
                <w:tcPr>
                  <w:tcW w:w="544" w:type="dxa"/>
                  <w:shd w:val="clear" w:color="auto" w:fill="auto"/>
                  <w:vAlign w:val="center"/>
                </w:tcPr>
                <w:p w14:paraId="55CDADAA">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连续</w:t>
                  </w:r>
                </w:p>
              </w:tc>
            </w:tr>
            <w:tr w14:paraId="5AFC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4" w:type="dxa"/>
                  <w:shd w:val="clear" w:color="auto" w:fill="auto"/>
                  <w:vAlign w:val="center"/>
                </w:tcPr>
                <w:p w14:paraId="2A5F46EE">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研磨机</w:t>
                  </w:r>
                </w:p>
              </w:tc>
              <w:tc>
                <w:tcPr>
                  <w:tcW w:w="720" w:type="dxa"/>
                  <w:shd w:val="clear" w:color="auto" w:fill="auto"/>
                  <w:vAlign w:val="center"/>
                </w:tcPr>
                <w:p w14:paraId="638BBEA0">
                  <w:pPr>
                    <w:keepNext w:val="0"/>
                    <w:keepLines w:val="0"/>
                    <w:widowControl/>
                    <w:suppressLineNumbers w:val="0"/>
                    <w:jc w:val="center"/>
                    <w:textAlignment w:val="cente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室内</w:t>
                  </w:r>
                </w:p>
              </w:tc>
              <w:tc>
                <w:tcPr>
                  <w:tcW w:w="540" w:type="dxa"/>
                  <w:shd w:val="clear" w:color="auto" w:fill="auto"/>
                  <w:vAlign w:val="center"/>
                </w:tcPr>
                <w:p w14:paraId="621B13AE">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2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780" w:type="dxa"/>
                  <w:shd w:val="clear" w:color="auto" w:fill="auto"/>
                  <w:vAlign w:val="center"/>
                </w:tcPr>
                <w:p w14:paraId="1B2A7967">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频发</w:t>
                  </w:r>
                </w:p>
              </w:tc>
              <w:tc>
                <w:tcPr>
                  <w:tcW w:w="960" w:type="dxa"/>
                  <w:shd w:val="clear" w:color="auto" w:fill="auto"/>
                  <w:vAlign w:val="center"/>
                </w:tcPr>
                <w:p w14:paraId="6A9A1CDB">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80</w:t>
                  </w:r>
                </w:p>
              </w:tc>
              <w:tc>
                <w:tcPr>
                  <w:tcW w:w="1980" w:type="dxa"/>
                  <w:shd w:val="clear" w:color="auto" w:fill="auto"/>
                  <w:vAlign w:val="center"/>
                </w:tcPr>
                <w:p w14:paraId="44D8A1B2">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基础减震</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厂房隔声</w:t>
                  </w:r>
                </w:p>
              </w:tc>
              <w:tc>
                <w:tcPr>
                  <w:tcW w:w="870" w:type="dxa"/>
                  <w:shd w:val="clear" w:color="auto" w:fill="auto"/>
                  <w:vAlign w:val="center"/>
                </w:tcPr>
                <w:p w14:paraId="04CEA321">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915" w:type="dxa"/>
                  <w:shd w:val="clear" w:color="auto" w:fill="auto"/>
                  <w:vAlign w:val="center"/>
                </w:tcPr>
                <w:p w14:paraId="4AD1994F">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65</w:t>
                  </w:r>
                </w:p>
              </w:tc>
              <w:tc>
                <w:tcPr>
                  <w:tcW w:w="544" w:type="dxa"/>
                  <w:shd w:val="clear" w:color="auto" w:fill="auto"/>
                  <w:vAlign w:val="center"/>
                </w:tcPr>
                <w:p w14:paraId="2A927473">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连续</w:t>
                  </w:r>
                </w:p>
              </w:tc>
            </w:tr>
            <w:tr w14:paraId="28801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4" w:type="dxa"/>
                  <w:shd w:val="clear" w:color="auto" w:fill="auto"/>
                  <w:vAlign w:val="center"/>
                </w:tcPr>
                <w:p w14:paraId="45039535">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铣磨机</w:t>
                  </w:r>
                </w:p>
              </w:tc>
              <w:tc>
                <w:tcPr>
                  <w:tcW w:w="720" w:type="dxa"/>
                  <w:shd w:val="clear" w:color="auto" w:fill="auto"/>
                  <w:vAlign w:val="center"/>
                </w:tcPr>
                <w:p w14:paraId="4A91BB63">
                  <w:pPr>
                    <w:keepNext w:val="0"/>
                    <w:keepLines w:val="0"/>
                    <w:widowControl/>
                    <w:suppressLineNumbers w:val="0"/>
                    <w:jc w:val="center"/>
                    <w:textAlignment w:val="cente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室内</w:t>
                  </w:r>
                </w:p>
              </w:tc>
              <w:tc>
                <w:tcPr>
                  <w:tcW w:w="540" w:type="dxa"/>
                  <w:shd w:val="clear" w:color="auto" w:fill="auto"/>
                  <w:vAlign w:val="center"/>
                </w:tcPr>
                <w:p w14:paraId="6B319B49">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2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780" w:type="dxa"/>
                  <w:shd w:val="clear" w:color="auto" w:fill="auto"/>
                  <w:vAlign w:val="center"/>
                </w:tcPr>
                <w:p w14:paraId="428B11F3">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频发</w:t>
                  </w:r>
                </w:p>
              </w:tc>
              <w:tc>
                <w:tcPr>
                  <w:tcW w:w="960" w:type="dxa"/>
                  <w:shd w:val="clear" w:color="auto" w:fill="auto"/>
                  <w:vAlign w:val="center"/>
                </w:tcPr>
                <w:p w14:paraId="5FF32F1C">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80</w:t>
                  </w:r>
                </w:p>
              </w:tc>
              <w:tc>
                <w:tcPr>
                  <w:tcW w:w="1980" w:type="dxa"/>
                  <w:shd w:val="clear" w:color="auto" w:fill="auto"/>
                  <w:vAlign w:val="center"/>
                </w:tcPr>
                <w:p w14:paraId="49854B22">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基础减震</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厂房隔声</w:t>
                  </w:r>
                </w:p>
              </w:tc>
              <w:tc>
                <w:tcPr>
                  <w:tcW w:w="870" w:type="dxa"/>
                  <w:shd w:val="clear" w:color="auto" w:fill="auto"/>
                  <w:vAlign w:val="center"/>
                </w:tcPr>
                <w:p w14:paraId="3AD27AE7">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915" w:type="dxa"/>
                  <w:shd w:val="clear" w:color="auto" w:fill="auto"/>
                  <w:vAlign w:val="center"/>
                </w:tcPr>
                <w:p w14:paraId="605A4AE6">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65</w:t>
                  </w:r>
                </w:p>
              </w:tc>
              <w:tc>
                <w:tcPr>
                  <w:tcW w:w="544" w:type="dxa"/>
                  <w:shd w:val="clear" w:color="auto" w:fill="auto"/>
                  <w:vAlign w:val="center"/>
                </w:tcPr>
                <w:p w14:paraId="6E10259F">
                  <w:pPr>
                    <w:keepNext w:val="0"/>
                    <w:keepLines w:val="0"/>
                    <w:widowControl/>
                    <w:suppressLineNumbers w:val="0"/>
                    <w:jc w:val="center"/>
                    <w:textAlignment w:val="center"/>
                    <w:rPr>
                      <w:color w:val="000000" w:themeColor="text1"/>
                      <w:sz w:val="21"/>
                      <w:szCs w:val="21"/>
                      <w:highlight w:val="none"/>
                      <w:lang w:eastAsia="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连续</w:t>
                  </w:r>
                </w:p>
              </w:tc>
            </w:tr>
            <w:tr w14:paraId="13E54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4" w:type="dxa"/>
                  <w:shd w:val="clear" w:color="auto" w:fill="auto"/>
                  <w:vAlign w:val="center"/>
                </w:tcPr>
                <w:p w14:paraId="47F7973C">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超声波清洗机</w:t>
                  </w:r>
                </w:p>
              </w:tc>
              <w:tc>
                <w:tcPr>
                  <w:tcW w:w="720" w:type="dxa"/>
                  <w:shd w:val="clear" w:color="auto" w:fill="auto"/>
                  <w:vAlign w:val="center"/>
                </w:tcPr>
                <w:p w14:paraId="640B87B8">
                  <w:pPr>
                    <w:keepNext w:val="0"/>
                    <w:keepLines w:val="0"/>
                    <w:widowControl/>
                    <w:suppressLineNumbers w:val="0"/>
                    <w:jc w:val="center"/>
                    <w:textAlignment w:val="cente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室内</w:t>
                  </w:r>
                </w:p>
              </w:tc>
              <w:tc>
                <w:tcPr>
                  <w:tcW w:w="540" w:type="dxa"/>
                  <w:shd w:val="clear" w:color="auto" w:fill="auto"/>
                  <w:vAlign w:val="center"/>
                </w:tcPr>
                <w:p w14:paraId="10EAE26D">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3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780" w:type="dxa"/>
                  <w:shd w:val="clear" w:color="auto" w:fill="auto"/>
                  <w:vAlign w:val="center"/>
                </w:tcPr>
                <w:p w14:paraId="2A6D2A3B">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频发</w:t>
                  </w:r>
                </w:p>
              </w:tc>
              <w:tc>
                <w:tcPr>
                  <w:tcW w:w="960" w:type="dxa"/>
                  <w:shd w:val="clear" w:color="auto" w:fill="auto"/>
                  <w:vAlign w:val="center"/>
                </w:tcPr>
                <w:p w14:paraId="6D9E66C1">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75</w:t>
                  </w:r>
                </w:p>
              </w:tc>
              <w:tc>
                <w:tcPr>
                  <w:tcW w:w="1980" w:type="dxa"/>
                  <w:shd w:val="clear" w:color="auto" w:fill="auto"/>
                  <w:vAlign w:val="center"/>
                </w:tcPr>
                <w:p w14:paraId="7B76ED2D">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基础减震</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厂房隔声</w:t>
                  </w:r>
                </w:p>
              </w:tc>
              <w:tc>
                <w:tcPr>
                  <w:tcW w:w="870" w:type="dxa"/>
                  <w:shd w:val="clear" w:color="auto" w:fill="auto"/>
                  <w:vAlign w:val="center"/>
                </w:tcPr>
                <w:p w14:paraId="7288FDB2">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915" w:type="dxa"/>
                  <w:shd w:val="clear" w:color="auto" w:fill="auto"/>
                  <w:vAlign w:val="center"/>
                </w:tcPr>
                <w:p w14:paraId="0350DCC9">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60</w:t>
                  </w:r>
                </w:p>
              </w:tc>
              <w:tc>
                <w:tcPr>
                  <w:tcW w:w="544" w:type="dxa"/>
                  <w:shd w:val="clear" w:color="auto" w:fill="auto"/>
                  <w:vAlign w:val="center"/>
                </w:tcPr>
                <w:p w14:paraId="4B053A80">
                  <w:pPr>
                    <w:keepNext w:val="0"/>
                    <w:keepLines w:val="0"/>
                    <w:widowControl/>
                    <w:suppressLineNumbers w:val="0"/>
                    <w:jc w:val="center"/>
                    <w:textAlignment w:val="center"/>
                    <w:rPr>
                      <w:color w:val="000000" w:themeColor="text1"/>
                      <w:sz w:val="21"/>
                      <w:szCs w:val="21"/>
                      <w:highlight w:val="none"/>
                      <w:lang w:eastAsia="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连续</w:t>
                  </w:r>
                </w:p>
              </w:tc>
            </w:tr>
            <w:tr w14:paraId="74348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4" w:type="dxa"/>
                  <w:shd w:val="clear" w:color="auto" w:fill="auto"/>
                  <w:vAlign w:val="center"/>
                </w:tcPr>
                <w:p w14:paraId="0FB6D2E9">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环磨机</w:t>
                  </w:r>
                </w:p>
              </w:tc>
              <w:tc>
                <w:tcPr>
                  <w:tcW w:w="720" w:type="dxa"/>
                  <w:shd w:val="clear" w:color="auto" w:fill="auto"/>
                  <w:vAlign w:val="center"/>
                </w:tcPr>
                <w:p w14:paraId="582B36B8">
                  <w:pPr>
                    <w:keepNext w:val="0"/>
                    <w:keepLines w:val="0"/>
                    <w:widowControl/>
                    <w:suppressLineNumbers w:val="0"/>
                    <w:jc w:val="center"/>
                    <w:textAlignment w:val="cente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室内</w:t>
                  </w:r>
                </w:p>
              </w:tc>
              <w:tc>
                <w:tcPr>
                  <w:tcW w:w="540" w:type="dxa"/>
                  <w:shd w:val="clear" w:color="auto" w:fill="auto"/>
                  <w:vAlign w:val="center"/>
                </w:tcPr>
                <w:p w14:paraId="463CF39B">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4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780" w:type="dxa"/>
                  <w:shd w:val="clear" w:color="auto" w:fill="auto"/>
                  <w:vAlign w:val="center"/>
                </w:tcPr>
                <w:p w14:paraId="0FADB61E">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频发</w:t>
                  </w:r>
                </w:p>
              </w:tc>
              <w:tc>
                <w:tcPr>
                  <w:tcW w:w="960" w:type="dxa"/>
                  <w:shd w:val="clear" w:color="auto" w:fill="auto"/>
                  <w:vAlign w:val="center"/>
                </w:tcPr>
                <w:p w14:paraId="21C25758">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80</w:t>
                  </w:r>
                </w:p>
              </w:tc>
              <w:tc>
                <w:tcPr>
                  <w:tcW w:w="1980" w:type="dxa"/>
                  <w:shd w:val="clear" w:color="auto" w:fill="auto"/>
                  <w:vAlign w:val="center"/>
                </w:tcPr>
                <w:p w14:paraId="5FA382F4">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基础减震</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厂房隔声</w:t>
                  </w:r>
                </w:p>
              </w:tc>
              <w:tc>
                <w:tcPr>
                  <w:tcW w:w="870" w:type="dxa"/>
                  <w:shd w:val="clear" w:color="auto" w:fill="auto"/>
                  <w:vAlign w:val="center"/>
                </w:tcPr>
                <w:p w14:paraId="08F2E502">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915" w:type="dxa"/>
                  <w:shd w:val="clear" w:color="auto" w:fill="auto"/>
                  <w:vAlign w:val="center"/>
                </w:tcPr>
                <w:p w14:paraId="38797F36">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65</w:t>
                  </w:r>
                </w:p>
              </w:tc>
              <w:tc>
                <w:tcPr>
                  <w:tcW w:w="544" w:type="dxa"/>
                  <w:shd w:val="clear" w:color="auto" w:fill="auto"/>
                  <w:vAlign w:val="center"/>
                </w:tcPr>
                <w:p w14:paraId="0D1C6073">
                  <w:pPr>
                    <w:keepNext w:val="0"/>
                    <w:keepLines w:val="0"/>
                    <w:widowControl/>
                    <w:suppressLineNumbers w:val="0"/>
                    <w:jc w:val="center"/>
                    <w:textAlignment w:val="center"/>
                    <w:rPr>
                      <w:rFonts w:hint="eastAsia"/>
                      <w:color w:val="000000" w:themeColor="text1"/>
                      <w:sz w:val="21"/>
                      <w:szCs w:val="21"/>
                      <w:highlight w:val="none"/>
                      <w:lang w:eastAsia="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连续</w:t>
                  </w:r>
                </w:p>
              </w:tc>
            </w:tr>
            <w:tr w14:paraId="05F94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4" w:type="dxa"/>
                  <w:shd w:val="clear" w:color="auto" w:fill="auto"/>
                  <w:vAlign w:val="center"/>
                </w:tcPr>
                <w:p w14:paraId="61B1CD32">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环抛机</w:t>
                  </w:r>
                </w:p>
              </w:tc>
              <w:tc>
                <w:tcPr>
                  <w:tcW w:w="720" w:type="dxa"/>
                  <w:shd w:val="clear" w:color="auto" w:fill="auto"/>
                  <w:vAlign w:val="center"/>
                </w:tcPr>
                <w:p w14:paraId="6F9C07EF">
                  <w:pPr>
                    <w:keepNext w:val="0"/>
                    <w:keepLines w:val="0"/>
                    <w:widowControl/>
                    <w:suppressLineNumbers w:val="0"/>
                    <w:jc w:val="center"/>
                    <w:textAlignment w:val="cente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室内</w:t>
                  </w:r>
                </w:p>
              </w:tc>
              <w:tc>
                <w:tcPr>
                  <w:tcW w:w="540" w:type="dxa"/>
                  <w:shd w:val="clear" w:color="auto" w:fill="auto"/>
                  <w:vAlign w:val="center"/>
                </w:tcPr>
                <w:p w14:paraId="31B86A3A">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8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780" w:type="dxa"/>
                  <w:shd w:val="clear" w:color="auto" w:fill="auto"/>
                  <w:vAlign w:val="center"/>
                </w:tcPr>
                <w:p w14:paraId="1573795D">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频发</w:t>
                  </w:r>
                </w:p>
              </w:tc>
              <w:tc>
                <w:tcPr>
                  <w:tcW w:w="960" w:type="dxa"/>
                  <w:shd w:val="clear" w:color="auto" w:fill="auto"/>
                  <w:vAlign w:val="center"/>
                </w:tcPr>
                <w:p w14:paraId="2B88F206">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80</w:t>
                  </w:r>
                </w:p>
              </w:tc>
              <w:tc>
                <w:tcPr>
                  <w:tcW w:w="1980" w:type="dxa"/>
                  <w:shd w:val="clear" w:color="auto" w:fill="auto"/>
                  <w:vAlign w:val="center"/>
                </w:tcPr>
                <w:p w14:paraId="31E377E5">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基础减震</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厂房隔声</w:t>
                  </w:r>
                </w:p>
              </w:tc>
              <w:tc>
                <w:tcPr>
                  <w:tcW w:w="870" w:type="dxa"/>
                  <w:shd w:val="clear" w:color="auto" w:fill="auto"/>
                  <w:vAlign w:val="center"/>
                </w:tcPr>
                <w:p w14:paraId="5A7B8C37">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915" w:type="dxa"/>
                  <w:shd w:val="clear" w:color="auto" w:fill="auto"/>
                  <w:vAlign w:val="center"/>
                </w:tcPr>
                <w:p w14:paraId="622D967C">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65</w:t>
                  </w:r>
                </w:p>
              </w:tc>
              <w:tc>
                <w:tcPr>
                  <w:tcW w:w="544" w:type="dxa"/>
                  <w:shd w:val="clear" w:color="auto" w:fill="auto"/>
                  <w:vAlign w:val="center"/>
                </w:tcPr>
                <w:p w14:paraId="6CCE086D">
                  <w:pPr>
                    <w:keepNext w:val="0"/>
                    <w:keepLines w:val="0"/>
                    <w:widowControl/>
                    <w:suppressLineNumbers w:val="0"/>
                    <w:jc w:val="center"/>
                    <w:textAlignment w:val="center"/>
                    <w:rPr>
                      <w:rFonts w:hint="eastAsia"/>
                      <w:color w:val="000000" w:themeColor="text1"/>
                      <w:sz w:val="21"/>
                      <w:szCs w:val="21"/>
                      <w:highlight w:val="none"/>
                      <w:lang w:eastAsia="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连续</w:t>
                  </w:r>
                </w:p>
              </w:tc>
            </w:tr>
            <w:tr w14:paraId="08230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4" w:type="dxa"/>
                  <w:shd w:val="clear" w:color="auto" w:fill="auto"/>
                  <w:vAlign w:val="center"/>
                </w:tcPr>
                <w:p w14:paraId="6DF50D90">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马弗炉</w:t>
                  </w:r>
                </w:p>
              </w:tc>
              <w:tc>
                <w:tcPr>
                  <w:tcW w:w="720" w:type="dxa"/>
                  <w:shd w:val="clear" w:color="auto" w:fill="auto"/>
                  <w:vAlign w:val="center"/>
                </w:tcPr>
                <w:p w14:paraId="27215165">
                  <w:pPr>
                    <w:keepNext w:val="0"/>
                    <w:keepLines w:val="0"/>
                    <w:widowControl/>
                    <w:suppressLineNumbers w:val="0"/>
                    <w:jc w:val="center"/>
                    <w:textAlignment w:val="cente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室内</w:t>
                  </w:r>
                </w:p>
              </w:tc>
              <w:tc>
                <w:tcPr>
                  <w:tcW w:w="540" w:type="dxa"/>
                  <w:shd w:val="clear" w:color="auto" w:fill="auto"/>
                  <w:vAlign w:val="center"/>
                </w:tcPr>
                <w:p w14:paraId="2DC34E0B">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2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780" w:type="dxa"/>
                  <w:shd w:val="clear" w:color="auto" w:fill="auto"/>
                  <w:vAlign w:val="center"/>
                </w:tcPr>
                <w:p w14:paraId="4D9A05C5">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频发</w:t>
                  </w:r>
                </w:p>
              </w:tc>
              <w:tc>
                <w:tcPr>
                  <w:tcW w:w="960" w:type="dxa"/>
                  <w:shd w:val="clear" w:color="auto" w:fill="auto"/>
                  <w:vAlign w:val="center"/>
                </w:tcPr>
                <w:p w14:paraId="1A1EC8C4">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70</w:t>
                  </w:r>
                </w:p>
              </w:tc>
              <w:tc>
                <w:tcPr>
                  <w:tcW w:w="1980" w:type="dxa"/>
                  <w:shd w:val="clear" w:color="auto" w:fill="auto"/>
                  <w:vAlign w:val="center"/>
                </w:tcPr>
                <w:p w14:paraId="7CBE7650">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基础减震</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厂房隔声</w:t>
                  </w:r>
                </w:p>
              </w:tc>
              <w:tc>
                <w:tcPr>
                  <w:tcW w:w="870" w:type="dxa"/>
                  <w:shd w:val="clear" w:color="auto" w:fill="auto"/>
                  <w:vAlign w:val="center"/>
                </w:tcPr>
                <w:p w14:paraId="0C980CB9">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915" w:type="dxa"/>
                  <w:shd w:val="clear" w:color="auto" w:fill="auto"/>
                  <w:vAlign w:val="center"/>
                </w:tcPr>
                <w:p w14:paraId="6EA1AC01">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55</w:t>
                  </w:r>
                </w:p>
              </w:tc>
              <w:tc>
                <w:tcPr>
                  <w:tcW w:w="544" w:type="dxa"/>
                  <w:shd w:val="clear" w:color="auto" w:fill="auto"/>
                  <w:vAlign w:val="center"/>
                </w:tcPr>
                <w:p w14:paraId="15F0BF4B">
                  <w:pPr>
                    <w:keepNext w:val="0"/>
                    <w:keepLines w:val="0"/>
                    <w:widowControl/>
                    <w:suppressLineNumbers w:val="0"/>
                    <w:jc w:val="center"/>
                    <w:textAlignment w:val="center"/>
                    <w:rPr>
                      <w:rFonts w:hint="eastAsia"/>
                      <w:color w:val="000000" w:themeColor="text1"/>
                      <w:sz w:val="21"/>
                      <w:szCs w:val="21"/>
                      <w:highlight w:val="none"/>
                      <w:lang w:eastAsia="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连续</w:t>
                  </w:r>
                </w:p>
              </w:tc>
            </w:tr>
            <w:tr w14:paraId="10C5F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4" w:type="dxa"/>
                  <w:shd w:val="clear" w:color="auto" w:fill="auto"/>
                  <w:vAlign w:val="center"/>
                </w:tcPr>
                <w:p w14:paraId="1A1822C5">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精雕机</w:t>
                  </w:r>
                </w:p>
              </w:tc>
              <w:tc>
                <w:tcPr>
                  <w:tcW w:w="720" w:type="dxa"/>
                  <w:shd w:val="clear" w:color="auto" w:fill="auto"/>
                  <w:vAlign w:val="center"/>
                </w:tcPr>
                <w:p w14:paraId="1F245B91">
                  <w:pPr>
                    <w:keepNext w:val="0"/>
                    <w:keepLines w:val="0"/>
                    <w:widowControl/>
                    <w:suppressLineNumbers w:val="0"/>
                    <w:jc w:val="center"/>
                    <w:textAlignment w:val="cente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室内</w:t>
                  </w:r>
                </w:p>
              </w:tc>
              <w:tc>
                <w:tcPr>
                  <w:tcW w:w="540" w:type="dxa"/>
                  <w:shd w:val="clear" w:color="auto" w:fill="auto"/>
                  <w:vAlign w:val="center"/>
                </w:tcPr>
                <w:p w14:paraId="7FE2962A">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6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780" w:type="dxa"/>
                  <w:shd w:val="clear" w:color="auto" w:fill="auto"/>
                  <w:vAlign w:val="center"/>
                </w:tcPr>
                <w:p w14:paraId="16B12ADC">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频发</w:t>
                  </w:r>
                </w:p>
              </w:tc>
              <w:tc>
                <w:tcPr>
                  <w:tcW w:w="960" w:type="dxa"/>
                  <w:shd w:val="clear" w:color="auto" w:fill="auto"/>
                  <w:vAlign w:val="center"/>
                </w:tcPr>
                <w:p w14:paraId="18ACBCD8">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80</w:t>
                  </w:r>
                </w:p>
              </w:tc>
              <w:tc>
                <w:tcPr>
                  <w:tcW w:w="1980" w:type="dxa"/>
                  <w:shd w:val="clear" w:color="auto" w:fill="auto"/>
                  <w:vAlign w:val="center"/>
                </w:tcPr>
                <w:p w14:paraId="5A92E77D">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基础减震</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厂房隔声</w:t>
                  </w:r>
                </w:p>
              </w:tc>
              <w:tc>
                <w:tcPr>
                  <w:tcW w:w="870" w:type="dxa"/>
                  <w:shd w:val="clear" w:color="auto" w:fill="auto"/>
                  <w:vAlign w:val="center"/>
                </w:tcPr>
                <w:p w14:paraId="62F84F10">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915" w:type="dxa"/>
                  <w:shd w:val="clear" w:color="auto" w:fill="auto"/>
                  <w:vAlign w:val="center"/>
                </w:tcPr>
                <w:p w14:paraId="1016EDA0">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65</w:t>
                  </w:r>
                </w:p>
              </w:tc>
              <w:tc>
                <w:tcPr>
                  <w:tcW w:w="544" w:type="dxa"/>
                  <w:shd w:val="clear" w:color="auto" w:fill="auto"/>
                  <w:vAlign w:val="center"/>
                </w:tcPr>
                <w:p w14:paraId="5EBA22BD">
                  <w:pPr>
                    <w:keepNext w:val="0"/>
                    <w:keepLines w:val="0"/>
                    <w:widowControl/>
                    <w:suppressLineNumbers w:val="0"/>
                    <w:jc w:val="center"/>
                    <w:textAlignment w:val="center"/>
                    <w:rPr>
                      <w:rFonts w:hint="eastAsia"/>
                      <w:color w:val="000000" w:themeColor="text1"/>
                      <w:sz w:val="21"/>
                      <w:szCs w:val="21"/>
                      <w:highlight w:val="none"/>
                      <w:lang w:eastAsia="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连续</w:t>
                  </w:r>
                </w:p>
              </w:tc>
            </w:tr>
            <w:tr w14:paraId="2BA8C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4" w:type="dxa"/>
                  <w:shd w:val="clear" w:color="auto" w:fill="auto"/>
                  <w:vAlign w:val="center"/>
                </w:tcPr>
                <w:p w14:paraId="267D1D15">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精密双磨机</w:t>
                  </w:r>
                </w:p>
              </w:tc>
              <w:tc>
                <w:tcPr>
                  <w:tcW w:w="720" w:type="dxa"/>
                  <w:shd w:val="clear" w:color="auto" w:fill="auto"/>
                  <w:vAlign w:val="center"/>
                </w:tcPr>
                <w:p w14:paraId="403BFDF1">
                  <w:pPr>
                    <w:keepNext w:val="0"/>
                    <w:keepLines w:val="0"/>
                    <w:widowControl/>
                    <w:suppressLineNumbers w:val="0"/>
                    <w:jc w:val="center"/>
                    <w:textAlignment w:val="cente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室内</w:t>
                  </w:r>
                </w:p>
              </w:tc>
              <w:tc>
                <w:tcPr>
                  <w:tcW w:w="540" w:type="dxa"/>
                  <w:shd w:val="clear" w:color="auto" w:fill="auto"/>
                  <w:vAlign w:val="center"/>
                </w:tcPr>
                <w:p w14:paraId="6627D7CD">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2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780" w:type="dxa"/>
                  <w:shd w:val="clear" w:color="auto" w:fill="auto"/>
                  <w:vAlign w:val="center"/>
                </w:tcPr>
                <w:p w14:paraId="36D96B7F">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频发</w:t>
                  </w:r>
                </w:p>
              </w:tc>
              <w:tc>
                <w:tcPr>
                  <w:tcW w:w="960" w:type="dxa"/>
                  <w:shd w:val="clear" w:color="auto" w:fill="auto"/>
                  <w:vAlign w:val="center"/>
                </w:tcPr>
                <w:p w14:paraId="76FA9DE7">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80</w:t>
                  </w:r>
                </w:p>
              </w:tc>
              <w:tc>
                <w:tcPr>
                  <w:tcW w:w="1980" w:type="dxa"/>
                  <w:shd w:val="clear" w:color="auto" w:fill="auto"/>
                  <w:vAlign w:val="center"/>
                </w:tcPr>
                <w:p w14:paraId="6C64F4E1">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基础减震</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厂房隔声</w:t>
                  </w:r>
                </w:p>
              </w:tc>
              <w:tc>
                <w:tcPr>
                  <w:tcW w:w="870" w:type="dxa"/>
                  <w:shd w:val="clear" w:color="auto" w:fill="auto"/>
                  <w:vAlign w:val="center"/>
                </w:tcPr>
                <w:p w14:paraId="793DECA9">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915" w:type="dxa"/>
                  <w:shd w:val="clear" w:color="auto" w:fill="auto"/>
                  <w:vAlign w:val="center"/>
                </w:tcPr>
                <w:p w14:paraId="65645A2D">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65</w:t>
                  </w:r>
                </w:p>
              </w:tc>
              <w:tc>
                <w:tcPr>
                  <w:tcW w:w="544" w:type="dxa"/>
                  <w:shd w:val="clear" w:color="auto" w:fill="auto"/>
                  <w:vAlign w:val="center"/>
                </w:tcPr>
                <w:p w14:paraId="489D7734">
                  <w:pPr>
                    <w:keepNext w:val="0"/>
                    <w:keepLines w:val="0"/>
                    <w:widowControl/>
                    <w:suppressLineNumbers w:val="0"/>
                    <w:jc w:val="center"/>
                    <w:textAlignment w:val="center"/>
                    <w:rPr>
                      <w:rFonts w:hint="eastAsia"/>
                      <w:color w:val="000000" w:themeColor="text1"/>
                      <w:sz w:val="21"/>
                      <w:szCs w:val="21"/>
                      <w:highlight w:val="none"/>
                      <w:lang w:eastAsia="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连续</w:t>
                  </w:r>
                </w:p>
              </w:tc>
            </w:tr>
            <w:tr w14:paraId="008BC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4" w:type="dxa"/>
                  <w:shd w:val="clear" w:color="auto" w:fill="auto"/>
                  <w:vAlign w:val="center"/>
                </w:tcPr>
                <w:p w14:paraId="4E7B8813">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精密双抛机</w:t>
                  </w:r>
                </w:p>
              </w:tc>
              <w:tc>
                <w:tcPr>
                  <w:tcW w:w="720" w:type="dxa"/>
                  <w:shd w:val="clear" w:color="auto" w:fill="auto"/>
                  <w:vAlign w:val="center"/>
                </w:tcPr>
                <w:p w14:paraId="2DA92192">
                  <w:pPr>
                    <w:keepNext w:val="0"/>
                    <w:keepLines w:val="0"/>
                    <w:widowControl/>
                    <w:suppressLineNumbers w:val="0"/>
                    <w:jc w:val="center"/>
                    <w:textAlignment w:val="cente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室内</w:t>
                  </w:r>
                </w:p>
              </w:tc>
              <w:tc>
                <w:tcPr>
                  <w:tcW w:w="540" w:type="dxa"/>
                  <w:shd w:val="clear" w:color="auto" w:fill="auto"/>
                  <w:vAlign w:val="center"/>
                </w:tcPr>
                <w:p w14:paraId="247E357C">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4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780" w:type="dxa"/>
                  <w:shd w:val="clear" w:color="auto" w:fill="auto"/>
                  <w:vAlign w:val="center"/>
                </w:tcPr>
                <w:p w14:paraId="6E2ABF8A">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频发</w:t>
                  </w:r>
                </w:p>
              </w:tc>
              <w:tc>
                <w:tcPr>
                  <w:tcW w:w="960" w:type="dxa"/>
                  <w:shd w:val="clear" w:color="auto" w:fill="auto"/>
                  <w:vAlign w:val="center"/>
                </w:tcPr>
                <w:p w14:paraId="6DDF51E7">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80</w:t>
                  </w:r>
                </w:p>
              </w:tc>
              <w:tc>
                <w:tcPr>
                  <w:tcW w:w="1980" w:type="dxa"/>
                  <w:shd w:val="clear" w:color="auto" w:fill="auto"/>
                  <w:vAlign w:val="center"/>
                </w:tcPr>
                <w:p w14:paraId="30EE073D">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基础减震</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厂房隔声</w:t>
                  </w:r>
                </w:p>
              </w:tc>
              <w:tc>
                <w:tcPr>
                  <w:tcW w:w="870" w:type="dxa"/>
                  <w:shd w:val="clear" w:color="auto" w:fill="auto"/>
                  <w:vAlign w:val="center"/>
                </w:tcPr>
                <w:p w14:paraId="1F058C65">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915" w:type="dxa"/>
                  <w:shd w:val="clear" w:color="auto" w:fill="auto"/>
                  <w:vAlign w:val="center"/>
                </w:tcPr>
                <w:p w14:paraId="5749F701">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65</w:t>
                  </w:r>
                </w:p>
              </w:tc>
              <w:tc>
                <w:tcPr>
                  <w:tcW w:w="544" w:type="dxa"/>
                  <w:shd w:val="clear" w:color="auto" w:fill="auto"/>
                  <w:vAlign w:val="center"/>
                </w:tcPr>
                <w:p w14:paraId="3B085C4E">
                  <w:pPr>
                    <w:keepNext w:val="0"/>
                    <w:keepLines w:val="0"/>
                    <w:widowControl/>
                    <w:suppressLineNumbers w:val="0"/>
                    <w:jc w:val="center"/>
                    <w:textAlignment w:val="center"/>
                    <w:rPr>
                      <w:rFonts w:hint="eastAsia"/>
                      <w:color w:val="000000" w:themeColor="text1"/>
                      <w:sz w:val="21"/>
                      <w:szCs w:val="21"/>
                      <w:highlight w:val="none"/>
                      <w:lang w:eastAsia="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连续</w:t>
                  </w:r>
                </w:p>
              </w:tc>
            </w:tr>
            <w:tr w14:paraId="3CA3B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4" w:type="dxa"/>
                  <w:shd w:val="clear" w:color="auto" w:fill="auto"/>
                  <w:vAlign w:val="center"/>
                </w:tcPr>
                <w:p w14:paraId="51512DE7">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真空镀膜机</w:t>
                  </w:r>
                </w:p>
              </w:tc>
              <w:tc>
                <w:tcPr>
                  <w:tcW w:w="720" w:type="dxa"/>
                  <w:shd w:val="clear" w:color="auto" w:fill="auto"/>
                  <w:vAlign w:val="center"/>
                </w:tcPr>
                <w:p w14:paraId="1364248C">
                  <w:pPr>
                    <w:keepNext w:val="0"/>
                    <w:keepLines w:val="0"/>
                    <w:widowControl/>
                    <w:suppressLineNumbers w:val="0"/>
                    <w:jc w:val="center"/>
                    <w:textAlignment w:val="cente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室内</w:t>
                  </w:r>
                </w:p>
              </w:tc>
              <w:tc>
                <w:tcPr>
                  <w:tcW w:w="540" w:type="dxa"/>
                  <w:shd w:val="clear" w:color="auto" w:fill="auto"/>
                  <w:vAlign w:val="center"/>
                </w:tcPr>
                <w:p w14:paraId="6146F7D7">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5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780" w:type="dxa"/>
                  <w:shd w:val="clear" w:color="auto" w:fill="auto"/>
                  <w:vAlign w:val="center"/>
                </w:tcPr>
                <w:p w14:paraId="28A0E870">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频发</w:t>
                  </w:r>
                </w:p>
              </w:tc>
              <w:tc>
                <w:tcPr>
                  <w:tcW w:w="960" w:type="dxa"/>
                  <w:shd w:val="clear" w:color="auto" w:fill="auto"/>
                  <w:vAlign w:val="center"/>
                </w:tcPr>
                <w:p w14:paraId="788A9C4D">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70</w:t>
                  </w:r>
                </w:p>
              </w:tc>
              <w:tc>
                <w:tcPr>
                  <w:tcW w:w="1980" w:type="dxa"/>
                  <w:shd w:val="clear" w:color="auto" w:fill="auto"/>
                  <w:vAlign w:val="center"/>
                </w:tcPr>
                <w:p w14:paraId="488384A2">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基础减震</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厂房隔声</w:t>
                  </w:r>
                </w:p>
              </w:tc>
              <w:tc>
                <w:tcPr>
                  <w:tcW w:w="870" w:type="dxa"/>
                  <w:shd w:val="clear" w:color="auto" w:fill="auto"/>
                  <w:vAlign w:val="center"/>
                </w:tcPr>
                <w:p w14:paraId="05064D88">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915" w:type="dxa"/>
                  <w:shd w:val="clear" w:color="auto" w:fill="auto"/>
                  <w:vAlign w:val="center"/>
                </w:tcPr>
                <w:p w14:paraId="11A9D9A4">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55</w:t>
                  </w:r>
                </w:p>
              </w:tc>
              <w:tc>
                <w:tcPr>
                  <w:tcW w:w="544" w:type="dxa"/>
                  <w:shd w:val="clear" w:color="auto" w:fill="auto"/>
                  <w:vAlign w:val="center"/>
                </w:tcPr>
                <w:p w14:paraId="43F67985">
                  <w:pPr>
                    <w:keepNext w:val="0"/>
                    <w:keepLines w:val="0"/>
                    <w:widowControl/>
                    <w:suppressLineNumbers w:val="0"/>
                    <w:jc w:val="center"/>
                    <w:textAlignment w:val="center"/>
                    <w:rPr>
                      <w:rFonts w:hint="eastAsia"/>
                      <w:color w:val="000000" w:themeColor="text1"/>
                      <w:sz w:val="21"/>
                      <w:szCs w:val="21"/>
                      <w:highlight w:val="none"/>
                      <w:lang w:eastAsia="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连续</w:t>
                  </w:r>
                </w:p>
              </w:tc>
            </w:tr>
            <w:tr w14:paraId="2148C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4" w:type="dxa"/>
                  <w:shd w:val="clear" w:color="auto" w:fill="auto"/>
                  <w:vAlign w:val="center"/>
                </w:tcPr>
                <w:p w14:paraId="1F9035A5">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键合机</w:t>
                  </w:r>
                </w:p>
              </w:tc>
              <w:tc>
                <w:tcPr>
                  <w:tcW w:w="720" w:type="dxa"/>
                  <w:shd w:val="clear" w:color="auto" w:fill="auto"/>
                  <w:vAlign w:val="center"/>
                </w:tcPr>
                <w:p w14:paraId="6FE38325">
                  <w:pPr>
                    <w:keepNext w:val="0"/>
                    <w:keepLines w:val="0"/>
                    <w:widowControl/>
                    <w:suppressLineNumbers w:val="0"/>
                    <w:jc w:val="center"/>
                    <w:textAlignment w:val="cente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室内</w:t>
                  </w:r>
                </w:p>
              </w:tc>
              <w:tc>
                <w:tcPr>
                  <w:tcW w:w="540" w:type="dxa"/>
                  <w:shd w:val="clear" w:color="auto" w:fill="auto"/>
                  <w:vAlign w:val="center"/>
                </w:tcPr>
                <w:p w14:paraId="44BB8723">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8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780" w:type="dxa"/>
                  <w:shd w:val="clear" w:color="auto" w:fill="auto"/>
                  <w:vAlign w:val="center"/>
                </w:tcPr>
                <w:p w14:paraId="0B8E9F7D">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频发</w:t>
                  </w:r>
                </w:p>
              </w:tc>
              <w:tc>
                <w:tcPr>
                  <w:tcW w:w="960" w:type="dxa"/>
                  <w:shd w:val="clear" w:color="auto" w:fill="auto"/>
                  <w:vAlign w:val="center"/>
                </w:tcPr>
                <w:p w14:paraId="31D7EC25">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70</w:t>
                  </w:r>
                </w:p>
              </w:tc>
              <w:tc>
                <w:tcPr>
                  <w:tcW w:w="1980" w:type="dxa"/>
                  <w:shd w:val="clear" w:color="auto" w:fill="auto"/>
                  <w:vAlign w:val="center"/>
                </w:tcPr>
                <w:p w14:paraId="19449B51">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基础减震</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厂房隔声</w:t>
                  </w:r>
                </w:p>
              </w:tc>
              <w:tc>
                <w:tcPr>
                  <w:tcW w:w="870" w:type="dxa"/>
                  <w:shd w:val="clear" w:color="auto" w:fill="auto"/>
                  <w:vAlign w:val="center"/>
                </w:tcPr>
                <w:p w14:paraId="6C2BA1A0">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915" w:type="dxa"/>
                  <w:shd w:val="clear" w:color="auto" w:fill="auto"/>
                  <w:vAlign w:val="center"/>
                </w:tcPr>
                <w:p w14:paraId="2BB07162">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55</w:t>
                  </w:r>
                </w:p>
              </w:tc>
              <w:tc>
                <w:tcPr>
                  <w:tcW w:w="544" w:type="dxa"/>
                  <w:shd w:val="clear" w:color="auto" w:fill="auto"/>
                  <w:vAlign w:val="center"/>
                </w:tcPr>
                <w:p w14:paraId="7BE5B8D9">
                  <w:pPr>
                    <w:keepNext w:val="0"/>
                    <w:keepLines w:val="0"/>
                    <w:widowControl/>
                    <w:suppressLineNumbers w:val="0"/>
                    <w:jc w:val="center"/>
                    <w:textAlignment w:val="center"/>
                    <w:rPr>
                      <w:rFonts w:hint="eastAsia"/>
                      <w:color w:val="000000" w:themeColor="text1"/>
                      <w:sz w:val="21"/>
                      <w:szCs w:val="21"/>
                      <w:highlight w:val="none"/>
                      <w:lang w:eastAsia="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连续</w:t>
                  </w:r>
                </w:p>
              </w:tc>
            </w:tr>
            <w:tr w14:paraId="7FE07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4" w:type="dxa"/>
                  <w:shd w:val="clear" w:color="auto" w:fill="auto"/>
                  <w:vAlign w:val="center"/>
                </w:tcPr>
                <w:p w14:paraId="084F8522">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离子束抛光机</w:t>
                  </w:r>
                </w:p>
              </w:tc>
              <w:tc>
                <w:tcPr>
                  <w:tcW w:w="720" w:type="dxa"/>
                  <w:shd w:val="clear" w:color="auto" w:fill="auto"/>
                  <w:vAlign w:val="center"/>
                </w:tcPr>
                <w:p w14:paraId="2E48A6A4">
                  <w:pPr>
                    <w:keepNext w:val="0"/>
                    <w:keepLines w:val="0"/>
                    <w:widowControl/>
                    <w:suppressLineNumbers w:val="0"/>
                    <w:jc w:val="center"/>
                    <w:textAlignment w:val="cente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室内</w:t>
                  </w:r>
                </w:p>
              </w:tc>
              <w:tc>
                <w:tcPr>
                  <w:tcW w:w="540" w:type="dxa"/>
                  <w:shd w:val="clear" w:color="auto" w:fill="auto"/>
                  <w:vAlign w:val="center"/>
                </w:tcPr>
                <w:p w14:paraId="557C5DDA">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4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780" w:type="dxa"/>
                  <w:shd w:val="clear" w:color="auto" w:fill="auto"/>
                  <w:vAlign w:val="center"/>
                </w:tcPr>
                <w:p w14:paraId="39D3FDCE">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频发</w:t>
                  </w:r>
                </w:p>
              </w:tc>
              <w:tc>
                <w:tcPr>
                  <w:tcW w:w="960" w:type="dxa"/>
                  <w:shd w:val="clear" w:color="auto" w:fill="auto"/>
                  <w:vAlign w:val="center"/>
                </w:tcPr>
                <w:p w14:paraId="470031F4">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80</w:t>
                  </w:r>
                </w:p>
              </w:tc>
              <w:tc>
                <w:tcPr>
                  <w:tcW w:w="1980" w:type="dxa"/>
                  <w:shd w:val="clear" w:color="auto" w:fill="auto"/>
                  <w:vAlign w:val="center"/>
                </w:tcPr>
                <w:p w14:paraId="799E2AAC">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基础减震</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厂房隔声</w:t>
                  </w:r>
                </w:p>
              </w:tc>
              <w:tc>
                <w:tcPr>
                  <w:tcW w:w="870" w:type="dxa"/>
                  <w:shd w:val="clear" w:color="auto" w:fill="auto"/>
                  <w:vAlign w:val="center"/>
                </w:tcPr>
                <w:p w14:paraId="0725B50E">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915" w:type="dxa"/>
                  <w:shd w:val="clear" w:color="auto" w:fill="auto"/>
                  <w:vAlign w:val="center"/>
                </w:tcPr>
                <w:p w14:paraId="731BBB7A">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65</w:t>
                  </w:r>
                </w:p>
              </w:tc>
              <w:tc>
                <w:tcPr>
                  <w:tcW w:w="544" w:type="dxa"/>
                  <w:shd w:val="clear" w:color="auto" w:fill="auto"/>
                  <w:vAlign w:val="center"/>
                </w:tcPr>
                <w:p w14:paraId="6BADBF04">
                  <w:pPr>
                    <w:keepNext w:val="0"/>
                    <w:keepLines w:val="0"/>
                    <w:widowControl/>
                    <w:suppressLineNumbers w:val="0"/>
                    <w:jc w:val="center"/>
                    <w:textAlignment w:val="center"/>
                    <w:rPr>
                      <w:rFonts w:hint="eastAsia"/>
                      <w:color w:val="000000" w:themeColor="text1"/>
                      <w:sz w:val="21"/>
                      <w:szCs w:val="21"/>
                      <w:highlight w:val="none"/>
                      <w:lang w:eastAsia="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连续</w:t>
                  </w:r>
                </w:p>
              </w:tc>
            </w:tr>
            <w:tr w14:paraId="0691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4" w:type="dxa"/>
                  <w:shd w:val="clear" w:color="auto" w:fill="auto"/>
                  <w:vAlign w:val="center"/>
                </w:tcPr>
                <w:p w14:paraId="4BAFA5CF">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喷砂机</w:t>
                  </w:r>
                </w:p>
              </w:tc>
              <w:tc>
                <w:tcPr>
                  <w:tcW w:w="720" w:type="dxa"/>
                  <w:shd w:val="clear" w:color="auto" w:fill="auto"/>
                  <w:vAlign w:val="center"/>
                </w:tcPr>
                <w:p w14:paraId="335BC27E">
                  <w:pPr>
                    <w:keepNext w:val="0"/>
                    <w:keepLines w:val="0"/>
                    <w:widowControl/>
                    <w:suppressLineNumbers w:val="0"/>
                    <w:jc w:val="center"/>
                    <w:textAlignment w:val="cente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室内</w:t>
                  </w:r>
                </w:p>
              </w:tc>
              <w:tc>
                <w:tcPr>
                  <w:tcW w:w="540" w:type="dxa"/>
                  <w:shd w:val="clear" w:color="auto" w:fill="auto"/>
                  <w:vAlign w:val="center"/>
                </w:tcPr>
                <w:p w14:paraId="69B481B4">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1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780" w:type="dxa"/>
                  <w:shd w:val="clear" w:color="auto" w:fill="auto"/>
                  <w:vAlign w:val="center"/>
                </w:tcPr>
                <w:p w14:paraId="2A4BA8FB">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频发</w:t>
                  </w:r>
                </w:p>
              </w:tc>
              <w:tc>
                <w:tcPr>
                  <w:tcW w:w="960" w:type="dxa"/>
                  <w:shd w:val="clear" w:color="auto" w:fill="auto"/>
                  <w:vAlign w:val="center"/>
                </w:tcPr>
                <w:p w14:paraId="0C672E6B">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80</w:t>
                  </w:r>
                </w:p>
              </w:tc>
              <w:tc>
                <w:tcPr>
                  <w:tcW w:w="1980" w:type="dxa"/>
                  <w:shd w:val="clear" w:color="auto" w:fill="auto"/>
                  <w:vAlign w:val="center"/>
                </w:tcPr>
                <w:p w14:paraId="227EFDE7">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基础减震</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厂房隔声</w:t>
                  </w:r>
                </w:p>
              </w:tc>
              <w:tc>
                <w:tcPr>
                  <w:tcW w:w="870" w:type="dxa"/>
                  <w:shd w:val="clear" w:color="auto" w:fill="auto"/>
                  <w:vAlign w:val="center"/>
                </w:tcPr>
                <w:p w14:paraId="20ECD11D">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915" w:type="dxa"/>
                  <w:shd w:val="clear" w:color="auto" w:fill="auto"/>
                  <w:vAlign w:val="center"/>
                </w:tcPr>
                <w:p w14:paraId="0B6EB405">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65</w:t>
                  </w:r>
                </w:p>
              </w:tc>
              <w:tc>
                <w:tcPr>
                  <w:tcW w:w="544" w:type="dxa"/>
                  <w:shd w:val="clear" w:color="auto" w:fill="auto"/>
                  <w:vAlign w:val="center"/>
                </w:tcPr>
                <w:p w14:paraId="0040430B">
                  <w:pPr>
                    <w:keepNext w:val="0"/>
                    <w:keepLines w:val="0"/>
                    <w:widowControl/>
                    <w:suppressLineNumbers w:val="0"/>
                    <w:jc w:val="center"/>
                    <w:textAlignment w:val="center"/>
                    <w:rPr>
                      <w:rFonts w:hint="eastAsia"/>
                      <w:color w:val="000000" w:themeColor="text1"/>
                      <w:sz w:val="21"/>
                      <w:szCs w:val="21"/>
                      <w:highlight w:val="none"/>
                      <w:lang w:eastAsia="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连续</w:t>
                  </w:r>
                </w:p>
              </w:tc>
            </w:tr>
            <w:tr w14:paraId="1572D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4" w:type="dxa"/>
                  <w:shd w:val="clear" w:color="auto" w:fill="auto"/>
                  <w:vAlign w:val="center"/>
                </w:tcPr>
                <w:p w14:paraId="564F920D">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线切割机</w:t>
                  </w:r>
                </w:p>
              </w:tc>
              <w:tc>
                <w:tcPr>
                  <w:tcW w:w="720" w:type="dxa"/>
                  <w:shd w:val="clear" w:color="auto" w:fill="auto"/>
                  <w:vAlign w:val="center"/>
                </w:tcPr>
                <w:p w14:paraId="74812D83">
                  <w:pPr>
                    <w:keepNext w:val="0"/>
                    <w:keepLines w:val="0"/>
                    <w:widowControl/>
                    <w:suppressLineNumbers w:val="0"/>
                    <w:jc w:val="center"/>
                    <w:textAlignment w:val="cente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室内</w:t>
                  </w:r>
                </w:p>
              </w:tc>
              <w:tc>
                <w:tcPr>
                  <w:tcW w:w="540" w:type="dxa"/>
                  <w:shd w:val="clear" w:color="auto" w:fill="auto"/>
                  <w:vAlign w:val="center"/>
                </w:tcPr>
                <w:p w14:paraId="109EA255">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2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780" w:type="dxa"/>
                  <w:shd w:val="clear" w:color="auto" w:fill="auto"/>
                  <w:vAlign w:val="center"/>
                </w:tcPr>
                <w:p w14:paraId="4243A353">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频发</w:t>
                  </w:r>
                </w:p>
              </w:tc>
              <w:tc>
                <w:tcPr>
                  <w:tcW w:w="960" w:type="dxa"/>
                  <w:shd w:val="clear" w:color="auto" w:fill="auto"/>
                  <w:vAlign w:val="center"/>
                </w:tcPr>
                <w:p w14:paraId="686F408C">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80</w:t>
                  </w:r>
                </w:p>
              </w:tc>
              <w:tc>
                <w:tcPr>
                  <w:tcW w:w="1980" w:type="dxa"/>
                  <w:shd w:val="clear" w:color="auto" w:fill="auto"/>
                  <w:vAlign w:val="center"/>
                </w:tcPr>
                <w:p w14:paraId="10A67318">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基础减震</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厂房隔声</w:t>
                  </w:r>
                </w:p>
              </w:tc>
              <w:tc>
                <w:tcPr>
                  <w:tcW w:w="870" w:type="dxa"/>
                  <w:shd w:val="clear" w:color="auto" w:fill="auto"/>
                  <w:vAlign w:val="center"/>
                </w:tcPr>
                <w:p w14:paraId="44D57D7E">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915" w:type="dxa"/>
                  <w:shd w:val="clear" w:color="auto" w:fill="auto"/>
                  <w:vAlign w:val="center"/>
                </w:tcPr>
                <w:p w14:paraId="63612256">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65</w:t>
                  </w:r>
                </w:p>
              </w:tc>
              <w:tc>
                <w:tcPr>
                  <w:tcW w:w="544" w:type="dxa"/>
                  <w:shd w:val="clear" w:color="auto" w:fill="auto"/>
                  <w:vAlign w:val="center"/>
                </w:tcPr>
                <w:p w14:paraId="25AB363A">
                  <w:pPr>
                    <w:keepNext w:val="0"/>
                    <w:keepLines w:val="0"/>
                    <w:widowControl/>
                    <w:suppressLineNumbers w:val="0"/>
                    <w:jc w:val="center"/>
                    <w:textAlignment w:val="center"/>
                    <w:rPr>
                      <w:rFonts w:hint="eastAsia"/>
                      <w:color w:val="000000" w:themeColor="text1"/>
                      <w:sz w:val="21"/>
                      <w:szCs w:val="21"/>
                      <w:highlight w:val="none"/>
                      <w:lang w:eastAsia="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连续</w:t>
                  </w:r>
                </w:p>
              </w:tc>
            </w:tr>
            <w:tr w14:paraId="2FAEA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4" w:type="dxa"/>
                  <w:shd w:val="clear" w:color="auto" w:fill="auto"/>
                  <w:vAlign w:val="center"/>
                </w:tcPr>
                <w:p w14:paraId="6025EF39">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等离子清洗机</w:t>
                  </w:r>
                </w:p>
              </w:tc>
              <w:tc>
                <w:tcPr>
                  <w:tcW w:w="720" w:type="dxa"/>
                  <w:shd w:val="clear" w:color="auto" w:fill="auto"/>
                  <w:vAlign w:val="center"/>
                </w:tcPr>
                <w:p w14:paraId="101D6847">
                  <w:pPr>
                    <w:keepNext w:val="0"/>
                    <w:keepLines w:val="0"/>
                    <w:widowControl/>
                    <w:suppressLineNumbers w:val="0"/>
                    <w:jc w:val="center"/>
                    <w:textAlignment w:val="cente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室内</w:t>
                  </w:r>
                </w:p>
              </w:tc>
              <w:tc>
                <w:tcPr>
                  <w:tcW w:w="540" w:type="dxa"/>
                  <w:shd w:val="clear" w:color="auto" w:fill="auto"/>
                  <w:vAlign w:val="center"/>
                </w:tcPr>
                <w:p w14:paraId="0390A2EF">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1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780" w:type="dxa"/>
                  <w:shd w:val="clear" w:color="auto" w:fill="auto"/>
                  <w:vAlign w:val="center"/>
                </w:tcPr>
                <w:p w14:paraId="60EA300D">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频发</w:t>
                  </w:r>
                </w:p>
              </w:tc>
              <w:tc>
                <w:tcPr>
                  <w:tcW w:w="960" w:type="dxa"/>
                  <w:shd w:val="clear" w:color="auto" w:fill="auto"/>
                  <w:vAlign w:val="center"/>
                </w:tcPr>
                <w:p w14:paraId="084AD2B2">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75</w:t>
                  </w:r>
                </w:p>
              </w:tc>
              <w:tc>
                <w:tcPr>
                  <w:tcW w:w="1980" w:type="dxa"/>
                  <w:shd w:val="clear" w:color="auto" w:fill="auto"/>
                  <w:vAlign w:val="center"/>
                </w:tcPr>
                <w:p w14:paraId="35810167">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基础减震</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厂房隔声</w:t>
                  </w:r>
                </w:p>
              </w:tc>
              <w:tc>
                <w:tcPr>
                  <w:tcW w:w="870" w:type="dxa"/>
                  <w:shd w:val="clear" w:color="auto" w:fill="auto"/>
                  <w:vAlign w:val="center"/>
                </w:tcPr>
                <w:p w14:paraId="6C03ADDB">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915" w:type="dxa"/>
                  <w:shd w:val="clear" w:color="auto" w:fill="auto"/>
                  <w:vAlign w:val="center"/>
                </w:tcPr>
                <w:p w14:paraId="7389E805">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60</w:t>
                  </w:r>
                </w:p>
              </w:tc>
              <w:tc>
                <w:tcPr>
                  <w:tcW w:w="544" w:type="dxa"/>
                  <w:shd w:val="clear" w:color="auto" w:fill="auto"/>
                  <w:vAlign w:val="center"/>
                </w:tcPr>
                <w:p w14:paraId="12A93CFF">
                  <w:pPr>
                    <w:keepNext w:val="0"/>
                    <w:keepLines w:val="0"/>
                    <w:widowControl/>
                    <w:suppressLineNumbers w:val="0"/>
                    <w:jc w:val="center"/>
                    <w:textAlignment w:val="center"/>
                    <w:rPr>
                      <w:rFonts w:hint="eastAsia"/>
                      <w:color w:val="000000" w:themeColor="text1"/>
                      <w:sz w:val="21"/>
                      <w:szCs w:val="21"/>
                      <w:highlight w:val="none"/>
                      <w:lang w:eastAsia="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连续</w:t>
                  </w:r>
                </w:p>
              </w:tc>
            </w:tr>
            <w:tr w14:paraId="68904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4" w:type="dxa"/>
                  <w:shd w:val="clear" w:color="auto" w:fill="auto"/>
                  <w:vAlign w:val="center"/>
                </w:tcPr>
                <w:p w14:paraId="748FB5D1">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喷胶机</w:t>
                  </w:r>
                </w:p>
              </w:tc>
              <w:tc>
                <w:tcPr>
                  <w:tcW w:w="720" w:type="dxa"/>
                  <w:shd w:val="clear" w:color="auto" w:fill="auto"/>
                  <w:vAlign w:val="center"/>
                </w:tcPr>
                <w:p w14:paraId="26C3045E">
                  <w:pPr>
                    <w:keepNext w:val="0"/>
                    <w:keepLines w:val="0"/>
                    <w:widowControl/>
                    <w:suppressLineNumbers w:val="0"/>
                    <w:jc w:val="center"/>
                    <w:textAlignment w:val="cente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室内</w:t>
                  </w:r>
                </w:p>
              </w:tc>
              <w:tc>
                <w:tcPr>
                  <w:tcW w:w="540" w:type="dxa"/>
                  <w:shd w:val="clear" w:color="auto" w:fill="auto"/>
                  <w:vAlign w:val="center"/>
                </w:tcPr>
                <w:p w14:paraId="6BEA5939">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1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780" w:type="dxa"/>
                  <w:shd w:val="clear" w:color="auto" w:fill="auto"/>
                  <w:vAlign w:val="center"/>
                </w:tcPr>
                <w:p w14:paraId="3FA65620">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频发</w:t>
                  </w:r>
                </w:p>
              </w:tc>
              <w:tc>
                <w:tcPr>
                  <w:tcW w:w="960" w:type="dxa"/>
                  <w:shd w:val="clear" w:color="auto" w:fill="auto"/>
                  <w:vAlign w:val="center"/>
                </w:tcPr>
                <w:p w14:paraId="05C6745F">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70</w:t>
                  </w:r>
                </w:p>
              </w:tc>
              <w:tc>
                <w:tcPr>
                  <w:tcW w:w="1980" w:type="dxa"/>
                  <w:shd w:val="clear" w:color="auto" w:fill="auto"/>
                  <w:vAlign w:val="center"/>
                </w:tcPr>
                <w:p w14:paraId="099EC4D5">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基础减震</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厂房隔声</w:t>
                  </w:r>
                </w:p>
              </w:tc>
              <w:tc>
                <w:tcPr>
                  <w:tcW w:w="870" w:type="dxa"/>
                  <w:shd w:val="clear" w:color="auto" w:fill="auto"/>
                  <w:vAlign w:val="center"/>
                </w:tcPr>
                <w:p w14:paraId="6E4F87A1">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915" w:type="dxa"/>
                  <w:shd w:val="clear" w:color="auto" w:fill="auto"/>
                  <w:vAlign w:val="center"/>
                </w:tcPr>
                <w:p w14:paraId="43354E4F">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55</w:t>
                  </w:r>
                </w:p>
              </w:tc>
              <w:tc>
                <w:tcPr>
                  <w:tcW w:w="544" w:type="dxa"/>
                  <w:shd w:val="clear" w:color="auto" w:fill="auto"/>
                  <w:vAlign w:val="center"/>
                </w:tcPr>
                <w:p w14:paraId="68DAC04E">
                  <w:pPr>
                    <w:keepNext w:val="0"/>
                    <w:keepLines w:val="0"/>
                    <w:widowControl/>
                    <w:suppressLineNumbers w:val="0"/>
                    <w:jc w:val="center"/>
                    <w:textAlignment w:val="center"/>
                    <w:rPr>
                      <w:rFonts w:hint="eastAsia"/>
                      <w:color w:val="000000" w:themeColor="text1"/>
                      <w:sz w:val="21"/>
                      <w:szCs w:val="21"/>
                      <w:highlight w:val="none"/>
                      <w:lang w:eastAsia="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连续</w:t>
                  </w:r>
                </w:p>
              </w:tc>
            </w:tr>
            <w:tr w14:paraId="26193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4" w:type="dxa"/>
                  <w:shd w:val="clear" w:color="auto" w:fill="auto"/>
                  <w:vAlign w:val="center"/>
                </w:tcPr>
                <w:p w14:paraId="4BA63C19">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涂胶机</w:t>
                  </w:r>
                </w:p>
              </w:tc>
              <w:tc>
                <w:tcPr>
                  <w:tcW w:w="720" w:type="dxa"/>
                  <w:shd w:val="clear" w:color="auto" w:fill="auto"/>
                  <w:vAlign w:val="center"/>
                </w:tcPr>
                <w:p w14:paraId="0691EE37">
                  <w:pPr>
                    <w:keepNext w:val="0"/>
                    <w:keepLines w:val="0"/>
                    <w:widowControl/>
                    <w:suppressLineNumbers w:val="0"/>
                    <w:jc w:val="center"/>
                    <w:textAlignment w:val="cente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室内</w:t>
                  </w:r>
                </w:p>
              </w:tc>
              <w:tc>
                <w:tcPr>
                  <w:tcW w:w="540" w:type="dxa"/>
                  <w:shd w:val="clear" w:color="auto" w:fill="auto"/>
                  <w:vAlign w:val="center"/>
                </w:tcPr>
                <w:p w14:paraId="2C5C58AF">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1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780" w:type="dxa"/>
                  <w:shd w:val="clear" w:color="auto" w:fill="auto"/>
                  <w:vAlign w:val="center"/>
                </w:tcPr>
                <w:p w14:paraId="250B140C">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频发</w:t>
                  </w:r>
                </w:p>
              </w:tc>
              <w:tc>
                <w:tcPr>
                  <w:tcW w:w="960" w:type="dxa"/>
                  <w:shd w:val="clear" w:color="auto" w:fill="auto"/>
                  <w:vAlign w:val="center"/>
                </w:tcPr>
                <w:p w14:paraId="20277C93">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70</w:t>
                  </w:r>
                </w:p>
              </w:tc>
              <w:tc>
                <w:tcPr>
                  <w:tcW w:w="1980" w:type="dxa"/>
                  <w:shd w:val="clear" w:color="auto" w:fill="auto"/>
                  <w:vAlign w:val="center"/>
                </w:tcPr>
                <w:p w14:paraId="35796546">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基础减震</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厂房隔声</w:t>
                  </w:r>
                </w:p>
              </w:tc>
              <w:tc>
                <w:tcPr>
                  <w:tcW w:w="870" w:type="dxa"/>
                  <w:shd w:val="clear" w:color="auto" w:fill="auto"/>
                  <w:vAlign w:val="center"/>
                </w:tcPr>
                <w:p w14:paraId="5EEE3CC4">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915" w:type="dxa"/>
                  <w:shd w:val="clear" w:color="auto" w:fill="auto"/>
                  <w:vAlign w:val="center"/>
                </w:tcPr>
                <w:p w14:paraId="09BF37C5">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55</w:t>
                  </w:r>
                </w:p>
              </w:tc>
              <w:tc>
                <w:tcPr>
                  <w:tcW w:w="544" w:type="dxa"/>
                  <w:shd w:val="clear" w:color="auto" w:fill="auto"/>
                  <w:vAlign w:val="center"/>
                </w:tcPr>
                <w:p w14:paraId="12839C57">
                  <w:pPr>
                    <w:keepNext w:val="0"/>
                    <w:keepLines w:val="0"/>
                    <w:widowControl/>
                    <w:suppressLineNumbers w:val="0"/>
                    <w:jc w:val="center"/>
                    <w:textAlignment w:val="center"/>
                    <w:rPr>
                      <w:rFonts w:hint="eastAsia"/>
                      <w:color w:val="000000" w:themeColor="text1"/>
                      <w:sz w:val="21"/>
                      <w:szCs w:val="21"/>
                      <w:highlight w:val="none"/>
                      <w:lang w:eastAsia="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连续</w:t>
                  </w:r>
                </w:p>
              </w:tc>
            </w:tr>
            <w:tr w14:paraId="37849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4" w:type="dxa"/>
                  <w:shd w:val="clear" w:color="auto" w:fill="auto"/>
                  <w:vAlign w:val="center"/>
                </w:tcPr>
                <w:p w14:paraId="459851E2">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光刻机</w:t>
                  </w:r>
                </w:p>
              </w:tc>
              <w:tc>
                <w:tcPr>
                  <w:tcW w:w="720" w:type="dxa"/>
                  <w:shd w:val="clear" w:color="auto" w:fill="auto"/>
                  <w:vAlign w:val="center"/>
                </w:tcPr>
                <w:p w14:paraId="1C6BBB38">
                  <w:pPr>
                    <w:keepNext w:val="0"/>
                    <w:keepLines w:val="0"/>
                    <w:widowControl/>
                    <w:suppressLineNumbers w:val="0"/>
                    <w:jc w:val="center"/>
                    <w:textAlignment w:val="cente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室内</w:t>
                  </w:r>
                </w:p>
              </w:tc>
              <w:tc>
                <w:tcPr>
                  <w:tcW w:w="540" w:type="dxa"/>
                  <w:shd w:val="clear" w:color="auto" w:fill="auto"/>
                  <w:vAlign w:val="center"/>
                </w:tcPr>
                <w:p w14:paraId="5F7E1CB2">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2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780" w:type="dxa"/>
                  <w:shd w:val="clear" w:color="auto" w:fill="auto"/>
                  <w:vAlign w:val="center"/>
                </w:tcPr>
                <w:p w14:paraId="25553F13">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频发</w:t>
                  </w:r>
                </w:p>
              </w:tc>
              <w:tc>
                <w:tcPr>
                  <w:tcW w:w="960" w:type="dxa"/>
                  <w:shd w:val="clear" w:color="auto" w:fill="auto"/>
                  <w:vAlign w:val="center"/>
                </w:tcPr>
                <w:p w14:paraId="54471AE7">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75</w:t>
                  </w:r>
                </w:p>
              </w:tc>
              <w:tc>
                <w:tcPr>
                  <w:tcW w:w="1980" w:type="dxa"/>
                  <w:shd w:val="clear" w:color="auto" w:fill="auto"/>
                  <w:vAlign w:val="center"/>
                </w:tcPr>
                <w:p w14:paraId="732FAC71">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基础减震</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厂房隔声</w:t>
                  </w:r>
                </w:p>
              </w:tc>
              <w:tc>
                <w:tcPr>
                  <w:tcW w:w="870" w:type="dxa"/>
                  <w:shd w:val="clear" w:color="auto" w:fill="auto"/>
                  <w:vAlign w:val="center"/>
                </w:tcPr>
                <w:p w14:paraId="02EA87AB">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915" w:type="dxa"/>
                  <w:shd w:val="clear" w:color="auto" w:fill="auto"/>
                  <w:vAlign w:val="center"/>
                </w:tcPr>
                <w:p w14:paraId="20A99BFB">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60</w:t>
                  </w:r>
                </w:p>
              </w:tc>
              <w:tc>
                <w:tcPr>
                  <w:tcW w:w="544" w:type="dxa"/>
                  <w:shd w:val="clear" w:color="auto" w:fill="auto"/>
                  <w:vAlign w:val="center"/>
                </w:tcPr>
                <w:p w14:paraId="1EE599C3">
                  <w:pPr>
                    <w:keepNext w:val="0"/>
                    <w:keepLines w:val="0"/>
                    <w:widowControl/>
                    <w:suppressLineNumbers w:val="0"/>
                    <w:jc w:val="center"/>
                    <w:textAlignment w:val="center"/>
                    <w:rPr>
                      <w:rFonts w:hint="eastAsia"/>
                      <w:color w:val="000000" w:themeColor="text1"/>
                      <w:sz w:val="21"/>
                      <w:szCs w:val="21"/>
                      <w:highlight w:val="none"/>
                      <w:lang w:eastAsia="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连续</w:t>
                  </w:r>
                </w:p>
              </w:tc>
            </w:tr>
            <w:tr w14:paraId="07DA7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4" w:type="dxa"/>
                  <w:shd w:val="clear" w:color="auto" w:fill="auto"/>
                  <w:vAlign w:val="center"/>
                </w:tcPr>
                <w:p w14:paraId="4C49F628">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显影机</w:t>
                  </w:r>
                </w:p>
              </w:tc>
              <w:tc>
                <w:tcPr>
                  <w:tcW w:w="720" w:type="dxa"/>
                  <w:shd w:val="clear" w:color="auto" w:fill="auto"/>
                  <w:vAlign w:val="center"/>
                </w:tcPr>
                <w:p w14:paraId="6553FBF9">
                  <w:pPr>
                    <w:keepNext w:val="0"/>
                    <w:keepLines w:val="0"/>
                    <w:widowControl/>
                    <w:suppressLineNumbers w:val="0"/>
                    <w:jc w:val="center"/>
                    <w:textAlignment w:val="cente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室内</w:t>
                  </w:r>
                </w:p>
              </w:tc>
              <w:tc>
                <w:tcPr>
                  <w:tcW w:w="540" w:type="dxa"/>
                  <w:shd w:val="clear" w:color="auto" w:fill="auto"/>
                  <w:vAlign w:val="center"/>
                </w:tcPr>
                <w:p w14:paraId="6DC4A26C">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1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780" w:type="dxa"/>
                  <w:shd w:val="clear" w:color="auto" w:fill="auto"/>
                  <w:vAlign w:val="center"/>
                </w:tcPr>
                <w:p w14:paraId="6C95D833">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频发</w:t>
                  </w:r>
                </w:p>
              </w:tc>
              <w:tc>
                <w:tcPr>
                  <w:tcW w:w="960" w:type="dxa"/>
                  <w:shd w:val="clear" w:color="auto" w:fill="auto"/>
                  <w:vAlign w:val="center"/>
                </w:tcPr>
                <w:p w14:paraId="5198EA6D">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75</w:t>
                  </w:r>
                </w:p>
              </w:tc>
              <w:tc>
                <w:tcPr>
                  <w:tcW w:w="1980" w:type="dxa"/>
                  <w:shd w:val="clear" w:color="auto" w:fill="auto"/>
                  <w:vAlign w:val="center"/>
                </w:tcPr>
                <w:p w14:paraId="38630F9E">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基础减震</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厂房隔声</w:t>
                  </w:r>
                </w:p>
              </w:tc>
              <w:tc>
                <w:tcPr>
                  <w:tcW w:w="870" w:type="dxa"/>
                  <w:shd w:val="clear" w:color="auto" w:fill="auto"/>
                  <w:vAlign w:val="center"/>
                </w:tcPr>
                <w:p w14:paraId="29674AB3">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915" w:type="dxa"/>
                  <w:shd w:val="clear" w:color="auto" w:fill="auto"/>
                  <w:vAlign w:val="center"/>
                </w:tcPr>
                <w:p w14:paraId="253C3DA0">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60</w:t>
                  </w:r>
                </w:p>
              </w:tc>
              <w:tc>
                <w:tcPr>
                  <w:tcW w:w="544" w:type="dxa"/>
                  <w:shd w:val="clear" w:color="auto" w:fill="auto"/>
                  <w:vAlign w:val="center"/>
                </w:tcPr>
                <w:p w14:paraId="33FA575A">
                  <w:pPr>
                    <w:keepNext w:val="0"/>
                    <w:keepLines w:val="0"/>
                    <w:widowControl/>
                    <w:suppressLineNumbers w:val="0"/>
                    <w:jc w:val="center"/>
                    <w:textAlignment w:val="center"/>
                    <w:rPr>
                      <w:rFonts w:hint="eastAsia"/>
                      <w:color w:val="000000" w:themeColor="text1"/>
                      <w:sz w:val="21"/>
                      <w:szCs w:val="21"/>
                      <w:highlight w:val="none"/>
                      <w:lang w:eastAsia="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连续</w:t>
                  </w:r>
                </w:p>
              </w:tc>
            </w:tr>
            <w:tr w14:paraId="57567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4" w:type="dxa"/>
                  <w:shd w:val="clear" w:color="auto" w:fill="auto"/>
                  <w:vAlign w:val="center"/>
                </w:tcPr>
                <w:p w14:paraId="6139827F">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湿法腐蚀机</w:t>
                  </w:r>
                </w:p>
              </w:tc>
              <w:tc>
                <w:tcPr>
                  <w:tcW w:w="720" w:type="dxa"/>
                  <w:shd w:val="clear" w:color="auto" w:fill="auto"/>
                  <w:vAlign w:val="center"/>
                </w:tcPr>
                <w:p w14:paraId="6249F7A2">
                  <w:pPr>
                    <w:keepNext w:val="0"/>
                    <w:keepLines w:val="0"/>
                    <w:widowControl/>
                    <w:suppressLineNumbers w:val="0"/>
                    <w:jc w:val="center"/>
                    <w:textAlignment w:val="center"/>
                    <w:rPr>
                      <w:rFonts w:hint="eastAsia"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室内</w:t>
                  </w:r>
                </w:p>
              </w:tc>
              <w:tc>
                <w:tcPr>
                  <w:tcW w:w="540" w:type="dxa"/>
                  <w:shd w:val="clear" w:color="auto" w:fill="auto"/>
                  <w:vAlign w:val="center"/>
                </w:tcPr>
                <w:p w14:paraId="7FF55335">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4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780" w:type="dxa"/>
                  <w:shd w:val="clear" w:color="auto" w:fill="auto"/>
                  <w:vAlign w:val="center"/>
                </w:tcPr>
                <w:p w14:paraId="53C40A09">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频发</w:t>
                  </w:r>
                </w:p>
              </w:tc>
              <w:tc>
                <w:tcPr>
                  <w:tcW w:w="960" w:type="dxa"/>
                  <w:shd w:val="clear" w:color="auto" w:fill="auto"/>
                  <w:vAlign w:val="center"/>
                </w:tcPr>
                <w:p w14:paraId="1F75B39B">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75</w:t>
                  </w:r>
                </w:p>
              </w:tc>
              <w:tc>
                <w:tcPr>
                  <w:tcW w:w="1980" w:type="dxa"/>
                  <w:shd w:val="clear" w:color="auto" w:fill="auto"/>
                  <w:vAlign w:val="center"/>
                </w:tcPr>
                <w:p w14:paraId="239CFEAD">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基础减震</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厂房隔声</w:t>
                  </w:r>
                </w:p>
              </w:tc>
              <w:tc>
                <w:tcPr>
                  <w:tcW w:w="870" w:type="dxa"/>
                  <w:shd w:val="clear" w:color="auto" w:fill="auto"/>
                  <w:vAlign w:val="center"/>
                </w:tcPr>
                <w:p w14:paraId="0F9DE837">
                  <w:pPr>
                    <w:keepNext w:val="0"/>
                    <w:keepLines w:val="0"/>
                    <w:widowControl/>
                    <w:suppressLineNumbers w:val="0"/>
                    <w:jc w:val="center"/>
                    <w:textAlignment w:val="center"/>
                    <w:rPr>
                      <w:rFonts w:ascii="Times New Roman" w:hAnsi="Times New Roman" w:cs="Times New Roman"/>
                      <w:color w:val="000000" w:themeColor="text1"/>
                      <w:kern w:val="2"/>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15</w:t>
                  </w:r>
                </w:p>
              </w:tc>
              <w:tc>
                <w:tcPr>
                  <w:tcW w:w="915" w:type="dxa"/>
                  <w:shd w:val="clear" w:color="auto" w:fill="auto"/>
                  <w:vAlign w:val="center"/>
                </w:tcPr>
                <w:p w14:paraId="5B33A539">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60</w:t>
                  </w:r>
                </w:p>
              </w:tc>
              <w:tc>
                <w:tcPr>
                  <w:tcW w:w="544" w:type="dxa"/>
                  <w:shd w:val="clear" w:color="auto" w:fill="auto"/>
                  <w:vAlign w:val="center"/>
                </w:tcPr>
                <w:p w14:paraId="29605E17">
                  <w:pPr>
                    <w:keepNext w:val="0"/>
                    <w:keepLines w:val="0"/>
                    <w:widowControl/>
                    <w:suppressLineNumbers w:val="0"/>
                    <w:jc w:val="center"/>
                    <w:textAlignment w:val="center"/>
                    <w:rPr>
                      <w:rFonts w:hint="eastAsia"/>
                      <w:color w:val="000000" w:themeColor="text1"/>
                      <w:sz w:val="21"/>
                      <w:szCs w:val="21"/>
                      <w:highlight w:val="none"/>
                      <w:lang w:eastAsia="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连续</w:t>
                  </w:r>
                </w:p>
              </w:tc>
            </w:tr>
          </w:tbl>
          <w:p w14:paraId="3B888DC0">
            <w:pPr>
              <w:spacing w:before="120" w:beforeLines="50" w:line="360" w:lineRule="auto"/>
              <w:ind w:firstLine="480" w:firstLineChars="200"/>
              <w:rPr>
                <w:rFonts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2、</w:t>
            </w:r>
            <w:r>
              <w:rPr>
                <w:rFonts w:cs="宋体"/>
                <w:color w:val="000000" w:themeColor="text1"/>
                <w:sz w:val="24"/>
                <w:szCs w:val="32"/>
                <w:highlight w:val="none"/>
                <w14:textFill>
                  <w14:solidFill>
                    <w14:schemeClr w14:val="tx1"/>
                  </w14:solidFill>
                </w14:textFill>
              </w:rPr>
              <w:t>声环境影响</w:t>
            </w:r>
          </w:p>
          <w:p w14:paraId="1F59A71C">
            <w:pPr>
              <w:pStyle w:val="66"/>
              <w:ind w:firstLine="420"/>
              <w:rPr>
                <w:color w:val="000000" w:themeColor="text1"/>
                <w:sz w:val="24"/>
                <w:szCs w:val="32"/>
                <w:highlight w:val="none"/>
                <w14:textFill>
                  <w14:solidFill>
                    <w14:schemeClr w14:val="tx1"/>
                  </w14:solidFill>
                </w14:textFill>
              </w:rPr>
            </w:pPr>
            <w:r>
              <w:rPr>
                <w:rFonts w:ascii="宋体" w:hAnsi="宋体"/>
                <w:color w:val="000000" w:themeColor="text1"/>
                <w:sz w:val="24"/>
                <w:szCs w:val="32"/>
                <w:highlight w:val="none"/>
                <w14:textFill>
                  <w14:solidFill>
                    <w14:schemeClr w14:val="tx1"/>
                  </w14:solidFill>
                </w14:textFill>
              </w:rPr>
              <w:t>（</w:t>
            </w:r>
            <w:r>
              <w:rPr>
                <w:color w:val="000000" w:themeColor="text1"/>
                <w:sz w:val="24"/>
                <w:szCs w:val="32"/>
                <w:highlight w:val="none"/>
                <w14:textFill>
                  <w14:solidFill>
                    <w14:schemeClr w14:val="tx1"/>
                  </w14:solidFill>
                </w14:textFill>
              </w:rPr>
              <w:t>1</w:t>
            </w:r>
            <w:r>
              <w:rPr>
                <w:rFonts w:ascii="宋体" w:hAnsi="宋体"/>
                <w:color w:val="000000" w:themeColor="text1"/>
                <w:sz w:val="24"/>
                <w:szCs w:val="32"/>
                <w:highlight w:val="none"/>
                <w14:textFill>
                  <w14:solidFill>
                    <w14:schemeClr w14:val="tx1"/>
                  </w14:solidFill>
                </w14:textFill>
              </w:rPr>
              <w:t>）预测点位及范围</w:t>
            </w:r>
          </w:p>
          <w:p w14:paraId="789A81EE">
            <w:pPr>
              <w:pStyle w:val="66"/>
              <w:ind w:firstLine="420"/>
              <w:rPr>
                <w:color w:val="000000" w:themeColor="text1"/>
                <w:sz w:val="24"/>
                <w:szCs w:val="32"/>
                <w:highlight w:val="none"/>
                <w14:textFill>
                  <w14:solidFill>
                    <w14:schemeClr w14:val="tx1"/>
                  </w14:solidFill>
                </w14:textFill>
              </w:rPr>
            </w:pPr>
            <w:r>
              <w:rPr>
                <w:rFonts w:ascii="宋体" w:hAnsi="宋体"/>
                <w:color w:val="000000" w:themeColor="text1"/>
                <w:sz w:val="24"/>
                <w:szCs w:val="32"/>
                <w:highlight w:val="none"/>
                <w14:textFill>
                  <w14:solidFill>
                    <w14:schemeClr w14:val="tx1"/>
                  </w14:solidFill>
                </w14:textFill>
              </w:rPr>
              <w:t>噪声预测范围为：厂界范围；</w:t>
            </w:r>
          </w:p>
          <w:p w14:paraId="52ADF9E2">
            <w:pPr>
              <w:pStyle w:val="66"/>
              <w:ind w:firstLine="420"/>
              <w:rPr>
                <w:color w:val="000000" w:themeColor="text1"/>
                <w:sz w:val="24"/>
                <w:szCs w:val="32"/>
                <w:highlight w:val="none"/>
                <w14:textFill>
                  <w14:solidFill>
                    <w14:schemeClr w14:val="tx1"/>
                  </w14:solidFill>
                </w14:textFill>
              </w:rPr>
            </w:pPr>
            <w:r>
              <w:rPr>
                <w:rFonts w:ascii="宋体" w:hAnsi="宋体"/>
                <w:color w:val="000000" w:themeColor="text1"/>
                <w:sz w:val="24"/>
                <w:szCs w:val="32"/>
                <w:highlight w:val="none"/>
                <w14:textFill>
                  <w14:solidFill>
                    <w14:schemeClr w14:val="tx1"/>
                  </w14:solidFill>
                </w14:textFill>
              </w:rPr>
              <w:t>预测点位：本次预测点位选取项目厂界四周为预测评价点；</w:t>
            </w:r>
          </w:p>
          <w:p w14:paraId="69CADDCD">
            <w:pPr>
              <w:pStyle w:val="66"/>
              <w:ind w:firstLine="420"/>
              <w:rPr>
                <w:color w:val="000000" w:themeColor="text1"/>
                <w:sz w:val="24"/>
                <w:szCs w:val="32"/>
                <w:highlight w:val="none"/>
                <w14:textFill>
                  <w14:solidFill>
                    <w14:schemeClr w14:val="tx1"/>
                  </w14:solidFill>
                </w14:textFill>
              </w:rPr>
            </w:pPr>
            <w:r>
              <w:rPr>
                <w:rFonts w:ascii="宋体" w:hAnsi="宋体"/>
                <w:color w:val="000000" w:themeColor="text1"/>
                <w:sz w:val="24"/>
                <w:szCs w:val="32"/>
                <w:highlight w:val="none"/>
                <w14:textFill>
                  <w14:solidFill>
                    <w14:schemeClr w14:val="tx1"/>
                  </w14:solidFill>
                </w14:textFill>
              </w:rPr>
              <w:t>预测内容：预测厂界昼、夜间预测点位等效连续</w:t>
            </w:r>
            <w:r>
              <w:rPr>
                <w:color w:val="000000" w:themeColor="text1"/>
                <w:sz w:val="24"/>
                <w:szCs w:val="32"/>
                <w:highlight w:val="none"/>
                <w14:textFill>
                  <w14:solidFill>
                    <w14:schemeClr w14:val="tx1"/>
                  </w14:solidFill>
                </w14:textFill>
              </w:rPr>
              <w:t>A</w:t>
            </w:r>
            <w:r>
              <w:rPr>
                <w:rFonts w:ascii="宋体" w:hAnsi="宋体"/>
                <w:color w:val="000000" w:themeColor="text1"/>
                <w:sz w:val="24"/>
                <w:szCs w:val="32"/>
                <w:highlight w:val="none"/>
                <w14:textFill>
                  <w14:solidFill>
                    <w14:schemeClr w14:val="tx1"/>
                  </w14:solidFill>
                </w14:textFill>
              </w:rPr>
              <w:t>声级。</w:t>
            </w:r>
          </w:p>
          <w:p w14:paraId="028559E2">
            <w:pPr>
              <w:pStyle w:val="66"/>
              <w:ind w:firstLine="420"/>
              <w:rPr>
                <w:color w:val="000000" w:themeColor="text1"/>
                <w:sz w:val="24"/>
                <w:szCs w:val="32"/>
                <w:highlight w:val="none"/>
                <w14:textFill>
                  <w14:solidFill>
                    <w14:schemeClr w14:val="tx1"/>
                  </w14:solidFill>
                </w14:textFill>
              </w:rPr>
            </w:pPr>
            <w:r>
              <w:rPr>
                <w:rFonts w:ascii="宋体" w:hAnsi="宋体"/>
                <w:color w:val="000000" w:themeColor="text1"/>
                <w:sz w:val="24"/>
                <w:szCs w:val="32"/>
                <w:highlight w:val="none"/>
                <w14:textFill>
                  <w14:solidFill>
                    <w14:schemeClr w14:val="tx1"/>
                  </w14:solidFill>
                </w14:textFill>
              </w:rPr>
              <w:t>（</w:t>
            </w:r>
            <w:r>
              <w:rPr>
                <w:color w:val="000000" w:themeColor="text1"/>
                <w:sz w:val="24"/>
                <w:szCs w:val="32"/>
                <w:highlight w:val="none"/>
                <w14:textFill>
                  <w14:solidFill>
                    <w14:schemeClr w14:val="tx1"/>
                  </w14:solidFill>
                </w14:textFill>
              </w:rPr>
              <w:t>2</w:t>
            </w:r>
            <w:r>
              <w:rPr>
                <w:rFonts w:ascii="宋体" w:hAnsi="宋体"/>
                <w:color w:val="000000" w:themeColor="text1"/>
                <w:sz w:val="24"/>
                <w:szCs w:val="32"/>
                <w:highlight w:val="none"/>
                <w14:textFill>
                  <w14:solidFill>
                    <w14:schemeClr w14:val="tx1"/>
                  </w14:solidFill>
                </w14:textFill>
              </w:rPr>
              <w:t>）预测模式</w:t>
            </w:r>
          </w:p>
          <w:p w14:paraId="0E970915">
            <w:pPr>
              <w:pStyle w:val="66"/>
              <w:ind w:firstLine="420"/>
              <w:rPr>
                <w:color w:val="000000" w:themeColor="text1"/>
                <w:sz w:val="24"/>
                <w:szCs w:val="32"/>
                <w:highlight w:val="none"/>
                <w14:textFill>
                  <w14:solidFill>
                    <w14:schemeClr w14:val="tx1"/>
                  </w14:solidFill>
                </w14:textFill>
              </w:rPr>
            </w:pPr>
            <w:r>
              <w:rPr>
                <w:rFonts w:ascii="宋体" w:hAnsi="宋体"/>
                <w:color w:val="000000" w:themeColor="text1"/>
                <w:sz w:val="24"/>
                <w:szCs w:val="32"/>
                <w:highlight w:val="none"/>
                <w14:textFill>
                  <w14:solidFill>
                    <w14:schemeClr w14:val="tx1"/>
                  </w14:solidFill>
                </w14:textFill>
              </w:rPr>
              <w:t>噪声预测模式采用《环境影响评价技术导则</w:t>
            </w:r>
            <w:r>
              <w:rPr>
                <w:color w:val="000000" w:themeColor="text1"/>
                <w:sz w:val="24"/>
                <w:szCs w:val="32"/>
                <w:highlight w:val="none"/>
                <w14:textFill>
                  <w14:solidFill>
                    <w14:schemeClr w14:val="tx1"/>
                  </w14:solidFill>
                </w14:textFill>
              </w:rPr>
              <w:t xml:space="preserve">  </w:t>
            </w:r>
            <w:r>
              <w:rPr>
                <w:rFonts w:ascii="宋体" w:hAnsi="宋体"/>
                <w:color w:val="000000" w:themeColor="text1"/>
                <w:sz w:val="24"/>
                <w:szCs w:val="32"/>
                <w:highlight w:val="none"/>
                <w14:textFill>
                  <w14:solidFill>
                    <w14:schemeClr w14:val="tx1"/>
                  </w14:solidFill>
                </w14:textFill>
              </w:rPr>
              <w:t>声环境》</w:t>
            </w:r>
            <w:r>
              <w:rPr>
                <w:rFonts w:hint="eastAsia" w:ascii="宋体" w:hAnsi="宋体"/>
                <w:color w:val="000000" w:themeColor="text1"/>
                <w:sz w:val="24"/>
                <w:szCs w:val="32"/>
                <w:highlight w:val="none"/>
                <w14:textFill>
                  <w14:solidFill>
                    <w14:schemeClr w14:val="tx1"/>
                  </w14:solidFill>
                </w14:textFill>
              </w:rPr>
              <w:t>（</w:t>
            </w:r>
            <w:r>
              <w:rPr>
                <w:color w:val="000000" w:themeColor="text1"/>
                <w:sz w:val="24"/>
                <w:szCs w:val="32"/>
                <w:highlight w:val="none"/>
                <w14:textFill>
                  <w14:solidFill>
                    <w14:schemeClr w14:val="tx1"/>
                  </w14:solidFill>
                </w14:textFill>
              </w:rPr>
              <w:t>HJ2.4-20</w:t>
            </w:r>
            <w:r>
              <w:rPr>
                <w:rFonts w:hint="eastAsia"/>
                <w:color w:val="000000" w:themeColor="text1"/>
                <w:sz w:val="24"/>
                <w:szCs w:val="32"/>
                <w:highlight w:val="none"/>
                <w14:textFill>
                  <w14:solidFill>
                    <w14:schemeClr w14:val="tx1"/>
                  </w14:solidFill>
                </w14:textFill>
              </w:rPr>
              <w:t>21</w:t>
            </w:r>
            <w:r>
              <w:rPr>
                <w:rFonts w:hint="eastAsia" w:ascii="宋体" w:hAnsi="宋体"/>
                <w:color w:val="000000" w:themeColor="text1"/>
                <w:sz w:val="24"/>
                <w:szCs w:val="32"/>
                <w:highlight w:val="none"/>
                <w14:textFill>
                  <w14:solidFill>
                    <w14:schemeClr w14:val="tx1"/>
                  </w14:solidFill>
                </w14:textFill>
              </w:rPr>
              <w:t>）</w:t>
            </w:r>
            <w:r>
              <w:rPr>
                <w:rFonts w:ascii="宋体" w:hAnsi="宋体"/>
                <w:color w:val="000000" w:themeColor="text1"/>
                <w:sz w:val="24"/>
                <w:szCs w:val="32"/>
                <w:highlight w:val="none"/>
                <w14:textFill>
                  <w14:solidFill>
                    <w14:schemeClr w14:val="tx1"/>
                  </w14:solidFill>
                </w14:textFill>
              </w:rPr>
              <w:t>中</w:t>
            </w:r>
            <w:r>
              <w:rPr>
                <w:rFonts w:hint="eastAsia" w:ascii="宋体" w:hAnsi="宋体"/>
                <w:color w:val="000000" w:themeColor="text1"/>
                <w:sz w:val="24"/>
                <w:szCs w:val="32"/>
                <w:highlight w:val="none"/>
                <w14:textFill>
                  <w14:solidFill>
                    <w14:schemeClr w14:val="tx1"/>
                  </w14:solidFill>
                </w14:textFill>
              </w:rPr>
              <w:t>附录</w:t>
            </w:r>
            <w:r>
              <w:rPr>
                <w:rFonts w:hint="eastAsia"/>
                <w:color w:val="000000" w:themeColor="text1"/>
                <w:sz w:val="24"/>
                <w:szCs w:val="32"/>
                <w:highlight w:val="none"/>
                <w14:textFill>
                  <w14:solidFill>
                    <w14:schemeClr w14:val="tx1"/>
                  </w14:solidFill>
                </w14:textFill>
              </w:rPr>
              <w:t>A</w:t>
            </w:r>
            <w:r>
              <w:rPr>
                <w:rFonts w:hint="eastAsia" w:ascii="宋体" w:hAnsi="宋体"/>
                <w:color w:val="000000" w:themeColor="text1"/>
                <w:sz w:val="24"/>
                <w:szCs w:val="32"/>
                <w:highlight w:val="none"/>
                <w14:textFill>
                  <w14:solidFill>
                    <w14:schemeClr w14:val="tx1"/>
                  </w14:solidFill>
                </w14:textFill>
              </w:rPr>
              <w:t>和附录</w:t>
            </w:r>
            <w:r>
              <w:rPr>
                <w:rFonts w:hint="eastAsia"/>
                <w:color w:val="000000" w:themeColor="text1"/>
                <w:sz w:val="24"/>
                <w:szCs w:val="32"/>
                <w:highlight w:val="none"/>
                <w14:textFill>
                  <w14:solidFill>
                    <w14:schemeClr w14:val="tx1"/>
                  </w14:solidFill>
                </w14:textFill>
              </w:rPr>
              <w:t>B</w:t>
            </w:r>
            <w:r>
              <w:rPr>
                <w:rFonts w:ascii="宋体" w:hAnsi="宋体"/>
                <w:color w:val="000000" w:themeColor="text1"/>
                <w:sz w:val="24"/>
                <w:szCs w:val="32"/>
                <w:highlight w:val="none"/>
                <w14:textFill>
                  <w14:solidFill>
                    <w14:schemeClr w14:val="tx1"/>
                  </w14:solidFill>
                </w14:textFill>
              </w:rPr>
              <w:t>中的预测模式。</w:t>
            </w:r>
          </w:p>
          <w:p w14:paraId="19BAE9BF">
            <w:pPr>
              <w:adjustRightInd w:val="0"/>
              <w:snapToGrid w:val="0"/>
              <w:spacing w:line="360" w:lineRule="auto"/>
              <w:ind w:firstLine="480"/>
              <w:rPr>
                <w:rFonts w:ascii="Times New Roman" w:hAnsi="Times New Roman"/>
                <w:b/>
                <w:color w:val="000000" w:themeColor="text1"/>
                <w:sz w:val="24"/>
                <w:highlight w:val="none"/>
                <w14:textFill>
                  <w14:solidFill>
                    <w14:schemeClr w14:val="tx1"/>
                  </w14:solidFill>
                </w14:textFill>
              </w:rPr>
            </w:pPr>
            <w:r>
              <w:rPr>
                <w:rFonts w:ascii="Times New Roman" w:hAnsi="Times New Roman"/>
                <w:b w:val="0"/>
                <w:bCs/>
                <w:color w:val="000000" w:themeColor="text1"/>
                <w:sz w:val="24"/>
                <w:highlight w:val="none"/>
                <w14:textFill>
                  <w14:solidFill>
                    <w14:schemeClr w14:val="tx1"/>
                  </w14:solidFill>
                </w14:textFill>
              </w:rPr>
              <w:t>1）室内声源等效室外声源声功率级计算方法</w:t>
            </w:r>
          </w:p>
          <w:p w14:paraId="1759AB4F">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①如下图所示，声源位于室内，室内声源可采用等效室外声源声功率级法进行计算。设靠近开口处(或窗户)室内、室外某倍频带的声压级或A声级分别为Lp1和Lp2。若声源所在室内声场为近似扩散声场，则室外的倍频带声压级可按下式近似求出：</w:t>
            </w:r>
          </w:p>
          <w:p w14:paraId="227820C1">
            <w:pPr>
              <w:adjustRightInd w:val="0"/>
              <w:snapToGrid w:val="0"/>
              <w:spacing w:line="360" w:lineRule="auto"/>
              <w:ind w:firstLine="48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drawing>
                <wp:inline distT="0" distB="0" distL="114300" distR="114300">
                  <wp:extent cx="1248410" cy="238760"/>
                  <wp:effectExtent l="0" t="0" r="8890" b="7620"/>
                  <wp:docPr id="5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0"/>
                          <pic:cNvPicPr>
                            <a:picLocks noChangeAspect="1"/>
                          </pic:cNvPicPr>
                        </pic:nvPicPr>
                        <pic:blipFill>
                          <a:blip r:embed="rId19"/>
                          <a:stretch>
                            <a:fillRect/>
                          </a:stretch>
                        </pic:blipFill>
                        <pic:spPr>
                          <a:xfrm>
                            <a:off x="0" y="0"/>
                            <a:ext cx="1248410" cy="238760"/>
                          </a:xfrm>
                          <a:prstGeom prst="rect">
                            <a:avLst/>
                          </a:prstGeom>
                          <a:noFill/>
                          <a:ln>
                            <a:noFill/>
                          </a:ln>
                        </pic:spPr>
                      </pic:pic>
                    </a:graphicData>
                  </a:graphic>
                </wp:inline>
              </w:drawing>
            </w:r>
          </w:p>
          <w:p w14:paraId="2FE166CC">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式中：</w:t>
            </w:r>
          </w:p>
          <w:p w14:paraId="19B60C43">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L</w:t>
            </w:r>
            <w:r>
              <w:rPr>
                <w:rFonts w:ascii="Times New Roman" w:hAnsi="Times New Roman"/>
                <w:color w:val="000000" w:themeColor="text1"/>
                <w:sz w:val="24"/>
                <w:highlight w:val="none"/>
                <w:vertAlign w:val="subscript"/>
                <w14:textFill>
                  <w14:solidFill>
                    <w14:schemeClr w14:val="tx1"/>
                  </w14:solidFill>
                </w14:textFill>
              </w:rPr>
              <w:t>p1</w:t>
            </w:r>
            <w:r>
              <w:rPr>
                <w:rFonts w:ascii="Times New Roman" w:hAnsi="Times New Roman"/>
                <w:color w:val="000000" w:themeColor="text1"/>
                <w:sz w:val="24"/>
                <w:highlight w:val="none"/>
                <w14:textFill>
                  <w14:solidFill>
                    <w14:schemeClr w14:val="tx1"/>
                  </w14:solidFill>
                </w14:textFill>
              </w:rPr>
              <w:t>—靠近开口处(或窗户)室内某倍频带的声压级或A声级，dB；</w:t>
            </w:r>
          </w:p>
          <w:p w14:paraId="6CFE27A9">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L</w:t>
            </w:r>
            <w:r>
              <w:rPr>
                <w:rFonts w:ascii="Times New Roman" w:hAnsi="Times New Roman"/>
                <w:color w:val="000000" w:themeColor="text1"/>
                <w:sz w:val="24"/>
                <w:highlight w:val="none"/>
                <w:vertAlign w:val="subscript"/>
                <w14:textFill>
                  <w14:solidFill>
                    <w14:schemeClr w14:val="tx1"/>
                  </w14:solidFill>
                </w14:textFill>
              </w:rPr>
              <w:t>p2</w:t>
            </w:r>
            <w:r>
              <w:rPr>
                <w:rFonts w:ascii="Times New Roman" w:hAnsi="Times New Roman"/>
                <w:color w:val="000000" w:themeColor="text1"/>
                <w:sz w:val="24"/>
                <w:highlight w:val="none"/>
                <w14:textFill>
                  <w14:solidFill>
                    <w14:schemeClr w14:val="tx1"/>
                  </w14:solidFill>
                </w14:textFill>
              </w:rPr>
              <w:t>—靠近开口处(或窗户)室外某倍频带的声压级或A声级，dB；</w:t>
            </w:r>
          </w:p>
          <w:p w14:paraId="20999BE8">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TI—隔墙(或窗户)倍频带或A声级的隔声量，dB。</w:t>
            </w:r>
          </w:p>
          <w:p w14:paraId="4DBAB371">
            <w:pPr>
              <w:adjustRightInd w:val="0"/>
              <w:snapToGrid w:val="0"/>
              <w:spacing w:line="360" w:lineRule="auto"/>
              <w:ind w:firstLine="48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drawing>
                <wp:inline distT="0" distB="0" distL="114300" distR="114300">
                  <wp:extent cx="2323465" cy="1275715"/>
                  <wp:effectExtent l="0" t="0" r="635" b="635"/>
                  <wp:docPr id="5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1"/>
                          <pic:cNvPicPr>
                            <a:picLocks noChangeAspect="1"/>
                          </pic:cNvPicPr>
                        </pic:nvPicPr>
                        <pic:blipFill>
                          <a:blip r:embed="rId20"/>
                          <a:stretch>
                            <a:fillRect/>
                          </a:stretch>
                        </pic:blipFill>
                        <pic:spPr>
                          <a:xfrm>
                            <a:off x="0" y="0"/>
                            <a:ext cx="2323465" cy="1275715"/>
                          </a:xfrm>
                          <a:prstGeom prst="rect">
                            <a:avLst/>
                          </a:prstGeom>
                          <a:noFill/>
                          <a:ln>
                            <a:noFill/>
                          </a:ln>
                        </pic:spPr>
                      </pic:pic>
                    </a:graphicData>
                  </a:graphic>
                </wp:inline>
              </w:drawing>
            </w:r>
          </w:p>
          <w:p w14:paraId="3BCEDD2D">
            <w:pPr>
              <w:adjustRightInd w:val="0"/>
              <w:snapToGrid w:val="0"/>
              <w:spacing w:line="360" w:lineRule="auto"/>
              <w:ind w:firstLine="480"/>
              <w:jc w:val="center"/>
              <w:rPr>
                <w:rFonts w:ascii="Times New Roman" w:hAnsi="Times New Roman" w:eastAsia="黑体"/>
                <w:color w:val="000000" w:themeColor="text1"/>
                <w:sz w:val="24"/>
                <w:highlight w:val="none"/>
                <w14:textFill>
                  <w14:solidFill>
                    <w14:schemeClr w14:val="tx1"/>
                  </w14:solidFill>
                </w14:textFill>
              </w:rPr>
            </w:pPr>
            <w:r>
              <w:rPr>
                <w:rFonts w:hint="eastAsia" w:ascii="Times New Roman" w:hAnsi="Times New Roman" w:eastAsia="宋体"/>
                <w:b/>
                <w:bCs/>
                <w:color w:val="000000" w:themeColor="text1"/>
                <w:sz w:val="24"/>
                <w:highlight w:val="none"/>
                <w14:textFill>
                  <w14:solidFill>
                    <w14:schemeClr w14:val="tx1"/>
                  </w14:solidFill>
                </w14:textFill>
              </w:rPr>
              <w:t>图</w:t>
            </w:r>
            <w:r>
              <w:rPr>
                <w:rFonts w:hint="eastAsia" w:ascii="Times New Roman" w:hAnsi="Times New Roman" w:eastAsia="宋体"/>
                <w:b/>
                <w:bCs/>
                <w:color w:val="000000" w:themeColor="text1"/>
                <w:sz w:val="24"/>
                <w:highlight w:val="none"/>
                <w:lang w:val="en-US" w:eastAsia="zh-CN"/>
                <w14:textFill>
                  <w14:solidFill>
                    <w14:schemeClr w14:val="tx1"/>
                  </w14:solidFill>
                </w14:textFill>
              </w:rPr>
              <w:t>4</w:t>
            </w:r>
            <w:r>
              <w:rPr>
                <w:rFonts w:hint="eastAsia"/>
                <w:b/>
                <w:bCs/>
                <w:color w:val="000000" w:themeColor="text1"/>
                <w:sz w:val="24"/>
                <w:highlight w:val="none"/>
                <w:lang w:val="en-US" w:eastAsia="zh-CN"/>
                <w14:textFill>
                  <w14:solidFill>
                    <w14:schemeClr w14:val="tx1"/>
                  </w14:solidFill>
                </w14:textFill>
              </w:rPr>
              <w:t>.3</w:t>
            </w:r>
            <w:r>
              <w:rPr>
                <w:rFonts w:hint="eastAsia" w:ascii="Times New Roman" w:hAnsi="Times New Roman" w:eastAsia="宋体"/>
                <w:b/>
                <w:bCs/>
                <w:color w:val="000000" w:themeColor="text1"/>
                <w:sz w:val="24"/>
                <w:highlight w:val="none"/>
                <w:lang w:val="en-US" w:eastAsia="zh-CN"/>
                <w14:textFill>
                  <w14:solidFill>
                    <w14:schemeClr w14:val="tx1"/>
                  </w14:solidFill>
                </w14:textFill>
              </w:rPr>
              <w:t>-</w:t>
            </w:r>
            <w:r>
              <w:rPr>
                <w:rFonts w:hint="eastAsia"/>
                <w:b/>
                <w:bCs/>
                <w:color w:val="000000" w:themeColor="text1"/>
                <w:sz w:val="24"/>
                <w:highlight w:val="none"/>
                <w:lang w:val="en-US" w:eastAsia="zh-CN"/>
                <w14:textFill>
                  <w14:solidFill>
                    <w14:schemeClr w14:val="tx1"/>
                  </w14:solidFill>
                </w14:textFill>
              </w:rPr>
              <w:t>1</w:t>
            </w:r>
            <w:r>
              <w:rPr>
                <w:rFonts w:hint="eastAsia" w:ascii="Times New Roman" w:hAnsi="Times New Roman" w:eastAsia="宋体"/>
                <w:b/>
                <w:bCs/>
                <w:color w:val="000000" w:themeColor="text1"/>
                <w:sz w:val="24"/>
                <w:highlight w:val="none"/>
                <w14:textFill>
                  <w14:solidFill>
                    <w14:schemeClr w14:val="tx1"/>
                  </w14:solidFill>
                </w14:textFill>
              </w:rPr>
              <w:t xml:space="preserve"> 室内声源等效室外声源图例</w:t>
            </w:r>
          </w:p>
          <w:p w14:paraId="6492B979">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②按下式计算某一室内声源靠近围护结构处产生的倍频带声压级或A声级：</w:t>
            </w:r>
          </w:p>
          <w:p w14:paraId="419E2CF0">
            <w:pPr>
              <w:adjustRightInd w:val="0"/>
              <w:snapToGrid w:val="0"/>
              <w:spacing w:line="360" w:lineRule="auto"/>
              <w:ind w:firstLine="48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drawing>
                <wp:inline distT="0" distB="0" distL="114300" distR="114300">
                  <wp:extent cx="1714500" cy="485775"/>
                  <wp:effectExtent l="0" t="0" r="0" b="8890"/>
                  <wp:docPr id="5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2"/>
                          <pic:cNvPicPr>
                            <a:picLocks noChangeAspect="1"/>
                          </pic:cNvPicPr>
                        </pic:nvPicPr>
                        <pic:blipFill>
                          <a:blip r:embed="rId21"/>
                          <a:stretch>
                            <a:fillRect/>
                          </a:stretch>
                        </pic:blipFill>
                        <pic:spPr>
                          <a:xfrm>
                            <a:off x="0" y="0"/>
                            <a:ext cx="1714500" cy="485775"/>
                          </a:xfrm>
                          <a:prstGeom prst="rect">
                            <a:avLst/>
                          </a:prstGeom>
                          <a:noFill/>
                          <a:ln>
                            <a:noFill/>
                          </a:ln>
                        </pic:spPr>
                      </pic:pic>
                    </a:graphicData>
                  </a:graphic>
                </wp:inline>
              </w:drawing>
            </w:r>
          </w:p>
          <w:p w14:paraId="08B377D9">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式中：</w:t>
            </w:r>
          </w:p>
          <w:p w14:paraId="4DC6F2F5">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Lp</w:t>
            </w:r>
            <w:r>
              <w:rPr>
                <w:rFonts w:ascii="Times New Roman" w:hAnsi="Times New Roman"/>
                <w:color w:val="000000" w:themeColor="text1"/>
                <w:sz w:val="24"/>
                <w:highlight w:val="none"/>
                <w:vertAlign w:val="subscript"/>
                <w14:textFill>
                  <w14:solidFill>
                    <w14:schemeClr w14:val="tx1"/>
                  </w14:solidFill>
                </w14:textFill>
              </w:rPr>
              <w:t>1</w:t>
            </w:r>
            <w:r>
              <w:rPr>
                <w:rFonts w:ascii="Times New Roman" w:hAnsi="Times New Roman"/>
                <w:color w:val="000000" w:themeColor="text1"/>
                <w:sz w:val="24"/>
                <w:highlight w:val="none"/>
                <w14:textFill>
                  <w14:solidFill>
                    <w14:schemeClr w14:val="tx1"/>
                  </w14:solidFill>
                </w14:textFill>
              </w:rPr>
              <w:t>—靠近开口处(或窗户)室内某倍频带的声压级或A声级，dB；</w:t>
            </w:r>
          </w:p>
          <w:p w14:paraId="3E70BD16">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Lw—点声源声功率级(A计权或倍频带)，dB；</w:t>
            </w:r>
          </w:p>
          <w:p w14:paraId="5A147BAD">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Q—指向性因数；通常对无指向性声源，当声源放在房间中心时，Q=1；当放在一面墙的中心时，Q=2；当放在两面墙夹角处时，Q=4；当放在三面墙夹角处时，Q=8；</w:t>
            </w:r>
          </w:p>
          <w:p w14:paraId="619D81BE">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R—房间常数；R=Sa/(1-a)，s为房间内表面面积，m</w:t>
            </w:r>
            <w:r>
              <w:rPr>
                <w:rFonts w:ascii="Times New Roman" w:hAnsi="Times New Roman"/>
                <w:color w:val="000000" w:themeColor="text1"/>
                <w:sz w:val="24"/>
                <w:highlight w:val="none"/>
                <w:vertAlign w:val="superscript"/>
                <w14:textFill>
                  <w14:solidFill>
                    <w14:schemeClr w14:val="tx1"/>
                  </w14:solidFill>
                </w14:textFill>
              </w:rPr>
              <w:t>2</w:t>
            </w:r>
            <w:r>
              <w:rPr>
                <w:rFonts w:ascii="Times New Roman" w:hAnsi="Times New Roman"/>
                <w:color w:val="000000" w:themeColor="text1"/>
                <w:sz w:val="24"/>
                <w:highlight w:val="none"/>
                <w14:textFill>
                  <w14:solidFill>
                    <w14:schemeClr w14:val="tx1"/>
                  </w14:solidFill>
                </w14:textFill>
              </w:rPr>
              <w:t>；a为平均吸声系数；</w:t>
            </w:r>
          </w:p>
          <w:p w14:paraId="296B5B64">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r—声源到靠近围护结构某点处的距离，m。</w:t>
            </w:r>
          </w:p>
          <w:p w14:paraId="6DA0BF5F">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③按下式计算出所有室内声源在靠近围护结构处产生的i倍频带叠加声压级：</w:t>
            </w:r>
          </w:p>
          <w:p w14:paraId="6EDDA2A9">
            <w:pPr>
              <w:adjustRightInd w:val="0"/>
              <w:snapToGrid w:val="0"/>
              <w:spacing w:line="360" w:lineRule="auto"/>
              <w:ind w:firstLine="48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drawing>
                <wp:inline distT="0" distB="0" distL="114300" distR="114300">
                  <wp:extent cx="1687195" cy="485775"/>
                  <wp:effectExtent l="0" t="0" r="8255" b="8890"/>
                  <wp:docPr id="5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3"/>
                          <pic:cNvPicPr>
                            <a:picLocks noChangeAspect="1"/>
                          </pic:cNvPicPr>
                        </pic:nvPicPr>
                        <pic:blipFill>
                          <a:blip r:embed="rId22"/>
                          <a:stretch>
                            <a:fillRect/>
                          </a:stretch>
                        </pic:blipFill>
                        <pic:spPr>
                          <a:xfrm>
                            <a:off x="0" y="0"/>
                            <a:ext cx="1687195" cy="485775"/>
                          </a:xfrm>
                          <a:prstGeom prst="rect">
                            <a:avLst/>
                          </a:prstGeom>
                          <a:noFill/>
                          <a:ln>
                            <a:noFill/>
                          </a:ln>
                        </pic:spPr>
                      </pic:pic>
                    </a:graphicData>
                  </a:graphic>
                </wp:inline>
              </w:drawing>
            </w:r>
          </w:p>
          <w:p w14:paraId="28E8773A">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式中：</w:t>
            </w:r>
          </w:p>
          <w:p w14:paraId="47D5BF07">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L</w:t>
            </w:r>
            <w:r>
              <w:rPr>
                <w:rFonts w:ascii="Times New Roman" w:hAnsi="Times New Roman"/>
                <w:color w:val="000000" w:themeColor="text1"/>
                <w:sz w:val="24"/>
                <w:highlight w:val="none"/>
                <w:vertAlign w:val="subscript"/>
                <w14:textFill>
                  <w14:solidFill>
                    <w14:schemeClr w14:val="tx1"/>
                  </w14:solidFill>
                </w14:textFill>
              </w:rPr>
              <w:t>p1i</w:t>
            </w:r>
            <w:r>
              <w:rPr>
                <w:rFonts w:ascii="Times New Roman" w:hAnsi="Times New Roman"/>
                <w:color w:val="000000" w:themeColor="text1"/>
                <w:sz w:val="24"/>
                <w:highlight w:val="none"/>
                <w14:textFill>
                  <w14:solidFill>
                    <w14:schemeClr w14:val="tx1"/>
                  </w14:solidFill>
                </w14:textFill>
              </w:rPr>
              <w:t>(T)—靠近围护结构处室内N个声源i倍频带的叠加声压级，dB；</w:t>
            </w:r>
          </w:p>
          <w:p w14:paraId="602956DC">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L</w:t>
            </w:r>
            <w:r>
              <w:rPr>
                <w:rFonts w:ascii="Times New Roman" w:hAnsi="Times New Roman"/>
                <w:color w:val="000000" w:themeColor="text1"/>
                <w:sz w:val="24"/>
                <w:highlight w:val="none"/>
                <w:vertAlign w:val="subscript"/>
                <w14:textFill>
                  <w14:solidFill>
                    <w14:schemeClr w14:val="tx1"/>
                  </w14:solidFill>
                </w14:textFill>
              </w:rPr>
              <w:t>p1ij</w:t>
            </w:r>
            <w:r>
              <w:rPr>
                <w:rFonts w:ascii="Times New Roman" w:hAnsi="Times New Roman"/>
                <w:color w:val="000000" w:themeColor="text1"/>
                <w:sz w:val="24"/>
                <w:highlight w:val="none"/>
                <w14:textFill>
                  <w14:solidFill>
                    <w14:schemeClr w14:val="tx1"/>
                  </w14:solidFill>
                </w14:textFill>
              </w:rPr>
              <w:t>—室内j声源i倍频带的声压级，dB；</w:t>
            </w:r>
          </w:p>
          <w:p w14:paraId="07D84C1C">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N—室内声源总数。</w:t>
            </w:r>
          </w:p>
          <w:p w14:paraId="1273EC08">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④在室内近似为扩散声场时，按下式计算出室外靠近围护结构处的声压级：</w:t>
            </w:r>
          </w:p>
          <w:p w14:paraId="6F82C78A">
            <w:pPr>
              <w:adjustRightInd w:val="0"/>
              <w:snapToGrid w:val="0"/>
              <w:spacing w:line="360" w:lineRule="auto"/>
              <w:ind w:firstLine="48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drawing>
                <wp:inline distT="0" distB="0" distL="114300" distR="114300">
                  <wp:extent cx="1780540" cy="238760"/>
                  <wp:effectExtent l="0" t="0" r="10160" b="7620"/>
                  <wp:docPr id="5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4"/>
                          <pic:cNvPicPr>
                            <a:picLocks noChangeAspect="1"/>
                          </pic:cNvPicPr>
                        </pic:nvPicPr>
                        <pic:blipFill>
                          <a:blip r:embed="rId23"/>
                          <a:stretch>
                            <a:fillRect/>
                          </a:stretch>
                        </pic:blipFill>
                        <pic:spPr>
                          <a:xfrm>
                            <a:off x="0" y="0"/>
                            <a:ext cx="1780540" cy="238760"/>
                          </a:xfrm>
                          <a:prstGeom prst="rect">
                            <a:avLst/>
                          </a:prstGeom>
                          <a:noFill/>
                          <a:ln>
                            <a:noFill/>
                          </a:ln>
                        </pic:spPr>
                      </pic:pic>
                    </a:graphicData>
                  </a:graphic>
                </wp:inline>
              </w:drawing>
            </w:r>
          </w:p>
          <w:p w14:paraId="16014F06">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式中：</w:t>
            </w:r>
          </w:p>
          <w:p w14:paraId="4C38C1F2">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L</w:t>
            </w:r>
            <w:r>
              <w:rPr>
                <w:rFonts w:ascii="Times New Roman" w:hAnsi="Times New Roman"/>
                <w:color w:val="000000" w:themeColor="text1"/>
                <w:sz w:val="24"/>
                <w:highlight w:val="none"/>
                <w:vertAlign w:val="subscript"/>
                <w14:textFill>
                  <w14:solidFill>
                    <w14:schemeClr w14:val="tx1"/>
                  </w14:solidFill>
                </w14:textFill>
              </w:rPr>
              <w:t>p2i</w:t>
            </w:r>
            <w:r>
              <w:rPr>
                <w:rFonts w:ascii="Times New Roman" w:hAnsi="Times New Roman"/>
                <w:color w:val="000000" w:themeColor="text1"/>
                <w:sz w:val="24"/>
                <w:highlight w:val="none"/>
                <w14:textFill>
                  <w14:solidFill>
                    <w14:schemeClr w14:val="tx1"/>
                  </w14:solidFill>
                </w14:textFill>
              </w:rPr>
              <w:t>(T)—靠近围护结构处室外N个声源i倍频带的叠加声压级，dB；</w:t>
            </w:r>
          </w:p>
          <w:p w14:paraId="5873B34B">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L</w:t>
            </w:r>
            <w:r>
              <w:rPr>
                <w:rFonts w:ascii="Times New Roman" w:hAnsi="Times New Roman"/>
                <w:color w:val="000000" w:themeColor="text1"/>
                <w:sz w:val="24"/>
                <w:highlight w:val="none"/>
                <w:vertAlign w:val="subscript"/>
                <w14:textFill>
                  <w14:solidFill>
                    <w14:schemeClr w14:val="tx1"/>
                  </w14:solidFill>
                </w14:textFill>
              </w:rPr>
              <w:t>p1i</w:t>
            </w:r>
            <w:r>
              <w:rPr>
                <w:rFonts w:ascii="Times New Roman" w:hAnsi="Times New Roman"/>
                <w:color w:val="000000" w:themeColor="text1"/>
                <w:sz w:val="24"/>
                <w:highlight w:val="none"/>
                <w14:textFill>
                  <w14:solidFill>
                    <w14:schemeClr w14:val="tx1"/>
                  </w14:solidFill>
                </w14:textFill>
              </w:rPr>
              <w:t>(T)—靠近围护结构处室内N个声源i倍频带的叠加声压级，dB；</w:t>
            </w:r>
          </w:p>
          <w:p w14:paraId="61789581">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TL</w:t>
            </w:r>
            <w:r>
              <w:rPr>
                <w:rFonts w:ascii="Times New Roman" w:hAnsi="Times New Roman"/>
                <w:color w:val="000000" w:themeColor="text1"/>
                <w:sz w:val="24"/>
                <w:highlight w:val="none"/>
                <w:vertAlign w:val="subscript"/>
                <w14:textFill>
                  <w14:solidFill>
                    <w14:schemeClr w14:val="tx1"/>
                  </w14:solidFill>
                </w14:textFill>
              </w:rPr>
              <w:t>i</w:t>
            </w:r>
            <w:r>
              <w:rPr>
                <w:rFonts w:ascii="Times New Roman" w:hAnsi="Times New Roman"/>
                <w:color w:val="000000" w:themeColor="text1"/>
                <w:sz w:val="24"/>
                <w:highlight w:val="none"/>
                <w14:textFill>
                  <w14:solidFill>
                    <w14:schemeClr w14:val="tx1"/>
                  </w14:solidFill>
                </w14:textFill>
              </w:rPr>
              <w:t>—围护结构i倍频带的隔声量，dB。</w:t>
            </w:r>
          </w:p>
          <w:p w14:paraId="3E1C03D0">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⑤按下式将室外声源的声压级和透声面积换算成等效的室外声源，计算出中心位置位于透声面积(S)处的等效声源的倍频带的声功率级</w:t>
            </w:r>
            <w:r>
              <w:rPr>
                <w:rFonts w:ascii="Times New Roman" w:hAnsi="Times New Roman"/>
                <w:color w:val="000000" w:themeColor="text1"/>
                <w:sz w:val="24"/>
                <w:highlight w:val="none"/>
                <w14:textFill>
                  <w14:solidFill>
                    <w14:schemeClr w14:val="tx1"/>
                  </w14:solidFill>
                </w14:textFill>
              </w:rPr>
              <w:softHyphen/>
            </w:r>
            <w:r>
              <w:rPr>
                <w:rFonts w:ascii="Times New Roman" w:hAnsi="Times New Roman"/>
                <w:color w:val="000000" w:themeColor="text1"/>
                <w:sz w:val="24"/>
                <w:highlight w:val="none"/>
                <w14:textFill>
                  <w14:solidFill>
                    <w14:schemeClr w14:val="tx1"/>
                  </w14:solidFill>
                </w14:textFill>
              </w:rPr>
              <w:softHyphen/>
            </w:r>
            <w:r>
              <w:rPr>
                <w:rFonts w:ascii="Times New Roman" w:hAnsi="Times New Roman"/>
                <w:color w:val="000000" w:themeColor="text1"/>
                <w:sz w:val="24"/>
                <w:highlight w:val="none"/>
                <w14:textFill>
                  <w14:solidFill>
                    <w14:schemeClr w14:val="tx1"/>
                  </w14:solidFill>
                </w14:textFill>
              </w:rPr>
              <w:t>：</w:t>
            </w:r>
          </w:p>
          <w:p w14:paraId="6AD8AA2D">
            <w:pPr>
              <w:adjustRightInd w:val="0"/>
              <w:snapToGrid w:val="0"/>
              <w:spacing w:line="360" w:lineRule="auto"/>
              <w:ind w:firstLine="48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drawing>
                <wp:inline distT="0" distB="0" distL="114300" distR="114300">
                  <wp:extent cx="1333500" cy="238760"/>
                  <wp:effectExtent l="0" t="0" r="0" b="7620"/>
                  <wp:docPr id="5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5"/>
                          <pic:cNvPicPr>
                            <a:picLocks noChangeAspect="1"/>
                          </pic:cNvPicPr>
                        </pic:nvPicPr>
                        <pic:blipFill>
                          <a:blip r:embed="rId24"/>
                          <a:stretch>
                            <a:fillRect/>
                          </a:stretch>
                        </pic:blipFill>
                        <pic:spPr>
                          <a:xfrm>
                            <a:off x="0" y="0"/>
                            <a:ext cx="1333500" cy="238760"/>
                          </a:xfrm>
                          <a:prstGeom prst="rect">
                            <a:avLst/>
                          </a:prstGeom>
                          <a:noFill/>
                          <a:ln>
                            <a:noFill/>
                          </a:ln>
                        </pic:spPr>
                      </pic:pic>
                    </a:graphicData>
                  </a:graphic>
                </wp:inline>
              </w:drawing>
            </w:r>
          </w:p>
          <w:p w14:paraId="0D0D3A4A">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式中：</w:t>
            </w:r>
          </w:p>
          <w:p w14:paraId="354D426B">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Lw—中心位置位于透声面积(S)处的等效声源的倍频带声功率级，dB；</w:t>
            </w:r>
          </w:p>
          <w:p w14:paraId="4C623071">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Lp</w:t>
            </w:r>
            <w:r>
              <w:rPr>
                <w:rFonts w:ascii="Times New Roman" w:hAnsi="Times New Roman"/>
                <w:color w:val="000000" w:themeColor="text1"/>
                <w:sz w:val="24"/>
                <w:highlight w:val="none"/>
                <w:vertAlign w:val="subscript"/>
                <w14:textFill>
                  <w14:solidFill>
                    <w14:schemeClr w14:val="tx1"/>
                  </w14:solidFill>
                </w14:textFill>
              </w:rPr>
              <w:t>2</w:t>
            </w:r>
            <w:r>
              <w:rPr>
                <w:rFonts w:ascii="Times New Roman" w:hAnsi="Times New Roman"/>
                <w:color w:val="000000" w:themeColor="text1"/>
                <w:sz w:val="24"/>
                <w:highlight w:val="none"/>
                <w14:textFill>
                  <w14:solidFill>
                    <w14:schemeClr w14:val="tx1"/>
                  </w14:solidFill>
                </w14:textFill>
              </w:rPr>
              <w:t>(T)—靠近围护结构处室外声源的声压级，dB；</w:t>
            </w:r>
          </w:p>
          <w:p w14:paraId="1D515DBC">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S透声面积，m</w:t>
            </w:r>
            <w:r>
              <w:rPr>
                <w:rFonts w:ascii="Times New Roman" w:hAnsi="Times New Roman"/>
                <w:color w:val="000000" w:themeColor="text1"/>
                <w:sz w:val="24"/>
                <w:highlight w:val="none"/>
                <w:vertAlign w:val="superscript"/>
                <w14:textFill>
                  <w14:solidFill>
                    <w14:schemeClr w14:val="tx1"/>
                  </w14:solidFill>
                </w14:textFill>
              </w:rPr>
              <w:t>2</w:t>
            </w:r>
            <w:r>
              <w:rPr>
                <w:rFonts w:ascii="Times New Roman" w:hAnsi="Times New Roman"/>
                <w:color w:val="000000" w:themeColor="text1"/>
                <w:sz w:val="24"/>
                <w:highlight w:val="none"/>
                <w14:textFill>
                  <w14:solidFill>
                    <w14:schemeClr w14:val="tx1"/>
                  </w14:solidFill>
                </w14:textFill>
              </w:rPr>
              <w:t>。</w:t>
            </w:r>
          </w:p>
          <w:p w14:paraId="35F43AA5">
            <w:pPr>
              <w:spacing w:line="360" w:lineRule="auto"/>
              <w:ind w:firstLine="480" w:firstLineChars="20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2）户外声传播的衰减</w:t>
            </w:r>
          </w:p>
          <w:p w14:paraId="2145FA52">
            <w:pPr>
              <w:spacing w:line="360" w:lineRule="auto"/>
              <w:ind w:firstLine="480" w:firstLineChars="20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户外声传播衰减包括几何发散(Adiv)、大气吸收(Aatm)、地面效应(Agr)、障碍物屏蔽(Abar)、其他多方面效应(Amisc)引起的衰减。</w:t>
            </w:r>
          </w:p>
          <w:p w14:paraId="4D6C817F">
            <w:pPr>
              <w:spacing w:line="360" w:lineRule="auto"/>
              <w:ind w:firstLine="480" w:firstLineChars="20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①基本公式</w:t>
            </w:r>
          </w:p>
          <w:p w14:paraId="6D4C5A48">
            <w:pPr>
              <w:spacing w:line="360" w:lineRule="auto"/>
              <w:ind w:firstLine="480" w:firstLineChars="20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某个声源在预测点处声压级的计算公式如下：</w:t>
            </w:r>
          </w:p>
          <w:p w14:paraId="1192C583">
            <w:pPr>
              <w:adjustRightInd w:val="0"/>
              <w:snapToGrid w:val="0"/>
              <w:spacing w:line="360" w:lineRule="auto"/>
              <w:ind w:firstLine="48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eastAsia="Times New Roman"/>
                <w:i/>
                <w:color w:val="000000" w:themeColor="text1"/>
                <w:sz w:val="24"/>
                <w:highlight w:val="none"/>
                <w14:textFill>
                  <w14:solidFill>
                    <w14:schemeClr w14:val="tx1"/>
                  </w14:solidFill>
                </w14:textFill>
              </w:rPr>
              <w:t>Lp</w:t>
            </w:r>
            <w:r>
              <w:rPr>
                <w:rFonts w:ascii="Times New Roman" w:hAnsi="Times New Roman" w:eastAsia="Times New Roman"/>
                <w:color w:val="000000" w:themeColor="text1"/>
                <w:sz w:val="24"/>
                <w:highlight w:val="none"/>
                <w14:textFill>
                  <w14:solidFill>
                    <w14:schemeClr w14:val="tx1"/>
                  </w14:solidFill>
                </w14:textFill>
              </w:rPr>
              <w:t>(</w:t>
            </w:r>
            <w:r>
              <w:rPr>
                <w:rFonts w:ascii="Times New Roman" w:hAnsi="Times New Roman" w:eastAsia="Times New Roman"/>
                <w:i/>
                <w:color w:val="000000" w:themeColor="text1"/>
                <w:sz w:val="24"/>
                <w:highlight w:val="none"/>
                <w14:textFill>
                  <w14:solidFill>
                    <w14:schemeClr w14:val="tx1"/>
                  </w14:solidFill>
                </w14:textFill>
              </w:rPr>
              <w:t>r</w:t>
            </w:r>
            <w:r>
              <w:rPr>
                <w:rFonts w:ascii="Times New Roman" w:hAnsi="Times New Roman" w:eastAsia="Times New Roman"/>
                <w:color w:val="000000" w:themeColor="text1"/>
                <w:sz w:val="24"/>
                <w:highlight w:val="none"/>
                <w14:textFill>
                  <w14:solidFill>
                    <w14:schemeClr w14:val="tx1"/>
                  </w14:solidFill>
                </w14:textFill>
              </w:rPr>
              <w:t>)</w:t>
            </w:r>
            <w:r>
              <w:rPr>
                <w:rFonts w:ascii="Times New Roman" w:hAnsi="Times New Roman"/>
                <w:color w:val="000000" w:themeColor="text1"/>
                <w:sz w:val="24"/>
                <w:highlight w:val="none"/>
                <w14:textFill>
                  <w14:solidFill>
                    <w14:schemeClr w14:val="tx1"/>
                  </w14:solidFill>
                </w14:textFill>
              </w:rPr>
              <w:t>＝</w:t>
            </w:r>
            <w:r>
              <w:rPr>
                <w:rFonts w:ascii="Times New Roman" w:hAnsi="Times New Roman" w:eastAsia="Times New Roman"/>
                <w:i/>
                <w:color w:val="000000" w:themeColor="text1"/>
                <w:sz w:val="24"/>
                <w:highlight w:val="none"/>
                <w14:textFill>
                  <w14:solidFill>
                    <w14:schemeClr w14:val="tx1"/>
                  </w14:solidFill>
                </w14:textFill>
              </w:rPr>
              <w:t>Lw</w:t>
            </w:r>
            <w:r>
              <w:rPr>
                <w:rFonts w:ascii="Times New Roman" w:hAnsi="Times New Roman" w:eastAsia="Times New Roman"/>
                <w:color w:val="000000" w:themeColor="text1"/>
                <w:sz w:val="24"/>
                <w:highlight w:val="none"/>
                <w14:textFill>
                  <w14:solidFill>
                    <w14:schemeClr w14:val="tx1"/>
                  </w14:solidFill>
                </w14:textFill>
              </w:rPr>
              <w:t>+</w:t>
            </w:r>
            <w:r>
              <w:rPr>
                <w:rFonts w:ascii="Times New Roman" w:hAnsi="Times New Roman" w:eastAsia="Times New Roman"/>
                <w:i/>
                <w:color w:val="000000" w:themeColor="text1"/>
                <w:sz w:val="24"/>
                <w:highlight w:val="none"/>
                <w14:textFill>
                  <w14:solidFill>
                    <w14:schemeClr w14:val="tx1"/>
                  </w14:solidFill>
                </w14:textFill>
              </w:rPr>
              <w:t>D</w:t>
            </w:r>
            <w:r>
              <w:rPr>
                <w:rFonts w:ascii="Times New Roman" w:hAnsi="Times New Roman" w:eastAsia="Times New Roman"/>
                <w:color w:val="000000" w:themeColor="text1"/>
                <w:sz w:val="24"/>
                <w:highlight w:val="none"/>
                <w14:textFill>
                  <w14:solidFill>
                    <w14:schemeClr w14:val="tx1"/>
                  </w14:solidFill>
                </w14:textFill>
              </w:rPr>
              <w:t>C</w:t>
            </w:r>
            <w:r>
              <w:rPr>
                <w:rFonts w:ascii="Times New Roman" w:hAnsi="Times New Roman"/>
                <w:color w:val="000000" w:themeColor="text1"/>
                <w:sz w:val="24"/>
                <w:highlight w:val="none"/>
                <w14:textFill>
                  <w14:solidFill>
                    <w14:schemeClr w14:val="tx1"/>
                  </w14:solidFill>
                </w14:textFill>
              </w:rPr>
              <w:t>－</w:t>
            </w:r>
            <w:r>
              <w:rPr>
                <w:rFonts w:ascii="Times New Roman" w:hAnsi="Times New Roman" w:eastAsia="Times New Roman"/>
                <w:color w:val="000000" w:themeColor="text1"/>
                <w:sz w:val="24"/>
                <w:highlight w:val="none"/>
                <w14:textFill>
                  <w14:solidFill>
                    <w14:schemeClr w14:val="tx1"/>
                  </w14:solidFill>
                </w14:textFill>
              </w:rPr>
              <w:t>(</w:t>
            </w:r>
            <w:r>
              <w:rPr>
                <w:rFonts w:ascii="Times New Roman" w:hAnsi="Times New Roman" w:eastAsia="Times New Roman"/>
                <w:i/>
                <w:color w:val="000000" w:themeColor="text1"/>
                <w:sz w:val="24"/>
                <w:highlight w:val="none"/>
                <w14:textFill>
                  <w14:solidFill>
                    <w14:schemeClr w14:val="tx1"/>
                  </w14:solidFill>
                </w14:textFill>
              </w:rPr>
              <w:t>A</w:t>
            </w:r>
            <w:r>
              <w:rPr>
                <w:rFonts w:ascii="Times New Roman" w:hAnsi="Times New Roman" w:eastAsia="Times New Roman"/>
                <w:color w:val="000000" w:themeColor="text1"/>
                <w:sz w:val="24"/>
                <w:highlight w:val="none"/>
                <w14:textFill>
                  <w14:solidFill>
                    <w14:schemeClr w14:val="tx1"/>
                  </w14:solidFill>
                </w14:textFill>
              </w:rPr>
              <w:t>div</w:t>
            </w:r>
            <w:r>
              <w:rPr>
                <w:rFonts w:ascii="Times New Roman" w:hAnsi="Times New Roman"/>
                <w:color w:val="000000" w:themeColor="text1"/>
                <w:sz w:val="24"/>
                <w:highlight w:val="none"/>
                <w14:textFill>
                  <w14:solidFill>
                    <w14:schemeClr w14:val="tx1"/>
                  </w14:solidFill>
                </w14:textFill>
              </w:rPr>
              <w:t>＋</w:t>
            </w:r>
            <w:r>
              <w:rPr>
                <w:rFonts w:ascii="Times New Roman" w:hAnsi="Times New Roman" w:eastAsia="Times New Roman"/>
                <w:i/>
                <w:color w:val="000000" w:themeColor="text1"/>
                <w:sz w:val="24"/>
                <w:highlight w:val="none"/>
                <w14:textFill>
                  <w14:solidFill>
                    <w14:schemeClr w14:val="tx1"/>
                  </w14:solidFill>
                </w14:textFill>
              </w:rPr>
              <w:t>A</w:t>
            </w:r>
            <w:r>
              <w:rPr>
                <w:rFonts w:ascii="Times New Roman" w:hAnsi="Times New Roman" w:eastAsia="Times New Roman"/>
                <w:color w:val="000000" w:themeColor="text1"/>
                <w:sz w:val="24"/>
                <w:highlight w:val="none"/>
                <w14:textFill>
                  <w14:solidFill>
                    <w14:schemeClr w14:val="tx1"/>
                  </w14:solidFill>
                </w14:textFill>
              </w:rPr>
              <w:t>atm</w:t>
            </w:r>
            <w:r>
              <w:rPr>
                <w:rFonts w:ascii="Times New Roman" w:hAnsi="Times New Roman"/>
                <w:color w:val="000000" w:themeColor="text1"/>
                <w:sz w:val="24"/>
                <w:highlight w:val="none"/>
                <w14:textFill>
                  <w14:solidFill>
                    <w14:schemeClr w14:val="tx1"/>
                  </w14:solidFill>
                </w14:textFill>
              </w:rPr>
              <w:t>＋</w:t>
            </w:r>
            <w:r>
              <w:rPr>
                <w:rFonts w:ascii="Times New Roman" w:hAnsi="Times New Roman" w:eastAsia="Times New Roman"/>
                <w:i/>
                <w:color w:val="000000" w:themeColor="text1"/>
                <w:sz w:val="24"/>
                <w:highlight w:val="none"/>
                <w14:textFill>
                  <w14:solidFill>
                    <w14:schemeClr w14:val="tx1"/>
                  </w14:solidFill>
                </w14:textFill>
              </w:rPr>
              <w:t>A</w:t>
            </w:r>
            <w:r>
              <w:rPr>
                <w:rFonts w:ascii="Times New Roman" w:hAnsi="Times New Roman" w:eastAsia="Times New Roman"/>
                <w:color w:val="000000" w:themeColor="text1"/>
                <w:sz w:val="24"/>
                <w:highlight w:val="none"/>
                <w14:textFill>
                  <w14:solidFill>
                    <w14:schemeClr w14:val="tx1"/>
                  </w14:solidFill>
                </w14:textFill>
              </w:rPr>
              <w:t>gr</w:t>
            </w:r>
            <w:r>
              <w:rPr>
                <w:rFonts w:ascii="Times New Roman" w:hAnsi="Times New Roman"/>
                <w:color w:val="000000" w:themeColor="text1"/>
                <w:sz w:val="24"/>
                <w:highlight w:val="none"/>
                <w14:textFill>
                  <w14:solidFill>
                    <w14:schemeClr w14:val="tx1"/>
                  </w14:solidFill>
                </w14:textFill>
              </w:rPr>
              <w:t>＋</w:t>
            </w:r>
            <w:r>
              <w:rPr>
                <w:rFonts w:ascii="Times New Roman" w:hAnsi="Times New Roman" w:eastAsia="Times New Roman"/>
                <w:i/>
                <w:color w:val="000000" w:themeColor="text1"/>
                <w:sz w:val="24"/>
                <w:highlight w:val="none"/>
                <w14:textFill>
                  <w14:solidFill>
                    <w14:schemeClr w14:val="tx1"/>
                  </w14:solidFill>
                </w14:textFill>
              </w:rPr>
              <w:t>A</w:t>
            </w:r>
            <w:r>
              <w:rPr>
                <w:rFonts w:ascii="Times New Roman" w:hAnsi="Times New Roman" w:eastAsia="Times New Roman"/>
                <w:color w:val="000000" w:themeColor="text1"/>
                <w:sz w:val="24"/>
                <w:highlight w:val="none"/>
                <w14:textFill>
                  <w14:solidFill>
                    <w14:schemeClr w14:val="tx1"/>
                  </w14:solidFill>
                </w14:textFill>
              </w:rPr>
              <w:t>bar</w:t>
            </w:r>
            <w:r>
              <w:rPr>
                <w:rFonts w:ascii="Times New Roman" w:hAnsi="Times New Roman"/>
                <w:color w:val="000000" w:themeColor="text1"/>
                <w:sz w:val="24"/>
                <w:highlight w:val="none"/>
                <w14:textFill>
                  <w14:solidFill>
                    <w14:schemeClr w14:val="tx1"/>
                  </w14:solidFill>
                </w14:textFill>
              </w:rPr>
              <w:t>＋</w:t>
            </w:r>
            <w:r>
              <w:rPr>
                <w:rFonts w:ascii="Times New Roman" w:hAnsi="Times New Roman" w:eastAsia="Times New Roman"/>
                <w:i/>
                <w:color w:val="000000" w:themeColor="text1"/>
                <w:sz w:val="24"/>
                <w:highlight w:val="none"/>
                <w14:textFill>
                  <w14:solidFill>
                    <w14:schemeClr w14:val="tx1"/>
                  </w14:solidFill>
                </w14:textFill>
              </w:rPr>
              <w:t>A</w:t>
            </w:r>
            <w:r>
              <w:rPr>
                <w:rFonts w:ascii="Times New Roman" w:hAnsi="Times New Roman" w:eastAsia="Times New Roman"/>
                <w:color w:val="000000" w:themeColor="text1"/>
                <w:sz w:val="24"/>
                <w:highlight w:val="none"/>
                <w14:textFill>
                  <w14:solidFill>
                    <w14:schemeClr w14:val="tx1"/>
                  </w14:solidFill>
                </w14:textFill>
              </w:rPr>
              <w:t>misc)</w:t>
            </w:r>
          </w:p>
          <w:p w14:paraId="20A322DF">
            <w:pPr>
              <w:adjustRightInd w:val="0"/>
              <w:snapToGrid w:val="0"/>
              <w:spacing w:line="360" w:lineRule="auto"/>
              <w:ind w:firstLine="48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eastAsia="Times New Roman"/>
                <w:i/>
                <w:color w:val="000000" w:themeColor="text1"/>
                <w:sz w:val="24"/>
                <w:highlight w:val="none"/>
                <w14:textFill>
                  <w14:solidFill>
                    <w14:schemeClr w14:val="tx1"/>
                  </w14:solidFill>
                </w14:textFill>
              </w:rPr>
              <w:t>Lp</w:t>
            </w:r>
            <w:r>
              <w:rPr>
                <w:rFonts w:ascii="Times New Roman" w:hAnsi="Times New Roman" w:eastAsia="Times New Roman"/>
                <w:color w:val="000000" w:themeColor="text1"/>
                <w:sz w:val="24"/>
                <w:highlight w:val="none"/>
                <w14:textFill>
                  <w14:solidFill>
                    <w14:schemeClr w14:val="tx1"/>
                  </w14:solidFill>
                </w14:textFill>
              </w:rPr>
              <w:t>(</w:t>
            </w:r>
            <w:r>
              <w:rPr>
                <w:rFonts w:ascii="Times New Roman" w:hAnsi="Times New Roman" w:eastAsia="Times New Roman"/>
                <w:i/>
                <w:color w:val="000000" w:themeColor="text1"/>
                <w:sz w:val="24"/>
                <w:highlight w:val="none"/>
                <w14:textFill>
                  <w14:solidFill>
                    <w14:schemeClr w14:val="tx1"/>
                  </w14:solidFill>
                </w14:textFill>
              </w:rPr>
              <w:t>r</w:t>
            </w:r>
            <w:r>
              <w:rPr>
                <w:rFonts w:ascii="Times New Roman" w:hAnsi="Times New Roman" w:eastAsia="Times New Roman"/>
                <w:color w:val="000000" w:themeColor="text1"/>
                <w:sz w:val="24"/>
                <w:highlight w:val="none"/>
                <w14:textFill>
                  <w14:solidFill>
                    <w14:schemeClr w14:val="tx1"/>
                  </w14:solidFill>
                </w14:textFill>
              </w:rPr>
              <w:t>)</w:t>
            </w:r>
            <w:r>
              <w:rPr>
                <w:rFonts w:ascii="Times New Roman" w:hAnsi="Times New Roman"/>
                <w:color w:val="000000" w:themeColor="text1"/>
                <w:sz w:val="24"/>
                <w:highlight w:val="none"/>
                <w14:textFill>
                  <w14:solidFill>
                    <w14:schemeClr w14:val="tx1"/>
                  </w14:solidFill>
                </w14:textFill>
              </w:rPr>
              <w:t>＝</w:t>
            </w:r>
            <w:r>
              <w:rPr>
                <w:rFonts w:ascii="Times New Roman" w:hAnsi="Times New Roman" w:eastAsia="Times New Roman"/>
                <w:i/>
                <w:color w:val="000000" w:themeColor="text1"/>
                <w:sz w:val="24"/>
                <w:highlight w:val="none"/>
                <w14:textFill>
                  <w14:solidFill>
                    <w14:schemeClr w14:val="tx1"/>
                  </w14:solidFill>
                </w14:textFill>
              </w:rPr>
              <w:t>Lp</w:t>
            </w:r>
            <w:r>
              <w:rPr>
                <w:rFonts w:ascii="Times New Roman" w:hAnsi="Times New Roman" w:eastAsia="Times New Roman"/>
                <w:color w:val="000000" w:themeColor="text1"/>
                <w:sz w:val="24"/>
                <w:highlight w:val="none"/>
                <w14:textFill>
                  <w14:solidFill>
                    <w14:schemeClr w14:val="tx1"/>
                  </w14:solidFill>
                </w14:textFill>
              </w:rPr>
              <w:t>(</w:t>
            </w:r>
            <w:r>
              <w:rPr>
                <w:rFonts w:ascii="Times New Roman" w:hAnsi="Times New Roman" w:eastAsia="Times New Roman"/>
                <w:i/>
                <w:color w:val="000000" w:themeColor="text1"/>
                <w:sz w:val="24"/>
                <w:highlight w:val="none"/>
                <w14:textFill>
                  <w14:solidFill>
                    <w14:schemeClr w14:val="tx1"/>
                  </w14:solidFill>
                </w14:textFill>
              </w:rPr>
              <w:t>r</w:t>
            </w:r>
            <w:r>
              <w:rPr>
                <w:rFonts w:ascii="Times New Roman" w:hAnsi="Times New Roman" w:eastAsia="Times New Roman"/>
                <w:color w:val="000000" w:themeColor="text1"/>
                <w:sz w:val="24"/>
                <w:highlight w:val="none"/>
                <w14:textFill>
                  <w14:solidFill>
                    <w14:schemeClr w14:val="tx1"/>
                  </w14:solidFill>
                </w14:textFill>
              </w:rPr>
              <w:t>0)+</w:t>
            </w:r>
            <w:r>
              <w:rPr>
                <w:rFonts w:ascii="Times New Roman" w:hAnsi="Times New Roman" w:eastAsia="Times New Roman"/>
                <w:i/>
                <w:color w:val="000000" w:themeColor="text1"/>
                <w:sz w:val="24"/>
                <w:highlight w:val="none"/>
                <w14:textFill>
                  <w14:solidFill>
                    <w14:schemeClr w14:val="tx1"/>
                  </w14:solidFill>
                </w14:textFill>
              </w:rPr>
              <w:t>D</w:t>
            </w:r>
            <w:r>
              <w:rPr>
                <w:rFonts w:ascii="Times New Roman" w:hAnsi="Times New Roman" w:eastAsia="Times New Roman"/>
                <w:color w:val="000000" w:themeColor="text1"/>
                <w:sz w:val="24"/>
                <w:highlight w:val="none"/>
                <w14:textFill>
                  <w14:solidFill>
                    <w14:schemeClr w14:val="tx1"/>
                  </w14:solidFill>
                </w14:textFill>
              </w:rPr>
              <w:t>C</w:t>
            </w:r>
            <w:r>
              <w:rPr>
                <w:rFonts w:ascii="Times New Roman" w:hAnsi="Times New Roman"/>
                <w:color w:val="000000" w:themeColor="text1"/>
                <w:sz w:val="24"/>
                <w:highlight w:val="none"/>
                <w14:textFill>
                  <w14:solidFill>
                    <w14:schemeClr w14:val="tx1"/>
                  </w14:solidFill>
                </w14:textFill>
              </w:rPr>
              <w:t>－</w:t>
            </w:r>
            <w:r>
              <w:rPr>
                <w:rFonts w:ascii="Times New Roman" w:hAnsi="Times New Roman" w:eastAsia="Times New Roman"/>
                <w:color w:val="000000" w:themeColor="text1"/>
                <w:sz w:val="24"/>
                <w:highlight w:val="none"/>
                <w14:textFill>
                  <w14:solidFill>
                    <w14:schemeClr w14:val="tx1"/>
                  </w14:solidFill>
                </w14:textFill>
              </w:rPr>
              <w:t>(</w:t>
            </w:r>
            <w:r>
              <w:rPr>
                <w:rFonts w:ascii="Times New Roman" w:hAnsi="Times New Roman" w:eastAsia="Times New Roman"/>
                <w:i/>
                <w:color w:val="000000" w:themeColor="text1"/>
                <w:sz w:val="24"/>
                <w:highlight w:val="none"/>
                <w14:textFill>
                  <w14:solidFill>
                    <w14:schemeClr w14:val="tx1"/>
                  </w14:solidFill>
                </w14:textFill>
              </w:rPr>
              <w:t>A</w:t>
            </w:r>
            <w:r>
              <w:rPr>
                <w:rFonts w:ascii="Times New Roman" w:hAnsi="Times New Roman" w:eastAsia="Times New Roman"/>
                <w:color w:val="000000" w:themeColor="text1"/>
                <w:sz w:val="24"/>
                <w:highlight w:val="none"/>
                <w14:textFill>
                  <w14:solidFill>
                    <w14:schemeClr w14:val="tx1"/>
                  </w14:solidFill>
                </w14:textFill>
              </w:rPr>
              <w:t>div</w:t>
            </w:r>
            <w:r>
              <w:rPr>
                <w:rFonts w:ascii="Times New Roman" w:hAnsi="Times New Roman"/>
                <w:color w:val="000000" w:themeColor="text1"/>
                <w:sz w:val="24"/>
                <w:highlight w:val="none"/>
                <w14:textFill>
                  <w14:solidFill>
                    <w14:schemeClr w14:val="tx1"/>
                  </w14:solidFill>
                </w14:textFill>
              </w:rPr>
              <w:t>＋</w:t>
            </w:r>
            <w:r>
              <w:rPr>
                <w:rFonts w:ascii="Times New Roman" w:hAnsi="Times New Roman" w:eastAsia="Times New Roman"/>
                <w:i/>
                <w:color w:val="000000" w:themeColor="text1"/>
                <w:sz w:val="24"/>
                <w:highlight w:val="none"/>
                <w14:textFill>
                  <w14:solidFill>
                    <w14:schemeClr w14:val="tx1"/>
                  </w14:solidFill>
                </w14:textFill>
              </w:rPr>
              <w:t>A</w:t>
            </w:r>
            <w:r>
              <w:rPr>
                <w:rFonts w:ascii="Times New Roman" w:hAnsi="Times New Roman" w:eastAsia="Times New Roman"/>
                <w:color w:val="000000" w:themeColor="text1"/>
                <w:sz w:val="24"/>
                <w:highlight w:val="none"/>
                <w14:textFill>
                  <w14:solidFill>
                    <w14:schemeClr w14:val="tx1"/>
                  </w14:solidFill>
                </w14:textFill>
              </w:rPr>
              <w:t>atm</w:t>
            </w:r>
            <w:r>
              <w:rPr>
                <w:rFonts w:ascii="Times New Roman" w:hAnsi="Times New Roman"/>
                <w:color w:val="000000" w:themeColor="text1"/>
                <w:sz w:val="24"/>
                <w:highlight w:val="none"/>
                <w14:textFill>
                  <w14:solidFill>
                    <w14:schemeClr w14:val="tx1"/>
                  </w14:solidFill>
                </w14:textFill>
              </w:rPr>
              <w:t>＋</w:t>
            </w:r>
            <w:r>
              <w:rPr>
                <w:rFonts w:ascii="Times New Roman" w:hAnsi="Times New Roman" w:eastAsia="Times New Roman"/>
                <w:i/>
                <w:color w:val="000000" w:themeColor="text1"/>
                <w:sz w:val="24"/>
                <w:highlight w:val="none"/>
                <w14:textFill>
                  <w14:solidFill>
                    <w14:schemeClr w14:val="tx1"/>
                  </w14:solidFill>
                </w14:textFill>
              </w:rPr>
              <w:t>A</w:t>
            </w:r>
            <w:r>
              <w:rPr>
                <w:rFonts w:ascii="Times New Roman" w:hAnsi="Times New Roman" w:eastAsia="Times New Roman"/>
                <w:color w:val="000000" w:themeColor="text1"/>
                <w:sz w:val="24"/>
                <w:highlight w:val="none"/>
                <w14:textFill>
                  <w14:solidFill>
                    <w14:schemeClr w14:val="tx1"/>
                  </w14:solidFill>
                </w14:textFill>
              </w:rPr>
              <w:t>gr</w:t>
            </w:r>
            <w:r>
              <w:rPr>
                <w:rFonts w:ascii="Times New Roman" w:hAnsi="Times New Roman"/>
                <w:color w:val="000000" w:themeColor="text1"/>
                <w:sz w:val="24"/>
                <w:highlight w:val="none"/>
                <w14:textFill>
                  <w14:solidFill>
                    <w14:schemeClr w14:val="tx1"/>
                  </w14:solidFill>
                </w14:textFill>
              </w:rPr>
              <w:t>＋</w:t>
            </w:r>
            <w:r>
              <w:rPr>
                <w:rFonts w:ascii="Times New Roman" w:hAnsi="Times New Roman" w:eastAsia="Times New Roman"/>
                <w:i/>
                <w:color w:val="000000" w:themeColor="text1"/>
                <w:sz w:val="24"/>
                <w:highlight w:val="none"/>
                <w14:textFill>
                  <w14:solidFill>
                    <w14:schemeClr w14:val="tx1"/>
                  </w14:solidFill>
                </w14:textFill>
              </w:rPr>
              <w:t>A</w:t>
            </w:r>
            <w:r>
              <w:rPr>
                <w:rFonts w:ascii="Times New Roman" w:hAnsi="Times New Roman" w:eastAsia="Times New Roman"/>
                <w:color w:val="000000" w:themeColor="text1"/>
                <w:sz w:val="24"/>
                <w:highlight w:val="none"/>
                <w14:textFill>
                  <w14:solidFill>
                    <w14:schemeClr w14:val="tx1"/>
                  </w14:solidFill>
                </w14:textFill>
              </w:rPr>
              <w:t>bar</w:t>
            </w:r>
            <w:r>
              <w:rPr>
                <w:rFonts w:ascii="Times New Roman" w:hAnsi="Times New Roman"/>
                <w:color w:val="000000" w:themeColor="text1"/>
                <w:sz w:val="24"/>
                <w:highlight w:val="none"/>
                <w14:textFill>
                  <w14:solidFill>
                    <w14:schemeClr w14:val="tx1"/>
                  </w14:solidFill>
                </w14:textFill>
              </w:rPr>
              <w:t>＋</w:t>
            </w:r>
            <w:r>
              <w:rPr>
                <w:rFonts w:ascii="Times New Roman" w:hAnsi="Times New Roman" w:eastAsia="Times New Roman"/>
                <w:i/>
                <w:color w:val="000000" w:themeColor="text1"/>
                <w:sz w:val="24"/>
                <w:highlight w:val="none"/>
                <w14:textFill>
                  <w14:solidFill>
                    <w14:schemeClr w14:val="tx1"/>
                  </w14:solidFill>
                </w14:textFill>
              </w:rPr>
              <w:t>A</w:t>
            </w:r>
            <w:r>
              <w:rPr>
                <w:rFonts w:ascii="Times New Roman" w:hAnsi="Times New Roman" w:eastAsia="Times New Roman"/>
                <w:color w:val="000000" w:themeColor="text1"/>
                <w:sz w:val="24"/>
                <w:highlight w:val="none"/>
                <w14:textFill>
                  <w14:solidFill>
                    <w14:schemeClr w14:val="tx1"/>
                  </w14:solidFill>
                </w14:textFill>
              </w:rPr>
              <w:t>misc)</w:t>
            </w:r>
          </w:p>
          <w:p w14:paraId="38549997">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式中：</w:t>
            </w:r>
          </w:p>
          <w:p w14:paraId="2EA4863A">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 xml:space="preserve">Lp(r)—预测点处声压级，dB； </w:t>
            </w:r>
          </w:p>
          <w:p w14:paraId="783377F3">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L</w:t>
            </w:r>
            <w:r>
              <w:rPr>
                <w:rFonts w:ascii="Times New Roman" w:hAnsi="Times New Roman"/>
                <w:color w:val="000000" w:themeColor="text1"/>
                <w:sz w:val="24"/>
                <w:highlight w:val="none"/>
                <w14:textFill>
                  <w14:solidFill>
                    <w14:schemeClr w14:val="tx1"/>
                  </w14:solidFill>
                </w14:textFill>
              </w:rPr>
              <w:softHyphen/>
            </w:r>
            <w:r>
              <w:rPr>
                <w:rFonts w:ascii="Times New Roman" w:hAnsi="Times New Roman"/>
                <w:color w:val="000000" w:themeColor="text1"/>
                <w:sz w:val="24"/>
                <w:highlight w:val="none"/>
                <w14:textFill>
                  <w14:solidFill>
                    <w14:schemeClr w14:val="tx1"/>
                  </w14:solidFill>
                </w14:textFill>
              </w:rPr>
              <w:softHyphen/>
            </w:r>
            <w:r>
              <w:rPr>
                <w:rFonts w:ascii="Times New Roman" w:hAnsi="Times New Roman"/>
                <w:color w:val="000000" w:themeColor="text1"/>
                <w:sz w:val="24"/>
                <w:highlight w:val="none"/>
                <w14:textFill>
                  <w14:solidFill>
                    <w14:schemeClr w14:val="tx1"/>
                  </w14:solidFill>
                </w14:textFill>
              </w:rPr>
              <w:t>w—由点声源产生的声功率级(A计权或倍频带)，dB；</w:t>
            </w:r>
          </w:p>
          <w:p w14:paraId="0C86C978">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Lp(r0)—参考位置r0处的声压级，dB；</w:t>
            </w:r>
          </w:p>
          <w:p w14:paraId="4F968143">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 xml:space="preserve">Dc—指向性校正，它描述点声源的等效连续声压级与产生声功率级Lw的全向点声源在规定方向的声级的偏差程度，dB； </w:t>
            </w:r>
          </w:p>
          <w:p w14:paraId="7D912467">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 xml:space="preserve">Adiv—几何发散引起的衰减，dB； </w:t>
            </w:r>
          </w:p>
          <w:p w14:paraId="3A4F3BB6">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 xml:space="preserve">Aatm—大气吸收引起的衰减，dB； </w:t>
            </w:r>
          </w:p>
          <w:p w14:paraId="4D58A822">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Agr—地面效应引起的衰减，dB；</w:t>
            </w:r>
          </w:p>
          <w:p w14:paraId="7CAC6424">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Abar—障碍物屏蔽引起的衰减，dB；</w:t>
            </w:r>
          </w:p>
          <w:p w14:paraId="5BDA9624">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Amisc—其他多方面效应引起的衰减，dB。</w:t>
            </w:r>
          </w:p>
          <w:p w14:paraId="2358445A">
            <w:pPr>
              <w:spacing w:line="360" w:lineRule="auto"/>
              <w:ind w:firstLine="480" w:firstLineChars="20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②预测点的</w:t>
            </w:r>
            <w:r>
              <w:rPr>
                <w:rFonts w:ascii="Times New Roman" w:hAnsi="Times New Roman" w:eastAsia="Times New Roman"/>
                <w:color w:val="000000" w:themeColor="text1"/>
                <w:sz w:val="24"/>
                <w:highlight w:val="none"/>
                <w14:textFill>
                  <w14:solidFill>
                    <w14:schemeClr w14:val="tx1"/>
                  </w14:solidFill>
                </w14:textFill>
              </w:rPr>
              <w:t>A</w:t>
            </w:r>
            <w:r>
              <w:rPr>
                <w:rFonts w:ascii="Times New Roman" w:hAnsi="Times New Roman"/>
                <w:color w:val="000000" w:themeColor="text1"/>
                <w:sz w:val="24"/>
                <w:highlight w:val="none"/>
                <w14:textFill>
                  <w14:solidFill>
                    <w14:schemeClr w14:val="tx1"/>
                  </w14:solidFill>
                </w14:textFill>
              </w:rPr>
              <w:t>声级</w:t>
            </w:r>
            <w:r>
              <w:rPr>
                <w:rFonts w:ascii="Times New Roman" w:hAnsi="Times New Roman" w:eastAsia="Times New Roman"/>
                <w:i/>
                <w:color w:val="000000" w:themeColor="text1"/>
                <w:sz w:val="24"/>
                <w:highlight w:val="none"/>
                <w14:textFill>
                  <w14:solidFill>
                    <w14:schemeClr w14:val="tx1"/>
                  </w14:solidFill>
                </w14:textFill>
              </w:rPr>
              <w:t>L</w:t>
            </w:r>
            <w:r>
              <w:rPr>
                <w:rFonts w:ascii="Times New Roman" w:hAnsi="Times New Roman" w:eastAsia="Times New Roman"/>
                <w:color w:val="000000" w:themeColor="text1"/>
                <w:sz w:val="24"/>
                <w:highlight w:val="none"/>
                <w:vertAlign w:val="subscript"/>
                <w14:textFill>
                  <w14:solidFill>
                    <w14:schemeClr w14:val="tx1"/>
                  </w14:solidFill>
                </w14:textFill>
              </w:rPr>
              <w:t>A</w:t>
            </w:r>
            <w:r>
              <w:rPr>
                <w:rFonts w:ascii="Times New Roman" w:hAnsi="Times New Roman" w:eastAsia="Times New Roman"/>
                <w:color w:val="000000" w:themeColor="text1"/>
                <w:sz w:val="24"/>
                <w:highlight w:val="none"/>
                <w14:textFill>
                  <w14:solidFill>
                    <w14:schemeClr w14:val="tx1"/>
                  </w14:solidFill>
                </w14:textFill>
              </w:rPr>
              <w:t>(</w:t>
            </w:r>
            <w:r>
              <w:rPr>
                <w:rFonts w:ascii="Times New Roman" w:hAnsi="Times New Roman" w:eastAsia="Times New Roman"/>
                <w:i/>
                <w:color w:val="000000" w:themeColor="text1"/>
                <w:sz w:val="24"/>
                <w:highlight w:val="none"/>
                <w14:textFill>
                  <w14:solidFill>
                    <w14:schemeClr w14:val="tx1"/>
                  </w14:solidFill>
                </w14:textFill>
              </w:rPr>
              <w:t>r</w:t>
            </w:r>
            <w:r>
              <w:rPr>
                <w:rFonts w:ascii="Times New Roman" w:hAnsi="Times New Roman" w:eastAsia="Times New Roman"/>
                <w:color w:val="000000" w:themeColor="text1"/>
                <w:sz w:val="24"/>
                <w:highlight w:val="none"/>
                <w14:textFill>
                  <w14:solidFill>
                    <w14:schemeClr w14:val="tx1"/>
                  </w14:solidFill>
                </w14:textFill>
              </w:rPr>
              <w:t>)</w:t>
            </w:r>
            <w:r>
              <w:rPr>
                <w:rFonts w:ascii="Times New Roman" w:hAnsi="Times New Roman"/>
                <w:color w:val="000000" w:themeColor="text1"/>
                <w:sz w:val="24"/>
                <w:highlight w:val="none"/>
                <w14:textFill>
                  <w14:solidFill>
                    <w14:schemeClr w14:val="tx1"/>
                  </w14:solidFill>
                </w14:textFill>
              </w:rPr>
              <w:t>可按下式计算，即将</w:t>
            </w:r>
            <w:r>
              <w:rPr>
                <w:rFonts w:ascii="Times New Roman" w:hAnsi="Times New Roman" w:eastAsia="Times New Roman"/>
                <w:color w:val="000000" w:themeColor="text1"/>
                <w:sz w:val="24"/>
                <w:highlight w:val="none"/>
                <w14:textFill>
                  <w14:solidFill>
                    <w14:schemeClr w14:val="tx1"/>
                  </w14:solidFill>
                </w14:textFill>
              </w:rPr>
              <w:t>8</w:t>
            </w:r>
            <w:r>
              <w:rPr>
                <w:rFonts w:ascii="Times New Roman" w:hAnsi="Times New Roman"/>
                <w:color w:val="000000" w:themeColor="text1"/>
                <w:sz w:val="24"/>
                <w:highlight w:val="none"/>
                <w14:textFill>
                  <w14:solidFill>
                    <w14:schemeClr w14:val="tx1"/>
                  </w14:solidFill>
                </w14:textFill>
              </w:rPr>
              <w:t>个倍频带声压级合成，计算出预测点的</w:t>
            </w:r>
            <w:r>
              <w:rPr>
                <w:rFonts w:ascii="Times New Roman" w:hAnsi="Times New Roman" w:eastAsia="Times New Roman"/>
                <w:color w:val="000000" w:themeColor="text1"/>
                <w:sz w:val="24"/>
                <w:highlight w:val="none"/>
                <w14:textFill>
                  <w14:solidFill>
                    <w14:schemeClr w14:val="tx1"/>
                  </w14:solidFill>
                </w14:textFill>
              </w:rPr>
              <w:t>A</w:t>
            </w:r>
            <w:r>
              <w:rPr>
                <w:rFonts w:ascii="Times New Roman" w:hAnsi="Times New Roman"/>
                <w:color w:val="000000" w:themeColor="text1"/>
                <w:sz w:val="24"/>
                <w:highlight w:val="none"/>
                <w14:textFill>
                  <w14:solidFill>
                    <w14:schemeClr w14:val="tx1"/>
                  </w14:solidFill>
                </w14:textFill>
              </w:rPr>
              <w:t>声级</w:t>
            </w:r>
            <w:r>
              <w:rPr>
                <w:rFonts w:ascii="Times New Roman" w:hAnsi="Times New Roman" w:eastAsia="Times New Roman"/>
                <w:color w:val="000000" w:themeColor="text1"/>
                <w:sz w:val="24"/>
                <w:highlight w:val="none"/>
                <w14:textFill>
                  <w14:solidFill>
                    <w14:schemeClr w14:val="tx1"/>
                  </w14:solidFill>
                </w14:textFill>
              </w:rPr>
              <w:t>[</w:t>
            </w:r>
            <w:r>
              <w:rPr>
                <w:rFonts w:ascii="Times New Roman" w:hAnsi="Times New Roman" w:eastAsia="Times New Roman"/>
                <w:i/>
                <w:color w:val="000000" w:themeColor="text1"/>
                <w:sz w:val="24"/>
                <w:highlight w:val="none"/>
                <w14:textFill>
                  <w14:solidFill>
                    <w14:schemeClr w14:val="tx1"/>
                  </w14:solidFill>
                </w14:textFill>
              </w:rPr>
              <w:t>L</w:t>
            </w:r>
            <w:r>
              <w:rPr>
                <w:rFonts w:ascii="Times New Roman" w:hAnsi="Times New Roman" w:eastAsia="Times New Roman"/>
                <w:color w:val="000000" w:themeColor="text1"/>
                <w:sz w:val="24"/>
                <w:highlight w:val="none"/>
                <w:vertAlign w:val="subscript"/>
                <w14:textFill>
                  <w14:solidFill>
                    <w14:schemeClr w14:val="tx1"/>
                  </w14:solidFill>
                </w14:textFill>
              </w:rPr>
              <w:t>A</w:t>
            </w:r>
            <w:r>
              <w:rPr>
                <w:rFonts w:ascii="Times New Roman" w:hAnsi="Times New Roman" w:eastAsia="Times New Roman"/>
                <w:color w:val="000000" w:themeColor="text1"/>
                <w:sz w:val="24"/>
                <w:highlight w:val="none"/>
                <w14:textFill>
                  <w14:solidFill>
                    <w14:schemeClr w14:val="tx1"/>
                  </w14:solidFill>
                </w14:textFill>
              </w:rPr>
              <w:t>(</w:t>
            </w:r>
            <w:r>
              <w:rPr>
                <w:rFonts w:ascii="Times New Roman" w:hAnsi="Times New Roman" w:eastAsia="Times New Roman"/>
                <w:i/>
                <w:color w:val="000000" w:themeColor="text1"/>
                <w:sz w:val="24"/>
                <w:highlight w:val="none"/>
                <w14:textFill>
                  <w14:solidFill>
                    <w14:schemeClr w14:val="tx1"/>
                  </w14:solidFill>
                </w14:textFill>
              </w:rPr>
              <w:t>r</w:t>
            </w:r>
            <w:r>
              <w:rPr>
                <w:rFonts w:ascii="Times New Roman" w:hAnsi="Times New Roman" w:eastAsia="Times New Roman"/>
                <w:color w:val="000000" w:themeColor="text1"/>
                <w:sz w:val="24"/>
                <w:highlight w:val="none"/>
                <w14:textFill>
                  <w14:solidFill>
                    <w14:schemeClr w14:val="tx1"/>
                  </w14:solidFill>
                </w14:textFill>
              </w:rPr>
              <w:t>)]</w:t>
            </w:r>
            <w:r>
              <w:rPr>
                <w:rFonts w:ascii="Times New Roman" w:hAnsi="Times New Roman"/>
                <w:color w:val="000000" w:themeColor="text1"/>
                <w:sz w:val="24"/>
                <w:highlight w:val="none"/>
                <w14:textFill>
                  <w14:solidFill>
                    <w14:schemeClr w14:val="tx1"/>
                  </w14:solidFill>
                </w14:textFill>
              </w:rPr>
              <w:t>。</w:t>
            </w:r>
          </w:p>
          <w:p w14:paraId="7E2D9028">
            <w:pPr>
              <w:spacing w:line="360" w:lineRule="auto"/>
              <w:ind w:firstLine="1778" w:firstLineChars="738"/>
              <w:rPr>
                <w:rFonts w:ascii="Times New Roman" w:hAnsi="Times New Roman"/>
                <w:b/>
                <w:color w:val="000000" w:themeColor="text1"/>
                <w:sz w:val="24"/>
                <w:highlight w:val="none"/>
                <w14:textFill>
                  <w14:solidFill>
                    <w14:schemeClr w14:val="tx1"/>
                  </w14:solidFill>
                </w14:textFill>
              </w:rPr>
            </w:pPr>
            <w:r>
              <w:rPr>
                <w:rFonts w:ascii="Times New Roman" w:hAnsi="Times New Roman"/>
                <w:b/>
                <w:color w:val="000000" w:themeColor="text1"/>
                <w:sz w:val="24"/>
                <w:highlight w:val="none"/>
                <w14:textFill>
                  <w14:solidFill>
                    <w14:schemeClr w14:val="tx1"/>
                  </w14:solidFill>
                </w14:textFill>
              </w:rPr>
              <w:drawing>
                <wp:inline distT="0" distB="0" distL="114300" distR="114300">
                  <wp:extent cx="1934210" cy="419735"/>
                  <wp:effectExtent l="0" t="0" r="8890" b="18415"/>
                  <wp:docPr id="5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6"/>
                          <pic:cNvPicPr>
                            <a:picLocks noChangeAspect="1"/>
                          </pic:cNvPicPr>
                        </pic:nvPicPr>
                        <pic:blipFill>
                          <a:blip r:embed="rId25"/>
                          <a:stretch>
                            <a:fillRect/>
                          </a:stretch>
                        </pic:blipFill>
                        <pic:spPr>
                          <a:xfrm>
                            <a:off x="0" y="0"/>
                            <a:ext cx="1934210" cy="419735"/>
                          </a:xfrm>
                          <a:prstGeom prst="rect">
                            <a:avLst/>
                          </a:prstGeom>
                          <a:noFill/>
                          <a:ln>
                            <a:noFill/>
                          </a:ln>
                        </pic:spPr>
                      </pic:pic>
                    </a:graphicData>
                  </a:graphic>
                </wp:inline>
              </w:drawing>
            </w:r>
            <w:r>
              <w:rPr>
                <w:rFonts w:ascii="Times New Roman" w:hAnsi="Times New Roman"/>
                <w:b/>
                <w:color w:val="000000" w:themeColor="text1"/>
                <w:sz w:val="24"/>
                <w:highlight w:val="none"/>
                <w14:textFill>
                  <w14:solidFill>
                    <w14:schemeClr w14:val="tx1"/>
                  </w14:solidFill>
                </w14:textFill>
              </w:rPr>
              <w:t xml:space="preserve">                       </w:t>
            </w:r>
          </w:p>
          <w:p w14:paraId="60CC4398">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式中：</w:t>
            </w:r>
          </w:p>
          <w:p w14:paraId="245F33C0">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LA(r)—距声源r处的A声级，dB(A)；</w:t>
            </w:r>
          </w:p>
          <w:p w14:paraId="0829AC4E">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Lpi(r)—预测点(r)处，第i倍频带声压级，dB；</w:t>
            </w:r>
          </w:p>
          <w:p w14:paraId="71D37B6F">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△Li—i倍频带A计算网络修正值，dB(根据导则附录B计算)。</w:t>
            </w:r>
          </w:p>
          <w:p w14:paraId="47B777F2">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衰减项计算按导则附录A中A.3相关模式计算。</w:t>
            </w:r>
          </w:p>
          <w:p w14:paraId="18DC8553">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3）噪声贡献值计算</w:t>
            </w:r>
          </w:p>
          <w:p w14:paraId="33E22B5E">
            <w:pPr>
              <w:adjustRightInd w:val="0"/>
              <w:snapToGrid w:val="0"/>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设第i个室外声源在预测点产生的A声级为L</w:t>
            </w:r>
            <w:r>
              <w:rPr>
                <w:rFonts w:ascii="Times New Roman" w:hAnsi="Times New Roman"/>
                <w:color w:val="000000" w:themeColor="text1"/>
                <w:sz w:val="24"/>
                <w:highlight w:val="none"/>
                <w:vertAlign w:val="subscript"/>
                <w14:textFill>
                  <w14:solidFill>
                    <w14:schemeClr w14:val="tx1"/>
                  </w14:solidFill>
                </w14:textFill>
              </w:rPr>
              <w:t>Ai</w:t>
            </w:r>
            <w:r>
              <w:rPr>
                <w:rFonts w:ascii="Times New Roman" w:hAnsi="Times New Roman"/>
                <w:color w:val="000000" w:themeColor="text1"/>
                <w:sz w:val="24"/>
                <w:highlight w:val="none"/>
                <w14:textFill>
                  <w14:solidFill>
                    <w14:schemeClr w14:val="tx1"/>
                  </w14:solidFill>
                </w14:textFill>
              </w:rPr>
              <w:t>，在T时间内该声源工作时间为t</w:t>
            </w:r>
            <w:r>
              <w:rPr>
                <w:rFonts w:ascii="Times New Roman" w:hAnsi="Times New Roman"/>
                <w:color w:val="000000" w:themeColor="text1"/>
                <w:sz w:val="24"/>
                <w:highlight w:val="none"/>
                <w:vertAlign w:val="subscript"/>
                <w14:textFill>
                  <w14:solidFill>
                    <w14:schemeClr w14:val="tx1"/>
                  </w14:solidFill>
                </w14:textFill>
              </w:rPr>
              <w:t>i</w:t>
            </w:r>
            <w:r>
              <w:rPr>
                <w:rFonts w:ascii="Times New Roman" w:hAnsi="Times New Roman"/>
                <w:color w:val="000000" w:themeColor="text1"/>
                <w:sz w:val="24"/>
                <w:highlight w:val="none"/>
                <w14:textFill>
                  <w14:solidFill>
                    <w14:schemeClr w14:val="tx1"/>
                  </w14:solidFill>
                </w14:textFill>
              </w:rPr>
              <w:t>；第j个等效室外声源在预测点产生的A声级为L</w:t>
            </w:r>
            <w:r>
              <w:rPr>
                <w:rFonts w:ascii="Times New Roman" w:hAnsi="Times New Roman"/>
                <w:color w:val="000000" w:themeColor="text1"/>
                <w:sz w:val="24"/>
                <w:highlight w:val="none"/>
                <w:vertAlign w:val="subscript"/>
                <w14:textFill>
                  <w14:solidFill>
                    <w14:schemeClr w14:val="tx1"/>
                  </w14:solidFill>
                </w14:textFill>
              </w:rPr>
              <w:t>Aj</w:t>
            </w:r>
            <w:r>
              <w:rPr>
                <w:rFonts w:ascii="Times New Roman" w:hAnsi="Times New Roman"/>
                <w:color w:val="000000" w:themeColor="text1"/>
                <w:sz w:val="24"/>
                <w:highlight w:val="none"/>
                <w14:textFill>
                  <w14:solidFill>
                    <w14:schemeClr w14:val="tx1"/>
                  </w14:solidFill>
                </w14:textFill>
              </w:rPr>
              <w:t>，在T时间内该声源工作时间为t</w:t>
            </w:r>
            <w:r>
              <w:rPr>
                <w:rFonts w:ascii="Times New Roman" w:hAnsi="Times New Roman"/>
                <w:color w:val="000000" w:themeColor="text1"/>
                <w:sz w:val="24"/>
                <w:highlight w:val="none"/>
                <w:vertAlign w:val="subscript"/>
                <w14:textFill>
                  <w14:solidFill>
                    <w14:schemeClr w14:val="tx1"/>
                  </w14:solidFill>
                </w14:textFill>
              </w:rPr>
              <w:t xml:space="preserve"> j</w:t>
            </w:r>
            <w:r>
              <w:rPr>
                <w:rFonts w:ascii="Times New Roman" w:hAnsi="Times New Roman"/>
                <w:color w:val="000000" w:themeColor="text1"/>
                <w:sz w:val="24"/>
                <w:highlight w:val="none"/>
                <w14:textFill>
                  <w14:solidFill>
                    <w14:schemeClr w14:val="tx1"/>
                  </w14:solidFill>
                </w14:textFill>
              </w:rPr>
              <w:t>，则拟建工程声源对预测点产生的贡献值(Leqg)为：</w:t>
            </w:r>
          </w:p>
          <w:p w14:paraId="7485E4F8">
            <w:pPr>
              <w:spacing w:line="360" w:lineRule="auto"/>
              <w:ind w:firstLine="555"/>
              <w:jc w:val="center"/>
              <w:rPr>
                <w:rFonts w:ascii="Times New Roman" w:hAnsi="Times New Roman"/>
                <w:color w:val="000000" w:themeColor="text1"/>
                <w:szCs w:val="28"/>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drawing>
                <wp:inline distT="0" distB="0" distL="114300" distR="114300">
                  <wp:extent cx="2372995" cy="485775"/>
                  <wp:effectExtent l="0" t="0" r="8255" b="9525"/>
                  <wp:docPr id="5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7"/>
                          <pic:cNvPicPr>
                            <a:picLocks noChangeAspect="1"/>
                          </pic:cNvPicPr>
                        </pic:nvPicPr>
                        <pic:blipFill>
                          <a:blip r:embed="rId26"/>
                          <a:stretch>
                            <a:fillRect/>
                          </a:stretch>
                        </pic:blipFill>
                        <pic:spPr>
                          <a:xfrm>
                            <a:off x="0" y="0"/>
                            <a:ext cx="2372995" cy="485775"/>
                          </a:xfrm>
                          <a:prstGeom prst="rect">
                            <a:avLst/>
                          </a:prstGeom>
                          <a:noFill/>
                          <a:ln>
                            <a:noFill/>
                          </a:ln>
                        </pic:spPr>
                      </pic:pic>
                    </a:graphicData>
                  </a:graphic>
                </wp:inline>
              </w:drawing>
            </w:r>
            <w:r>
              <w:rPr>
                <w:rFonts w:ascii="Times New Roman" w:hAnsi="Times New Roman"/>
                <w:color w:val="000000" w:themeColor="text1"/>
                <w:szCs w:val="28"/>
                <w:highlight w:val="none"/>
                <w14:textFill>
                  <w14:solidFill>
                    <w14:schemeClr w14:val="tx1"/>
                  </w14:solidFill>
                </w14:textFill>
              </w:rPr>
              <w:t xml:space="preserve">  </w:t>
            </w:r>
          </w:p>
          <w:p w14:paraId="028B37A7">
            <w:pPr>
              <w:spacing w:line="360" w:lineRule="auto"/>
              <w:ind w:firstLine="480" w:firstLineChars="20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 xml:space="preserve">式中：Leqg——建设项目声源在预测点产生的噪声贡献值，dB(A)； </w:t>
            </w:r>
          </w:p>
          <w:p w14:paraId="7B714E50">
            <w:pPr>
              <w:spacing w:line="360" w:lineRule="auto"/>
              <w:ind w:firstLine="1200" w:firstLineChars="50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 xml:space="preserve">T——用于计算等效声级的时间，s； </w:t>
            </w:r>
          </w:p>
          <w:p w14:paraId="37B6D506">
            <w:pPr>
              <w:spacing w:line="360" w:lineRule="auto"/>
              <w:ind w:firstLine="1200" w:firstLineChars="50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 xml:space="preserve">N——室外声源个数； </w:t>
            </w:r>
          </w:p>
          <w:p w14:paraId="63D4293E">
            <w:pPr>
              <w:spacing w:line="360" w:lineRule="auto"/>
              <w:ind w:firstLine="1200" w:firstLineChars="50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t</w:t>
            </w:r>
            <w:r>
              <w:rPr>
                <w:rFonts w:ascii="Times New Roman" w:hAnsi="Times New Roman"/>
                <w:color w:val="000000" w:themeColor="text1"/>
                <w:sz w:val="24"/>
                <w:highlight w:val="none"/>
                <w:vertAlign w:val="subscript"/>
                <w14:textFill>
                  <w14:solidFill>
                    <w14:schemeClr w14:val="tx1"/>
                  </w14:solidFill>
                </w14:textFill>
              </w:rPr>
              <w:t>i</w:t>
            </w:r>
            <w:r>
              <w:rPr>
                <w:rFonts w:ascii="Times New Roman" w:hAnsi="Times New Roman"/>
                <w:color w:val="000000" w:themeColor="text1"/>
                <w:sz w:val="24"/>
                <w:highlight w:val="none"/>
                <w14:textFill>
                  <w14:solidFill>
                    <w14:schemeClr w14:val="tx1"/>
                  </w14:solidFill>
                </w14:textFill>
              </w:rPr>
              <w:t xml:space="preserve">——在T时间内i声源工作时间，s； </w:t>
            </w:r>
          </w:p>
          <w:p w14:paraId="13D32241">
            <w:pPr>
              <w:spacing w:line="360" w:lineRule="auto"/>
              <w:ind w:firstLine="1200" w:firstLineChars="50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 xml:space="preserve">M——等效室外声源个数； </w:t>
            </w:r>
          </w:p>
          <w:p w14:paraId="1D6835F9">
            <w:pPr>
              <w:spacing w:line="360" w:lineRule="auto"/>
              <w:ind w:firstLine="1200" w:firstLineChars="50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t</w:t>
            </w:r>
            <w:r>
              <w:rPr>
                <w:rFonts w:ascii="Times New Roman" w:hAnsi="Times New Roman"/>
                <w:color w:val="000000" w:themeColor="text1"/>
                <w:sz w:val="24"/>
                <w:highlight w:val="none"/>
                <w:vertAlign w:val="subscript"/>
                <w14:textFill>
                  <w14:solidFill>
                    <w14:schemeClr w14:val="tx1"/>
                  </w14:solidFill>
                </w14:textFill>
              </w:rPr>
              <w:t xml:space="preserve">j </w:t>
            </w:r>
            <w:r>
              <w:rPr>
                <w:rFonts w:ascii="Times New Roman" w:hAnsi="Times New Roman"/>
                <w:color w:val="000000" w:themeColor="text1"/>
                <w:sz w:val="24"/>
                <w:highlight w:val="none"/>
                <w14:textFill>
                  <w14:solidFill>
                    <w14:schemeClr w14:val="tx1"/>
                  </w14:solidFill>
                </w14:textFill>
              </w:rPr>
              <w:t>——在T时间内j声源工作时间，s。</w:t>
            </w:r>
          </w:p>
          <w:p w14:paraId="62EED683">
            <w:pPr>
              <w:spacing w:line="360" w:lineRule="auto"/>
              <w:ind w:firstLine="480" w:firstLineChars="20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4）噪声预测值计算</w:t>
            </w:r>
          </w:p>
          <w:p w14:paraId="191D5AFF">
            <w:pPr>
              <w:spacing w:line="360" w:lineRule="auto"/>
              <w:ind w:firstLine="480" w:firstLineChars="20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预测点的贡献值和背景值按能量叠加方法计算得到的声级，计算公式：</w:t>
            </w:r>
          </w:p>
          <w:p w14:paraId="583406DD">
            <w:pPr>
              <w:spacing w:line="360" w:lineRule="auto"/>
              <w:ind w:firstLine="1680" w:firstLineChars="70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drawing>
                <wp:inline distT="0" distB="0" distL="114300" distR="114300">
                  <wp:extent cx="1903730" cy="304800"/>
                  <wp:effectExtent l="0" t="0" r="1270" b="0"/>
                  <wp:docPr id="5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8"/>
                          <pic:cNvPicPr>
                            <a:picLocks noChangeAspect="1"/>
                          </pic:cNvPicPr>
                        </pic:nvPicPr>
                        <pic:blipFill>
                          <a:blip r:embed="rId27"/>
                          <a:stretch>
                            <a:fillRect/>
                          </a:stretch>
                        </pic:blipFill>
                        <pic:spPr>
                          <a:xfrm>
                            <a:off x="0" y="0"/>
                            <a:ext cx="1903730" cy="304800"/>
                          </a:xfrm>
                          <a:prstGeom prst="rect">
                            <a:avLst/>
                          </a:prstGeom>
                          <a:noFill/>
                          <a:ln>
                            <a:noFill/>
                          </a:ln>
                        </pic:spPr>
                      </pic:pic>
                    </a:graphicData>
                  </a:graphic>
                </wp:inline>
              </w:drawing>
            </w:r>
            <w:r>
              <w:rPr>
                <w:rFonts w:ascii="Times New Roman" w:hAnsi="Times New Roman"/>
                <w:color w:val="000000" w:themeColor="text1"/>
                <w:sz w:val="24"/>
                <w:highlight w:val="none"/>
                <w14:textFill>
                  <w14:solidFill>
                    <w14:schemeClr w14:val="tx1"/>
                  </w14:solidFill>
                </w14:textFill>
              </w:rPr>
              <w:t xml:space="preserve">            (2)</w:t>
            </w:r>
          </w:p>
          <w:p w14:paraId="59BF08CD">
            <w:pPr>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式中：</w:t>
            </w:r>
          </w:p>
          <w:p w14:paraId="75F49862">
            <w:pPr>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Leq—预测点的噪声预测值，dB；</w:t>
            </w:r>
          </w:p>
          <w:p w14:paraId="7EA06170">
            <w:pPr>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Leqg—建设项目声源在预测点产生的噪声贡献值，dB；</w:t>
            </w:r>
          </w:p>
          <w:p w14:paraId="363FC3F5">
            <w:pPr>
              <w:spacing w:line="360" w:lineRule="auto"/>
              <w:ind w:firstLine="48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Leqb—预测点的背景噪声值，dB。</w:t>
            </w:r>
          </w:p>
          <w:p w14:paraId="01015F24">
            <w:pPr>
              <w:snapToGrid w:val="0"/>
              <w:spacing w:line="360" w:lineRule="auto"/>
              <w:ind w:right="11" w:firstLine="480" w:firstLineChars="20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5）隔声量的确定</w:t>
            </w:r>
          </w:p>
          <w:p w14:paraId="3BF64326">
            <w:pPr>
              <w:pStyle w:val="66"/>
              <w:ind w:firstLine="420"/>
              <w:rPr>
                <w:rFonts w:ascii="宋体" w:hAnsi="宋体"/>
                <w:color w:val="000000" w:themeColor="text1"/>
                <w:sz w:val="24"/>
                <w:szCs w:val="32"/>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项目主要噪声设备设置于车间内，设备噪声经墙体隔声，设备基础减振后，可削减15dB(A)以上。</w:t>
            </w:r>
          </w:p>
          <w:p w14:paraId="4B51DE9B">
            <w:pPr>
              <w:pStyle w:val="66"/>
              <w:ind w:firstLine="420"/>
              <w:rPr>
                <w:color w:val="000000" w:themeColor="text1"/>
                <w:sz w:val="24"/>
                <w:szCs w:val="32"/>
                <w:highlight w:val="none"/>
                <w14:textFill>
                  <w14:solidFill>
                    <w14:schemeClr w14:val="tx1"/>
                  </w14:solidFill>
                </w14:textFill>
              </w:rPr>
            </w:pPr>
            <w:r>
              <w:rPr>
                <w:rFonts w:ascii="宋体" w:hAnsi="宋体"/>
                <w:color w:val="000000" w:themeColor="text1"/>
                <w:sz w:val="24"/>
                <w:szCs w:val="32"/>
                <w:highlight w:val="none"/>
                <w14:textFill>
                  <w14:solidFill>
                    <w14:schemeClr w14:val="tx1"/>
                  </w14:solidFill>
                </w14:textFill>
              </w:rPr>
              <w:t>（</w:t>
            </w:r>
            <w:r>
              <w:rPr>
                <w:color w:val="000000" w:themeColor="text1"/>
                <w:sz w:val="24"/>
                <w:szCs w:val="32"/>
                <w:highlight w:val="none"/>
                <w14:textFill>
                  <w14:solidFill>
                    <w14:schemeClr w14:val="tx1"/>
                  </w14:solidFill>
                </w14:textFill>
              </w:rPr>
              <w:t>3</w:t>
            </w:r>
            <w:r>
              <w:rPr>
                <w:rFonts w:ascii="宋体" w:hAnsi="宋体"/>
                <w:color w:val="000000" w:themeColor="text1"/>
                <w:sz w:val="24"/>
                <w:szCs w:val="32"/>
                <w:highlight w:val="none"/>
                <w14:textFill>
                  <w14:solidFill>
                    <w14:schemeClr w14:val="tx1"/>
                  </w14:solidFill>
                </w14:textFill>
              </w:rPr>
              <w:t>）预测结果</w:t>
            </w:r>
          </w:p>
          <w:p w14:paraId="7A094D65">
            <w:pPr>
              <w:pStyle w:val="66"/>
              <w:ind w:firstLine="420"/>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pPr>
            <w:r>
              <w:rPr>
                <w:rFonts w:ascii="宋体" w:hAnsi="宋体"/>
                <w:color w:val="000000" w:themeColor="text1"/>
                <w:sz w:val="24"/>
                <w:szCs w:val="32"/>
                <w:highlight w:val="none"/>
                <w14:textFill>
                  <w14:solidFill>
                    <w14:schemeClr w14:val="tx1"/>
                  </w14:solidFill>
                </w14:textFill>
              </w:rPr>
              <w:t>工程运行后，厂界噪声预测结果见下表。工程营运期厂界昼间噪声贡献值不超过</w:t>
            </w:r>
            <w:r>
              <w:rPr>
                <w:color w:val="000000" w:themeColor="text1"/>
                <w:sz w:val="24"/>
                <w:szCs w:val="32"/>
                <w:highlight w:val="none"/>
                <w14:textFill>
                  <w14:solidFill>
                    <w14:schemeClr w14:val="tx1"/>
                  </w14:solidFill>
                </w14:textFill>
              </w:rPr>
              <w:t>65dB</w:t>
            </w:r>
            <w:r>
              <w:rPr>
                <w:rFonts w:ascii="宋体" w:hAnsi="宋体"/>
                <w:color w:val="000000" w:themeColor="text1"/>
                <w:sz w:val="24"/>
                <w:szCs w:val="32"/>
                <w:highlight w:val="none"/>
                <w14:textFill>
                  <w14:solidFill>
                    <w14:schemeClr w14:val="tx1"/>
                  </w14:solidFill>
                </w14:textFill>
              </w:rPr>
              <w:t>，夜间厂界的贡献值不超过</w:t>
            </w:r>
            <w:r>
              <w:rPr>
                <w:color w:val="000000" w:themeColor="text1"/>
                <w:sz w:val="24"/>
                <w:szCs w:val="32"/>
                <w:highlight w:val="none"/>
                <w14:textFill>
                  <w14:solidFill>
                    <w14:schemeClr w14:val="tx1"/>
                  </w14:solidFill>
                </w14:textFill>
              </w:rPr>
              <w:t>55dB</w:t>
            </w:r>
            <w:r>
              <w:rPr>
                <w:rFonts w:ascii="宋体" w:hAnsi="宋体"/>
                <w:color w:val="000000" w:themeColor="text1"/>
                <w:sz w:val="24"/>
                <w:szCs w:val="32"/>
                <w:highlight w:val="none"/>
                <w14:textFill>
                  <w14:solidFill>
                    <w14:schemeClr w14:val="tx1"/>
                  </w14:solidFill>
                </w14:textFill>
              </w:rPr>
              <w:t>，符合《工业企业厂界环境噪声排放标准》</w:t>
            </w:r>
            <w:r>
              <w:rPr>
                <w:rFonts w:hint="eastAsia" w:ascii="宋体" w:hAnsi="宋体"/>
                <w:color w:val="000000" w:themeColor="text1"/>
                <w:sz w:val="24"/>
                <w:szCs w:val="32"/>
                <w:highlight w:val="none"/>
                <w14:textFill>
                  <w14:solidFill>
                    <w14:schemeClr w14:val="tx1"/>
                  </w14:solidFill>
                </w14:textFill>
              </w:rPr>
              <w:t>（</w:t>
            </w:r>
            <w:r>
              <w:rPr>
                <w:color w:val="000000" w:themeColor="text1"/>
                <w:sz w:val="24"/>
                <w:szCs w:val="32"/>
                <w:highlight w:val="none"/>
                <w14:textFill>
                  <w14:solidFill>
                    <w14:schemeClr w14:val="tx1"/>
                  </w14:solidFill>
                </w14:textFill>
              </w:rPr>
              <w:t>GB12348-2008</w:t>
            </w:r>
            <w:r>
              <w:rPr>
                <w:rFonts w:hint="eastAsia" w:ascii="宋体" w:hAnsi="宋体"/>
                <w:color w:val="000000" w:themeColor="text1"/>
                <w:sz w:val="24"/>
                <w:szCs w:val="32"/>
                <w:highlight w:val="none"/>
                <w14:textFill>
                  <w14:solidFill>
                    <w14:schemeClr w14:val="tx1"/>
                  </w14:solidFill>
                </w14:textFill>
              </w:rPr>
              <w:t>）</w:t>
            </w:r>
            <w:r>
              <w:rPr>
                <w:rFonts w:ascii="宋体" w:hAnsi="宋体"/>
                <w:color w:val="000000" w:themeColor="text1"/>
                <w:sz w:val="24"/>
                <w:szCs w:val="32"/>
                <w:highlight w:val="none"/>
                <w14:textFill>
                  <w14:solidFill>
                    <w14:schemeClr w14:val="tx1"/>
                  </w14:solidFill>
                </w14:textFill>
              </w:rPr>
              <w:t>规定的</w:t>
            </w:r>
            <w:r>
              <w:rPr>
                <w:color w:val="000000" w:themeColor="text1"/>
                <w:sz w:val="24"/>
                <w:szCs w:val="32"/>
                <w:highlight w:val="none"/>
                <w14:textFill>
                  <w14:solidFill>
                    <w14:schemeClr w14:val="tx1"/>
                  </w14:solidFill>
                </w14:textFill>
              </w:rPr>
              <w:t>3</w:t>
            </w:r>
            <w:r>
              <w:rPr>
                <w:rFonts w:ascii="宋体" w:hAnsi="宋体"/>
                <w:color w:val="000000" w:themeColor="text1"/>
                <w:sz w:val="24"/>
                <w:szCs w:val="32"/>
                <w:highlight w:val="none"/>
                <w14:textFill>
                  <w14:solidFill>
                    <w14:schemeClr w14:val="tx1"/>
                  </w14:solidFill>
                </w14:textFill>
              </w:rPr>
              <w:t>类要求。</w:t>
            </w:r>
          </w:p>
          <w:p w14:paraId="1EE7698A">
            <w:pPr>
              <w:pStyle w:val="69"/>
              <w:spacing w:line="360" w:lineRule="auto"/>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表 4</w:t>
            </w:r>
            <w:r>
              <w:rPr>
                <w:rFonts w:hint="eastAsia" w:eastAsia="宋体" w:cs="宋体"/>
                <w:b/>
                <w:color w:val="000000" w:themeColor="text1"/>
                <w:kern w:val="2"/>
                <w:sz w:val="24"/>
                <w:szCs w:val="24"/>
                <w:highlight w:val="none"/>
                <w:lang w:val="en-US" w:eastAsia="zh-CN" w:bidi="ar-SA"/>
                <w14:textFill>
                  <w14:solidFill>
                    <w14:schemeClr w14:val="tx1"/>
                  </w14:solidFill>
                </w14:textFill>
              </w:rPr>
              <w:t>.3</w:t>
            </w: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w:t>
            </w:r>
            <w:r>
              <w:rPr>
                <w:rFonts w:hint="eastAsia" w:eastAsia="宋体" w:cs="宋体"/>
                <w:b/>
                <w:color w:val="000000" w:themeColor="text1"/>
                <w:kern w:val="2"/>
                <w:sz w:val="24"/>
                <w:szCs w:val="24"/>
                <w:highlight w:val="none"/>
                <w:lang w:val="en-US" w:eastAsia="zh-CN" w:bidi="ar-SA"/>
                <w14:textFill>
                  <w14:solidFill>
                    <w14:schemeClr w14:val="tx1"/>
                  </w14:solidFill>
                </w14:textFill>
              </w:rPr>
              <w:t>2</w:t>
            </w: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 xml:space="preserve">  环境噪声预测结果  单位：dB</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2"/>
              <w:gridCol w:w="856"/>
              <w:gridCol w:w="856"/>
              <w:gridCol w:w="1003"/>
              <w:gridCol w:w="1004"/>
              <w:gridCol w:w="946"/>
              <w:gridCol w:w="954"/>
            </w:tblGrid>
            <w:tr w14:paraId="3A63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0" w:type="pct"/>
                  <w:vMerge w:val="restart"/>
                  <w:tcBorders>
                    <w:top w:val="single" w:color="auto" w:sz="4" w:space="0"/>
                    <w:left w:val="single" w:color="auto" w:sz="4" w:space="0"/>
                    <w:bottom w:val="single" w:color="auto" w:sz="4" w:space="0"/>
                    <w:right w:val="single" w:color="auto" w:sz="4" w:space="0"/>
                  </w:tcBorders>
                  <w:vAlign w:val="center"/>
                </w:tcPr>
                <w:p w14:paraId="5A73F073">
                  <w:pPr>
                    <w:pStyle w:val="70"/>
                    <w:rPr>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厂界声环境预测</w:t>
                  </w:r>
                  <w:r>
                    <w:rPr>
                      <w:rFonts w:hint="eastAsia" w:ascii="宋体" w:hAnsi="宋体"/>
                      <w:color w:val="000000" w:themeColor="text1"/>
                      <w:sz w:val="21"/>
                      <w:szCs w:val="21"/>
                      <w:highlight w:val="none"/>
                      <w14:textFill>
                        <w14:solidFill>
                          <w14:schemeClr w14:val="tx1"/>
                        </w14:solidFill>
                      </w14:textFill>
                    </w:rPr>
                    <w:t>区域</w:t>
                  </w:r>
                </w:p>
              </w:tc>
              <w:tc>
                <w:tcPr>
                  <w:tcW w:w="1054" w:type="pct"/>
                  <w:gridSpan w:val="2"/>
                  <w:tcBorders>
                    <w:top w:val="single" w:color="auto" w:sz="4" w:space="0"/>
                    <w:left w:val="single" w:color="auto" w:sz="4" w:space="0"/>
                    <w:bottom w:val="single" w:color="auto" w:sz="4" w:space="0"/>
                    <w:right w:val="single" w:color="auto" w:sz="4" w:space="0"/>
                  </w:tcBorders>
                  <w:vAlign w:val="center"/>
                </w:tcPr>
                <w:p w14:paraId="4D92C185">
                  <w:pPr>
                    <w:pStyle w:val="70"/>
                    <w:rPr>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执行标准</w:t>
                  </w:r>
                </w:p>
              </w:tc>
              <w:tc>
                <w:tcPr>
                  <w:tcW w:w="1235" w:type="pct"/>
                  <w:gridSpan w:val="2"/>
                  <w:tcBorders>
                    <w:top w:val="single" w:color="auto" w:sz="4" w:space="0"/>
                    <w:left w:val="single" w:color="auto" w:sz="4" w:space="0"/>
                    <w:bottom w:val="single" w:color="auto" w:sz="4" w:space="0"/>
                    <w:right w:val="single" w:color="auto" w:sz="4" w:space="0"/>
                  </w:tcBorders>
                  <w:vAlign w:val="center"/>
                </w:tcPr>
                <w:p w14:paraId="256BDA5B">
                  <w:pPr>
                    <w:pStyle w:val="70"/>
                    <w:rPr>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拟建工程贡献</w:t>
                  </w:r>
                  <w:r>
                    <w:rPr>
                      <w:rFonts w:ascii="宋体" w:hAnsi="宋体"/>
                      <w:color w:val="000000" w:themeColor="text1"/>
                      <w:sz w:val="21"/>
                      <w:szCs w:val="21"/>
                      <w:highlight w:val="none"/>
                      <w14:textFill>
                        <w14:solidFill>
                          <w14:schemeClr w14:val="tx1"/>
                        </w14:solidFill>
                      </w14:textFill>
                    </w:rPr>
                    <w:t>预测值</w:t>
                  </w:r>
                </w:p>
              </w:tc>
              <w:tc>
                <w:tcPr>
                  <w:tcW w:w="1169" w:type="pct"/>
                  <w:gridSpan w:val="2"/>
                  <w:tcBorders>
                    <w:top w:val="single" w:color="auto" w:sz="4" w:space="0"/>
                    <w:left w:val="single" w:color="auto" w:sz="4" w:space="0"/>
                    <w:bottom w:val="single" w:color="auto" w:sz="4" w:space="0"/>
                    <w:right w:val="single" w:color="auto" w:sz="4" w:space="0"/>
                  </w:tcBorders>
                  <w:vAlign w:val="center"/>
                </w:tcPr>
                <w:p w14:paraId="6DEB1F05">
                  <w:pPr>
                    <w:pStyle w:val="70"/>
                    <w:rPr>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达标情况</w:t>
                  </w:r>
                </w:p>
              </w:tc>
            </w:tr>
            <w:tr w14:paraId="5D337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0" w:type="pct"/>
                  <w:vMerge w:val="continue"/>
                  <w:tcBorders>
                    <w:top w:val="single" w:color="auto" w:sz="4" w:space="0"/>
                    <w:left w:val="single" w:color="auto" w:sz="4" w:space="0"/>
                    <w:bottom w:val="single" w:color="auto" w:sz="4" w:space="0"/>
                    <w:right w:val="single" w:color="auto" w:sz="4" w:space="0"/>
                  </w:tcBorders>
                  <w:vAlign w:val="center"/>
                </w:tcPr>
                <w:p w14:paraId="428BF2F4">
                  <w:pPr>
                    <w:widowControl/>
                    <w:jc w:val="left"/>
                    <w:rPr>
                      <w:color w:val="000000" w:themeColor="text1"/>
                      <w:sz w:val="21"/>
                      <w:szCs w:val="21"/>
                      <w:highlight w:val="none"/>
                      <w14:textFill>
                        <w14:solidFill>
                          <w14:schemeClr w14:val="tx1"/>
                        </w14:solidFill>
                      </w14:textFill>
                    </w:rPr>
                  </w:pPr>
                </w:p>
              </w:tc>
              <w:tc>
                <w:tcPr>
                  <w:tcW w:w="527" w:type="pct"/>
                  <w:tcBorders>
                    <w:top w:val="single" w:color="auto" w:sz="4" w:space="0"/>
                    <w:left w:val="single" w:color="auto" w:sz="4" w:space="0"/>
                    <w:bottom w:val="single" w:color="auto" w:sz="4" w:space="0"/>
                    <w:right w:val="single" w:color="auto" w:sz="4" w:space="0"/>
                  </w:tcBorders>
                  <w:vAlign w:val="center"/>
                </w:tcPr>
                <w:p w14:paraId="0FF12D8E">
                  <w:pPr>
                    <w:pStyle w:val="70"/>
                    <w:rPr>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昼间</w:t>
                  </w:r>
                </w:p>
              </w:tc>
              <w:tc>
                <w:tcPr>
                  <w:tcW w:w="527" w:type="pct"/>
                  <w:tcBorders>
                    <w:top w:val="single" w:color="auto" w:sz="4" w:space="0"/>
                    <w:left w:val="single" w:color="auto" w:sz="4" w:space="0"/>
                    <w:bottom w:val="single" w:color="auto" w:sz="4" w:space="0"/>
                    <w:right w:val="single" w:color="auto" w:sz="4" w:space="0"/>
                  </w:tcBorders>
                  <w:vAlign w:val="center"/>
                </w:tcPr>
                <w:p w14:paraId="3E7F90DB">
                  <w:pPr>
                    <w:pStyle w:val="70"/>
                    <w:rPr>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夜间</w:t>
                  </w:r>
                </w:p>
              </w:tc>
              <w:tc>
                <w:tcPr>
                  <w:tcW w:w="617" w:type="pct"/>
                  <w:tcBorders>
                    <w:top w:val="single" w:color="auto" w:sz="4" w:space="0"/>
                    <w:left w:val="single" w:color="auto" w:sz="4" w:space="0"/>
                    <w:bottom w:val="single" w:color="auto" w:sz="4" w:space="0"/>
                    <w:right w:val="single" w:color="auto" w:sz="4" w:space="0"/>
                  </w:tcBorders>
                  <w:vAlign w:val="center"/>
                </w:tcPr>
                <w:p w14:paraId="51A44B63">
                  <w:pPr>
                    <w:pStyle w:val="70"/>
                    <w:rPr>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昼间</w:t>
                  </w:r>
                </w:p>
              </w:tc>
              <w:tc>
                <w:tcPr>
                  <w:tcW w:w="618" w:type="pct"/>
                  <w:tcBorders>
                    <w:top w:val="single" w:color="auto" w:sz="4" w:space="0"/>
                    <w:left w:val="single" w:color="auto" w:sz="4" w:space="0"/>
                    <w:bottom w:val="single" w:color="auto" w:sz="4" w:space="0"/>
                    <w:right w:val="single" w:color="auto" w:sz="4" w:space="0"/>
                  </w:tcBorders>
                  <w:vAlign w:val="center"/>
                </w:tcPr>
                <w:p w14:paraId="2FD0684B">
                  <w:pPr>
                    <w:pStyle w:val="70"/>
                    <w:rPr>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夜间</w:t>
                  </w:r>
                </w:p>
              </w:tc>
              <w:tc>
                <w:tcPr>
                  <w:tcW w:w="582" w:type="pct"/>
                  <w:tcBorders>
                    <w:top w:val="single" w:color="auto" w:sz="4" w:space="0"/>
                    <w:left w:val="single" w:color="auto" w:sz="4" w:space="0"/>
                    <w:bottom w:val="single" w:color="auto" w:sz="4" w:space="0"/>
                    <w:right w:val="single" w:color="auto" w:sz="4" w:space="0"/>
                  </w:tcBorders>
                  <w:vAlign w:val="center"/>
                </w:tcPr>
                <w:p w14:paraId="00D0947C">
                  <w:pPr>
                    <w:pStyle w:val="70"/>
                    <w:rPr>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昼间</w:t>
                  </w:r>
                </w:p>
              </w:tc>
              <w:tc>
                <w:tcPr>
                  <w:tcW w:w="587" w:type="pct"/>
                  <w:tcBorders>
                    <w:top w:val="single" w:color="auto" w:sz="4" w:space="0"/>
                    <w:left w:val="single" w:color="auto" w:sz="4" w:space="0"/>
                    <w:bottom w:val="single" w:color="auto" w:sz="4" w:space="0"/>
                    <w:right w:val="single" w:color="auto" w:sz="4" w:space="0"/>
                  </w:tcBorders>
                  <w:vAlign w:val="center"/>
                </w:tcPr>
                <w:p w14:paraId="21D4F302">
                  <w:pPr>
                    <w:pStyle w:val="70"/>
                    <w:rPr>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夜间</w:t>
                  </w:r>
                </w:p>
              </w:tc>
            </w:tr>
            <w:tr w14:paraId="4597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0" w:type="pct"/>
                  <w:tcBorders>
                    <w:top w:val="single" w:color="auto" w:sz="4" w:space="0"/>
                    <w:left w:val="single" w:color="auto" w:sz="4" w:space="0"/>
                    <w:bottom w:val="single" w:color="auto" w:sz="4" w:space="0"/>
                    <w:right w:val="single" w:color="auto" w:sz="4" w:space="0"/>
                  </w:tcBorders>
                  <w:vAlign w:val="center"/>
                </w:tcPr>
                <w:p w14:paraId="6E437738">
                  <w:pPr>
                    <w:pStyle w:val="70"/>
                    <w:rPr>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北侧厂界</w:t>
                  </w:r>
                </w:p>
              </w:tc>
              <w:tc>
                <w:tcPr>
                  <w:tcW w:w="527" w:type="pct"/>
                  <w:vMerge w:val="restart"/>
                  <w:tcBorders>
                    <w:top w:val="nil"/>
                    <w:left w:val="single" w:color="auto" w:sz="4" w:space="0"/>
                    <w:bottom w:val="single" w:color="auto" w:sz="4" w:space="0"/>
                    <w:right w:val="single" w:color="auto" w:sz="4" w:space="0"/>
                  </w:tcBorders>
                  <w:vAlign w:val="center"/>
                </w:tcPr>
                <w:p w14:paraId="09691A3D">
                  <w:pPr>
                    <w:pStyle w:val="70"/>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65</w:t>
                  </w:r>
                </w:p>
              </w:tc>
              <w:tc>
                <w:tcPr>
                  <w:tcW w:w="527" w:type="pct"/>
                  <w:vMerge w:val="restart"/>
                  <w:tcBorders>
                    <w:top w:val="nil"/>
                    <w:left w:val="single" w:color="auto" w:sz="4" w:space="0"/>
                    <w:bottom w:val="single" w:color="auto" w:sz="4" w:space="0"/>
                    <w:right w:val="single" w:color="auto" w:sz="4" w:space="0"/>
                  </w:tcBorders>
                  <w:vAlign w:val="center"/>
                </w:tcPr>
                <w:p w14:paraId="79BBAD68">
                  <w:pPr>
                    <w:pStyle w:val="70"/>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55</w:t>
                  </w:r>
                </w:p>
              </w:tc>
              <w:tc>
                <w:tcPr>
                  <w:tcW w:w="617" w:type="pct"/>
                  <w:tcBorders>
                    <w:top w:val="single" w:color="auto" w:sz="4" w:space="0"/>
                    <w:left w:val="single" w:color="auto" w:sz="4" w:space="0"/>
                    <w:bottom w:val="single" w:color="auto" w:sz="4" w:space="0"/>
                    <w:right w:val="single" w:color="auto" w:sz="4" w:space="0"/>
                  </w:tcBorders>
                  <w:vAlign w:val="bottom"/>
                </w:tcPr>
                <w:p w14:paraId="52977E8F">
                  <w:pPr>
                    <w:pStyle w:val="7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35.2</w:t>
                  </w:r>
                </w:p>
              </w:tc>
              <w:tc>
                <w:tcPr>
                  <w:tcW w:w="618" w:type="pct"/>
                  <w:tcBorders>
                    <w:top w:val="single" w:color="auto" w:sz="4" w:space="0"/>
                    <w:left w:val="single" w:color="auto" w:sz="4" w:space="0"/>
                    <w:bottom w:val="single" w:color="auto" w:sz="4" w:space="0"/>
                    <w:right w:val="single" w:color="auto" w:sz="4" w:space="0"/>
                  </w:tcBorders>
                  <w:vAlign w:val="bottom"/>
                </w:tcPr>
                <w:p w14:paraId="5377A940">
                  <w:pPr>
                    <w:pStyle w:val="70"/>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35.2</w:t>
                  </w:r>
                  <w:r>
                    <w:rPr>
                      <w:color w:val="000000" w:themeColor="text1"/>
                      <w:sz w:val="21"/>
                      <w:szCs w:val="21"/>
                      <w:highlight w:val="none"/>
                      <w14:textFill>
                        <w14:solidFill>
                          <w14:schemeClr w14:val="tx1"/>
                        </w14:solidFill>
                      </w14:textFill>
                    </w:rPr>
                    <w:t xml:space="preserve"> </w:t>
                  </w:r>
                </w:p>
              </w:tc>
              <w:tc>
                <w:tcPr>
                  <w:tcW w:w="582" w:type="pct"/>
                  <w:tcBorders>
                    <w:top w:val="single" w:color="auto" w:sz="4" w:space="0"/>
                    <w:left w:val="single" w:color="auto" w:sz="4" w:space="0"/>
                    <w:bottom w:val="single" w:color="auto" w:sz="4" w:space="0"/>
                    <w:right w:val="single" w:color="auto" w:sz="4" w:space="0"/>
                  </w:tcBorders>
                  <w:vAlign w:val="center"/>
                </w:tcPr>
                <w:p w14:paraId="3AB773E8">
                  <w:pPr>
                    <w:pStyle w:val="70"/>
                    <w:rPr>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达标</w:t>
                  </w:r>
                </w:p>
              </w:tc>
              <w:tc>
                <w:tcPr>
                  <w:tcW w:w="587" w:type="pct"/>
                  <w:tcBorders>
                    <w:top w:val="single" w:color="auto" w:sz="4" w:space="0"/>
                    <w:left w:val="single" w:color="auto" w:sz="4" w:space="0"/>
                    <w:bottom w:val="single" w:color="auto" w:sz="4" w:space="0"/>
                    <w:right w:val="single" w:color="auto" w:sz="4" w:space="0"/>
                  </w:tcBorders>
                  <w:vAlign w:val="center"/>
                </w:tcPr>
                <w:p w14:paraId="2DAA4FAC">
                  <w:pPr>
                    <w:pStyle w:val="70"/>
                    <w:rPr>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达标</w:t>
                  </w:r>
                </w:p>
              </w:tc>
            </w:tr>
            <w:tr w14:paraId="6D5AB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0" w:type="pct"/>
                  <w:tcBorders>
                    <w:top w:val="single" w:color="auto" w:sz="4" w:space="0"/>
                    <w:left w:val="single" w:color="auto" w:sz="4" w:space="0"/>
                    <w:bottom w:val="single" w:color="auto" w:sz="4" w:space="0"/>
                    <w:right w:val="single" w:color="auto" w:sz="4" w:space="0"/>
                  </w:tcBorders>
                  <w:vAlign w:val="center"/>
                </w:tcPr>
                <w:p w14:paraId="43C2F8E2">
                  <w:pPr>
                    <w:pStyle w:val="70"/>
                    <w:rPr>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西侧厂界</w:t>
                  </w:r>
                </w:p>
              </w:tc>
              <w:tc>
                <w:tcPr>
                  <w:tcW w:w="527" w:type="pct"/>
                  <w:vMerge w:val="continue"/>
                  <w:tcBorders>
                    <w:top w:val="nil"/>
                    <w:left w:val="single" w:color="auto" w:sz="4" w:space="0"/>
                    <w:bottom w:val="single" w:color="auto" w:sz="4" w:space="0"/>
                    <w:right w:val="single" w:color="auto" w:sz="4" w:space="0"/>
                  </w:tcBorders>
                  <w:vAlign w:val="center"/>
                </w:tcPr>
                <w:p w14:paraId="20675241">
                  <w:pPr>
                    <w:widowControl/>
                    <w:jc w:val="left"/>
                    <w:rPr>
                      <w:color w:val="000000" w:themeColor="text1"/>
                      <w:sz w:val="21"/>
                      <w:szCs w:val="21"/>
                      <w:highlight w:val="none"/>
                      <w14:textFill>
                        <w14:solidFill>
                          <w14:schemeClr w14:val="tx1"/>
                        </w14:solidFill>
                      </w14:textFill>
                    </w:rPr>
                  </w:pPr>
                </w:p>
              </w:tc>
              <w:tc>
                <w:tcPr>
                  <w:tcW w:w="527" w:type="pct"/>
                  <w:vMerge w:val="continue"/>
                  <w:tcBorders>
                    <w:top w:val="nil"/>
                    <w:left w:val="single" w:color="auto" w:sz="4" w:space="0"/>
                    <w:bottom w:val="single" w:color="auto" w:sz="4" w:space="0"/>
                    <w:right w:val="single" w:color="auto" w:sz="4" w:space="0"/>
                  </w:tcBorders>
                  <w:vAlign w:val="center"/>
                </w:tcPr>
                <w:p w14:paraId="4427FA77">
                  <w:pPr>
                    <w:widowControl/>
                    <w:jc w:val="left"/>
                    <w:rPr>
                      <w:color w:val="000000" w:themeColor="text1"/>
                      <w:sz w:val="21"/>
                      <w:szCs w:val="21"/>
                      <w:highlight w:val="none"/>
                      <w14:textFill>
                        <w14:solidFill>
                          <w14:schemeClr w14:val="tx1"/>
                        </w14:solidFill>
                      </w14:textFill>
                    </w:rPr>
                  </w:pPr>
                </w:p>
              </w:tc>
              <w:tc>
                <w:tcPr>
                  <w:tcW w:w="617" w:type="pct"/>
                  <w:tcBorders>
                    <w:top w:val="single" w:color="auto" w:sz="4" w:space="0"/>
                    <w:left w:val="single" w:color="auto" w:sz="4" w:space="0"/>
                    <w:bottom w:val="single" w:color="auto" w:sz="4" w:space="0"/>
                    <w:right w:val="single" w:color="auto" w:sz="4" w:space="0"/>
                  </w:tcBorders>
                  <w:vAlign w:val="bottom"/>
                </w:tcPr>
                <w:p w14:paraId="66B15A9F">
                  <w:pPr>
                    <w:pStyle w:val="70"/>
                    <w:rPr>
                      <w:rFonts w:hint="default"/>
                      <w:color w:val="000000" w:themeColor="text1"/>
                      <w:sz w:val="21"/>
                      <w:szCs w:val="21"/>
                      <w:highlight w:val="none"/>
                      <w:lang w:val="en-US"/>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39.9</w:t>
                  </w:r>
                </w:p>
              </w:tc>
              <w:tc>
                <w:tcPr>
                  <w:tcW w:w="618" w:type="pct"/>
                  <w:tcBorders>
                    <w:top w:val="single" w:color="auto" w:sz="4" w:space="0"/>
                    <w:left w:val="single" w:color="auto" w:sz="4" w:space="0"/>
                    <w:bottom w:val="single" w:color="auto" w:sz="4" w:space="0"/>
                    <w:right w:val="single" w:color="auto" w:sz="4" w:space="0"/>
                  </w:tcBorders>
                  <w:shd w:val="clear" w:color="auto" w:fill="auto"/>
                  <w:vAlign w:val="bottom"/>
                </w:tcPr>
                <w:p w14:paraId="05A12C42">
                  <w:pPr>
                    <w:pStyle w:val="7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39.9</w:t>
                  </w:r>
                </w:p>
              </w:tc>
              <w:tc>
                <w:tcPr>
                  <w:tcW w:w="582" w:type="pct"/>
                  <w:tcBorders>
                    <w:top w:val="single" w:color="auto" w:sz="4" w:space="0"/>
                    <w:left w:val="single" w:color="auto" w:sz="4" w:space="0"/>
                    <w:bottom w:val="single" w:color="auto" w:sz="4" w:space="0"/>
                    <w:right w:val="single" w:color="auto" w:sz="4" w:space="0"/>
                  </w:tcBorders>
                  <w:vAlign w:val="center"/>
                </w:tcPr>
                <w:p w14:paraId="3EC62F37">
                  <w:pPr>
                    <w:pStyle w:val="70"/>
                    <w:rPr>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达标</w:t>
                  </w:r>
                </w:p>
              </w:tc>
              <w:tc>
                <w:tcPr>
                  <w:tcW w:w="587" w:type="pct"/>
                  <w:tcBorders>
                    <w:top w:val="single" w:color="auto" w:sz="4" w:space="0"/>
                    <w:left w:val="single" w:color="auto" w:sz="4" w:space="0"/>
                    <w:bottom w:val="single" w:color="auto" w:sz="4" w:space="0"/>
                    <w:right w:val="single" w:color="auto" w:sz="4" w:space="0"/>
                  </w:tcBorders>
                  <w:vAlign w:val="center"/>
                </w:tcPr>
                <w:p w14:paraId="1A9CA80F">
                  <w:pPr>
                    <w:pStyle w:val="70"/>
                    <w:rPr>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达标</w:t>
                  </w:r>
                </w:p>
              </w:tc>
            </w:tr>
            <w:tr w14:paraId="73693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0" w:type="pct"/>
                  <w:tcBorders>
                    <w:top w:val="single" w:color="auto" w:sz="4" w:space="0"/>
                    <w:left w:val="single" w:color="auto" w:sz="4" w:space="0"/>
                    <w:bottom w:val="single" w:color="auto" w:sz="4" w:space="0"/>
                    <w:right w:val="single" w:color="auto" w:sz="4" w:space="0"/>
                  </w:tcBorders>
                  <w:vAlign w:val="center"/>
                </w:tcPr>
                <w:p w14:paraId="5481DA11">
                  <w:pPr>
                    <w:pStyle w:val="70"/>
                    <w:rPr>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南</w:t>
                  </w:r>
                  <w:r>
                    <w:rPr>
                      <w:rFonts w:hint="eastAsia" w:ascii="宋体" w:hAnsi="宋体"/>
                      <w:color w:val="000000" w:themeColor="text1"/>
                      <w:sz w:val="21"/>
                      <w:szCs w:val="21"/>
                      <w:highlight w:val="none"/>
                      <w14:textFill>
                        <w14:solidFill>
                          <w14:schemeClr w14:val="tx1"/>
                        </w14:solidFill>
                      </w14:textFill>
                    </w:rPr>
                    <w:t>侧厂界</w:t>
                  </w:r>
                </w:p>
              </w:tc>
              <w:tc>
                <w:tcPr>
                  <w:tcW w:w="527" w:type="pct"/>
                  <w:vMerge w:val="continue"/>
                  <w:tcBorders>
                    <w:top w:val="nil"/>
                    <w:left w:val="single" w:color="auto" w:sz="4" w:space="0"/>
                    <w:bottom w:val="single" w:color="auto" w:sz="4" w:space="0"/>
                    <w:right w:val="single" w:color="auto" w:sz="4" w:space="0"/>
                  </w:tcBorders>
                  <w:vAlign w:val="center"/>
                </w:tcPr>
                <w:p w14:paraId="5D040A21">
                  <w:pPr>
                    <w:widowControl/>
                    <w:jc w:val="left"/>
                    <w:rPr>
                      <w:color w:val="000000" w:themeColor="text1"/>
                      <w:sz w:val="21"/>
                      <w:szCs w:val="21"/>
                      <w:highlight w:val="none"/>
                      <w14:textFill>
                        <w14:solidFill>
                          <w14:schemeClr w14:val="tx1"/>
                        </w14:solidFill>
                      </w14:textFill>
                    </w:rPr>
                  </w:pPr>
                </w:p>
              </w:tc>
              <w:tc>
                <w:tcPr>
                  <w:tcW w:w="527" w:type="pct"/>
                  <w:vMerge w:val="continue"/>
                  <w:tcBorders>
                    <w:top w:val="nil"/>
                    <w:left w:val="single" w:color="auto" w:sz="4" w:space="0"/>
                    <w:bottom w:val="single" w:color="auto" w:sz="4" w:space="0"/>
                    <w:right w:val="single" w:color="auto" w:sz="4" w:space="0"/>
                  </w:tcBorders>
                  <w:vAlign w:val="center"/>
                </w:tcPr>
                <w:p w14:paraId="422C4F9F">
                  <w:pPr>
                    <w:widowControl/>
                    <w:jc w:val="left"/>
                    <w:rPr>
                      <w:color w:val="000000" w:themeColor="text1"/>
                      <w:sz w:val="21"/>
                      <w:szCs w:val="21"/>
                      <w:highlight w:val="none"/>
                      <w14:textFill>
                        <w14:solidFill>
                          <w14:schemeClr w14:val="tx1"/>
                        </w14:solidFill>
                      </w14:textFill>
                    </w:rPr>
                  </w:pPr>
                </w:p>
              </w:tc>
              <w:tc>
                <w:tcPr>
                  <w:tcW w:w="1003" w:type="dxa"/>
                  <w:tcBorders>
                    <w:top w:val="single" w:color="auto" w:sz="4" w:space="0"/>
                    <w:left w:val="single" w:color="auto" w:sz="4" w:space="0"/>
                    <w:bottom w:val="single" w:color="auto" w:sz="4" w:space="0"/>
                    <w:right w:val="single" w:color="auto" w:sz="4" w:space="0"/>
                  </w:tcBorders>
                  <w:vAlign w:val="bottom"/>
                </w:tcPr>
                <w:p w14:paraId="5D07399A">
                  <w:pPr>
                    <w:pStyle w:val="70"/>
                    <w:rPr>
                      <w:rFonts w:hint="default"/>
                      <w:color w:val="000000" w:themeColor="text1"/>
                      <w:sz w:val="21"/>
                      <w:szCs w:val="21"/>
                      <w:highlight w:val="none"/>
                      <w:lang w:val="en-US"/>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41.0</w:t>
                  </w:r>
                </w:p>
              </w:tc>
              <w:tc>
                <w:tcPr>
                  <w:tcW w:w="1004" w:type="dxa"/>
                  <w:tcBorders>
                    <w:top w:val="single" w:color="auto" w:sz="4" w:space="0"/>
                    <w:left w:val="single" w:color="auto" w:sz="4" w:space="0"/>
                    <w:bottom w:val="single" w:color="auto" w:sz="4" w:space="0"/>
                    <w:right w:val="single" w:color="auto" w:sz="4" w:space="0"/>
                  </w:tcBorders>
                  <w:vAlign w:val="bottom"/>
                </w:tcPr>
                <w:p w14:paraId="770B1727">
                  <w:pPr>
                    <w:pStyle w:val="70"/>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41.0</w:t>
                  </w:r>
                </w:p>
              </w:tc>
              <w:tc>
                <w:tcPr>
                  <w:tcW w:w="582" w:type="pct"/>
                  <w:tcBorders>
                    <w:top w:val="single" w:color="auto" w:sz="4" w:space="0"/>
                    <w:left w:val="single" w:color="auto" w:sz="4" w:space="0"/>
                    <w:bottom w:val="single" w:color="auto" w:sz="4" w:space="0"/>
                    <w:right w:val="single" w:color="auto" w:sz="4" w:space="0"/>
                  </w:tcBorders>
                  <w:vAlign w:val="center"/>
                </w:tcPr>
                <w:p w14:paraId="49EBB6B6">
                  <w:pPr>
                    <w:pStyle w:val="70"/>
                    <w:rPr>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达标</w:t>
                  </w:r>
                </w:p>
              </w:tc>
              <w:tc>
                <w:tcPr>
                  <w:tcW w:w="587" w:type="pct"/>
                  <w:tcBorders>
                    <w:top w:val="single" w:color="auto" w:sz="4" w:space="0"/>
                    <w:left w:val="single" w:color="auto" w:sz="4" w:space="0"/>
                    <w:bottom w:val="single" w:color="auto" w:sz="4" w:space="0"/>
                    <w:right w:val="single" w:color="auto" w:sz="4" w:space="0"/>
                  </w:tcBorders>
                  <w:vAlign w:val="center"/>
                </w:tcPr>
                <w:p w14:paraId="2069ACF8">
                  <w:pPr>
                    <w:pStyle w:val="70"/>
                    <w:rPr>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达标</w:t>
                  </w:r>
                </w:p>
              </w:tc>
            </w:tr>
            <w:tr w14:paraId="5D961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540" w:type="pct"/>
                  <w:tcBorders>
                    <w:top w:val="single" w:color="auto" w:sz="4" w:space="0"/>
                    <w:left w:val="single" w:color="auto" w:sz="4" w:space="0"/>
                    <w:bottom w:val="single" w:color="auto" w:sz="4" w:space="0"/>
                    <w:right w:val="single" w:color="auto" w:sz="4" w:space="0"/>
                  </w:tcBorders>
                  <w:vAlign w:val="center"/>
                </w:tcPr>
                <w:p w14:paraId="3F644DC7">
                  <w:pPr>
                    <w:pStyle w:val="70"/>
                    <w:rPr>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东侧厂界</w:t>
                  </w:r>
                </w:p>
              </w:tc>
              <w:tc>
                <w:tcPr>
                  <w:tcW w:w="527" w:type="pct"/>
                  <w:vMerge w:val="continue"/>
                  <w:tcBorders>
                    <w:top w:val="nil"/>
                    <w:left w:val="single" w:color="auto" w:sz="4" w:space="0"/>
                    <w:bottom w:val="single" w:color="auto" w:sz="4" w:space="0"/>
                    <w:right w:val="single" w:color="auto" w:sz="4" w:space="0"/>
                  </w:tcBorders>
                  <w:vAlign w:val="center"/>
                </w:tcPr>
                <w:p w14:paraId="0F910115">
                  <w:pPr>
                    <w:widowControl/>
                    <w:jc w:val="left"/>
                    <w:rPr>
                      <w:color w:val="000000" w:themeColor="text1"/>
                      <w:sz w:val="21"/>
                      <w:szCs w:val="21"/>
                      <w:highlight w:val="none"/>
                      <w14:textFill>
                        <w14:solidFill>
                          <w14:schemeClr w14:val="tx1"/>
                        </w14:solidFill>
                      </w14:textFill>
                    </w:rPr>
                  </w:pPr>
                </w:p>
              </w:tc>
              <w:tc>
                <w:tcPr>
                  <w:tcW w:w="527" w:type="pct"/>
                  <w:vMerge w:val="continue"/>
                  <w:tcBorders>
                    <w:top w:val="nil"/>
                    <w:left w:val="single" w:color="auto" w:sz="4" w:space="0"/>
                    <w:bottom w:val="single" w:color="auto" w:sz="4" w:space="0"/>
                    <w:right w:val="single" w:color="auto" w:sz="4" w:space="0"/>
                  </w:tcBorders>
                  <w:vAlign w:val="center"/>
                </w:tcPr>
                <w:p w14:paraId="0F7DA0E0">
                  <w:pPr>
                    <w:widowControl/>
                    <w:jc w:val="left"/>
                    <w:rPr>
                      <w:color w:val="000000" w:themeColor="text1"/>
                      <w:sz w:val="21"/>
                      <w:szCs w:val="21"/>
                      <w:highlight w:val="none"/>
                      <w14:textFill>
                        <w14:solidFill>
                          <w14:schemeClr w14:val="tx1"/>
                        </w14:solidFill>
                      </w14:textFill>
                    </w:rPr>
                  </w:pPr>
                </w:p>
              </w:tc>
              <w:tc>
                <w:tcPr>
                  <w:tcW w:w="617" w:type="pct"/>
                  <w:tcBorders>
                    <w:top w:val="single" w:color="auto" w:sz="4" w:space="0"/>
                    <w:left w:val="single" w:color="auto" w:sz="4" w:space="0"/>
                    <w:bottom w:val="single" w:color="auto" w:sz="4" w:space="0"/>
                    <w:right w:val="single" w:color="auto" w:sz="4" w:space="0"/>
                  </w:tcBorders>
                  <w:vAlign w:val="bottom"/>
                </w:tcPr>
                <w:p w14:paraId="3A28386E">
                  <w:pPr>
                    <w:pStyle w:val="70"/>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34.5</w:t>
                  </w:r>
                  <w:r>
                    <w:rPr>
                      <w:color w:val="000000" w:themeColor="text1"/>
                      <w:sz w:val="21"/>
                      <w:szCs w:val="21"/>
                      <w:highlight w:val="none"/>
                      <w14:textFill>
                        <w14:solidFill>
                          <w14:schemeClr w14:val="tx1"/>
                        </w14:solidFill>
                      </w14:textFill>
                    </w:rPr>
                    <w:t xml:space="preserve"> </w:t>
                  </w:r>
                </w:p>
              </w:tc>
              <w:tc>
                <w:tcPr>
                  <w:tcW w:w="618" w:type="pct"/>
                  <w:tcBorders>
                    <w:top w:val="single" w:color="auto" w:sz="4" w:space="0"/>
                    <w:left w:val="single" w:color="auto" w:sz="4" w:space="0"/>
                    <w:bottom w:val="single" w:color="auto" w:sz="4" w:space="0"/>
                    <w:right w:val="single" w:color="auto" w:sz="4" w:space="0"/>
                  </w:tcBorders>
                  <w:vAlign w:val="bottom"/>
                </w:tcPr>
                <w:p w14:paraId="1464E042">
                  <w:pPr>
                    <w:pStyle w:val="70"/>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34.5</w:t>
                  </w:r>
                  <w:r>
                    <w:rPr>
                      <w:color w:val="000000" w:themeColor="text1"/>
                      <w:sz w:val="21"/>
                      <w:szCs w:val="21"/>
                      <w:highlight w:val="none"/>
                      <w14:textFill>
                        <w14:solidFill>
                          <w14:schemeClr w14:val="tx1"/>
                        </w14:solidFill>
                      </w14:textFill>
                    </w:rPr>
                    <w:t xml:space="preserve"> </w:t>
                  </w:r>
                </w:p>
              </w:tc>
              <w:tc>
                <w:tcPr>
                  <w:tcW w:w="582" w:type="pct"/>
                  <w:tcBorders>
                    <w:top w:val="single" w:color="auto" w:sz="4" w:space="0"/>
                    <w:left w:val="single" w:color="auto" w:sz="4" w:space="0"/>
                    <w:bottom w:val="single" w:color="auto" w:sz="4" w:space="0"/>
                    <w:right w:val="single" w:color="auto" w:sz="4" w:space="0"/>
                  </w:tcBorders>
                  <w:vAlign w:val="center"/>
                </w:tcPr>
                <w:p w14:paraId="653C911F">
                  <w:pPr>
                    <w:pStyle w:val="70"/>
                    <w:rPr>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达标</w:t>
                  </w:r>
                </w:p>
              </w:tc>
              <w:tc>
                <w:tcPr>
                  <w:tcW w:w="587" w:type="pct"/>
                  <w:tcBorders>
                    <w:top w:val="single" w:color="auto" w:sz="4" w:space="0"/>
                    <w:left w:val="single" w:color="auto" w:sz="4" w:space="0"/>
                    <w:bottom w:val="single" w:color="auto" w:sz="4" w:space="0"/>
                    <w:right w:val="single" w:color="auto" w:sz="4" w:space="0"/>
                  </w:tcBorders>
                  <w:vAlign w:val="center"/>
                </w:tcPr>
                <w:p w14:paraId="53CC65CA">
                  <w:pPr>
                    <w:pStyle w:val="70"/>
                    <w:rPr>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达标</w:t>
                  </w:r>
                </w:p>
              </w:tc>
            </w:tr>
          </w:tbl>
          <w:p w14:paraId="17817893">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3、噪声防治措施</w:t>
            </w:r>
          </w:p>
          <w:p w14:paraId="1BD8CBC4">
            <w:pPr>
              <w:pStyle w:val="66"/>
              <w:ind w:firstLine="420"/>
              <w:rPr>
                <w:color w:val="000000" w:themeColor="text1"/>
                <w:sz w:val="24"/>
                <w:szCs w:val="32"/>
                <w:highlight w:val="none"/>
                <w14:textFill>
                  <w14:solidFill>
                    <w14:schemeClr w14:val="tx1"/>
                  </w14:solidFill>
                </w14:textFill>
              </w:rPr>
            </w:pPr>
            <w:r>
              <w:rPr>
                <w:color w:val="000000" w:themeColor="text1"/>
                <w:sz w:val="24"/>
                <w:szCs w:val="32"/>
                <w:highlight w:val="none"/>
                <w14:textFill>
                  <w14:solidFill>
                    <w14:schemeClr w14:val="tx1"/>
                  </w14:solidFill>
                </w14:textFill>
              </w:rPr>
              <w:t>（1）设备选型：生产设施在设计中，应要求设计单位按照《工业企业噪声控制设计规范》规范要求，尽量选用技术先进、性能质量良好、同类成品中声级较低的设备，从源头上控制噪声源。</w:t>
            </w:r>
          </w:p>
          <w:p w14:paraId="25394F0A">
            <w:pPr>
              <w:pStyle w:val="66"/>
              <w:ind w:firstLine="420"/>
              <w:rPr>
                <w:color w:val="000000" w:themeColor="text1"/>
                <w:sz w:val="24"/>
                <w:szCs w:val="32"/>
                <w:highlight w:val="none"/>
                <w14:textFill>
                  <w14:solidFill>
                    <w14:schemeClr w14:val="tx1"/>
                  </w14:solidFill>
                </w14:textFill>
              </w:rPr>
            </w:pPr>
            <w:r>
              <w:rPr>
                <w:color w:val="000000" w:themeColor="text1"/>
                <w:sz w:val="24"/>
                <w:szCs w:val="32"/>
                <w:highlight w:val="none"/>
                <w14:textFill>
                  <w14:solidFill>
                    <w14:schemeClr w14:val="tx1"/>
                  </w14:solidFill>
                </w14:textFill>
              </w:rPr>
              <w:t>（2）合理布局：在平面布局时，应尽量将高噪声级设备布置远离厂界。</w:t>
            </w:r>
          </w:p>
          <w:p w14:paraId="3CE6AC3F">
            <w:pPr>
              <w:pStyle w:val="66"/>
              <w:ind w:firstLine="420"/>
              <w:rPr>
                <w:color w:val="000000" w:themeColor="text1"/>
                <w:sz w:val="24"/>
                <w:szCs w:val="32"/>
                <w:highlight w:val="none"/>
                <w14:textFill>
                  <w14:solidFill>
                    <w14:schemeClr w14:val="tx1"/>
                  </w14:solidFill>
                </w14:textFill>
              </w:rPr>
            </w:pPr>
            <w:r>
              <w:rPr>
                <w:color w:val="000000" w:themeColor="text1"/>
                <w:sz w:val="24"/>
                <w:szCs w:val="32"/>
                <w:highlight w:val="none"/>
                <w14:textFill>
                  <w14:solidFill>
                    <w14:schemeClr w14:val="tx1"/>
                  </w14:solidFill>
                </w14:textFill>
              </w:rPr>
              <w:t>（3）利用厂房隔声：</w:t>
            </w:r>
            <w:r>
              <w:rPr>
                <w:rFonts w:hint="eastAsia"/>
                <w:color w:val="000000" w:themeColor="text1"/>
                <w:sz w:val="24"/>
                <w:szCs w:val="32"/>
                <w:highlight w:val="none"/>
                <w:lang w:val="en-US" w:eastAsia="zh-CN"/>
                <w14:textFill>
                  <w14:solidFill>
                    <w14:schemeClr w14:val="tx1"/>
                  </w14:solidFill>
                </w14:textFill>
              </w:rPr>
              <w:t>本项目</w:t>
            </w:r>
            <w:r>
              <w:rPr>
                <w:color w:val="000000" w:themeColor="text1"/>
                <w:sz w:val="24"/>
                <w:szCs w:val="32"/>
                <w:highlight w:val="none"/>
                <w14:textFill>
                  <w14:solidFill>
                    <w14:schemeClr w14:val="tx1"/>
                  </w14:solidFill>
                </w14:textFill>
              </w:rPr>
              <w:t>生产设施</w:t>
            </w:r>
            <w:r>
              <w:rPr>
                <w:rFonts w:hint="eastAsia"/>
                <w:color w:val="000000" w:themeColor="text1"/>
                <w:sz w:val="24"/>
                <w:szCs w:val="32"/>
                <w:highlight w:val="none"/>
                <w:lang w:val="en-US" w:eastAsia="zh-CN"/>
                <w14:textFill>
                  <w14:solidFill>
                    <w14:schemeClr w14:val="tx1"/>
                  </w14:solidFill>
                </w14:textFill>
              </w:rPr>
              <w:t>均</w:t>
            </w:r>
            <w:r>
              <w:rPr>
                <w:color w:val="000000" w:themeColor="text1"/>
                <w:sz w:val="24"/>
                <w:szCs w:val="32"/>
                <w:highlight w:val="none"/>
                <w14:textFill>
                  <w14:solidFill>
                    <w14:schemeClr w14:val="tx1"/>
                  </w14:solidFill>
                </w14:textFill>
              </w:rPr>
              <w:t>布设在厂房内，利用厂房进行隔声，避免露天布置高噪声设备，以降低噪声对厂界的影响。</w:t>
            </w:r>
          </w:p>
          <w:p w14:paraId="6C2A5D6E">
            <w:pPr>
              <w:pStyle w:val="66"/>
              <w:ind w:firstLine="420"/>
              <w:rPr>
                <w:color w:val="000000" w:themeColor="text1"/>
                <w:sz w:val="24"/>
                <w:szCs w:val="32"/>
                <w:highlight w:val="none"/>
                <w14:textFill>
                  <w14:solidFill>
                    <w14:schemeClr w14:val="tx1"/>
                  </w14:solidFill>
                </w14:textFill>
              </w:rPr>
            </w:pPr>
            <w:r>
              <w:rPr>
                <w:color w:val="000000" w:themeColor="text1"/>
                <w:sz w:val="24"/>
                <w:szCs w:val="32"/>
                <w:highlight w:val="none"/>
                <w14:textFill>
                  <w14:solidFill>
                    <w14:schemeClr w14:val="tx1"/>
                  </w14:solidFill>
                </w14:textFill>
              </w:rPr>
              <w:t>（4）防振减振措施：所有电动设备的基座应安装防振减振垫片，与动力设备连接的管道应安装软性接头，并对管道进行固定加固处理，防止因设备、管道振动引起的噪声。</w:t>
            </w:r>
          </w:p>
          <w:p w14:paraId="6C93FCFC">
            <w:pPr>
              <w:pStyle w:val="66"/>
              <w:ind w:firstLine="420"/>
              <w:rPr>
                <w:color w:val="000000" w:themeColor="text1"/>
                <w:sz w:val="24"/>
                <w:szCs w:val="32"/>
                <w:highlight w:val="none"/>
                <w14:textFill>
                  <w14:solidFill>
                    <w14:schemeClr w14:val="tx1"/>
                  </w14:solidFill>
                </w14:textFill>
              </w:rPr>
            </w:pPr>
            <w:r>
              <w:rPr>
                <w:color w:val="000000" w:themeColor="text1"/>
                <w:sz w:val="24"/>
                <w:szCs w:val="32"/>
                <w:highlight w:val="none"/>
                <w14:textFill>
                  <w14:solidFill>
                    <w14:schemeClr w14:val="tx1"/>
                  </w14:solidFill>
                </w14:textFill>
              </w:rPr>
              <w:t>（5）采取吸声消声措施：充分考虑墙体吸声效果，内侧墙面尽量采用吸声较好的材料。</w:t>
            </w:r>
          </w:p>
          <w:p w14:paraId="2F9944C5">
            <w:pPr>
              <w:pStyle w:val="66"/>
              <w:ind w:firstLine="420"/>
              <w:rPr>
                <w:color w:val="000000" w:themeColor="text1"/>
                <w:sz w:val="24"/>
                <w:szCs w:val="32"/>
                <w:highlight w:val="none"/>
                <w14:textFill>
                  <w14:solidFill>
                    <w14:schemeClr w14:val="tx1"/>
                  </w14:solidFill>
                </w14:textFill>
              </w:rPr>
            </w:pPr>
            <w:r>
              <w:rPr>
                <w:color w:val="000000" w:themeColor="text1"/>
                <w:sz w:val="24"/>
                <w:szCs w:val="32"/>
                <w:highlight w:val="none"/>
                <w14:textFill>
                  <w14:solidFill>
                    <w14:schemeClr w14:val="tx1"/>
                  </w14:solidFill>
                </w14:textFill>
              </w:rPr>
              <w:t>（6）加强动力机械设备的定期检修与维护，以减少动力机械设备故障等原因造成的振动。</w:t>
            </w:r>
          </w:p>
          <w:p w14:paraId="79A96F10">
            <w:pPr>
              <w:spacing w:line="360" w:lineRule="auto"/>
              <w:ind w:firstLine="480" w:firstLineChars="200"/>
              <w:rPr>
                <w:rFonts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4、</w:t>
            </w:r>
            <w:r>
              <w:rPr>
                <w:rFonts w:cs="宋体"/>
                <w:color w:val="000000" w:themeColor="text1"/>
                <w:sz w:val="24"/>
                <w:szCs w:val="32"/>
                <w:highlight w:val="none"/>
                <w14:textFill>
                  <w14:solidFill>
                    <w14:schemeClr w14:val="tx1"/>
                  </w14:solidFill>
                </w14:textFill>
              </w:rPr>
              <w:t>厂界噪声自行监测要求</w:t>
            </w:r>
          </w:p>
          <w:p w14:paraId="771F1DA4">
            <w:pPr>
              <w:spacing w:line="360" w:lineRule="auto"/>
              <w:ind w:firstLine="480" w:firstLineChars="200"/>
              <w:rPr>
                <w:color w:val="000000" w:themeColor="text1"/>
                <w:sz w:val="24"/>
                <w:szCs w:val="32"/>
                <w:highlight w:val="none"/>
                <w14:textFill>
                  <w14:solidFill>
                    <w14:schemeClr w14:val="tx1"/>
                  </w14:solidFill>
                </w14:textFill>
              </w:rPr>
            </w:pPr>
            <w:r>
              <w:rPr>
                <w:color w:val="000000" w:themeColor="text1"/>
                <w:sz w:val="24"/>
                <w:szCs w:val="32"/>
                <w:highlight w:val="none"/>
                <w14:textFill>
                  <w14:solidFill>
                    <w14:schemeClr w14:val="tx1"/>
                  </w14:solidFill>
                </w14:textFill>
              </w:rPr>
              <w:t>北侧、西侧、东侧</w:t>
            </w:r>
            <w:r>
              <w:rPr>
                <w:rFonts w:hint="eastAsia"/>
                <w:color w:val="000000" w:themeColor="text1"/>
                <w:sz w:val="24"/>
                <w:szCs w:val="32"/>
                <w:highlight w:val="none"/>
                <w:lang w:eastAsia="zh-CN"/>
                <w14:textFill>
                  <w14:solidFill>
                    <w14:schemeClr w14:val="tx1"/>
                  </w14:solidFill>
                </w14:textFill>
              </w:rPr>
              <w:t>、</w:t>
            </w:r>
            <w:r>
              <w:rPr>
                <w:rFonts w:hint="eastAsia"/>
                <w:color w:val="000000" w:themeColor="text1"/>
                <w:sz w:val="24"/>
                <w:szCs w:val="32"/>
                <w:highlight w:val="none"/>
                <w:lang w:val="en-US" w:eastAsia="zh-CN"/>
                <w14:textFill>
                  <w14:solidFill>
                    <w14:schemeClr w14:val="tx1"/>
                  </w14:solidFill>
                </w14:textFill>
              </w:rPr>
              <w:t>南侧</w:t>
            </w:r>
            <w:r>
              <w:rPr>
                <w:color w:val="000000" w:themeColor="text1"/>
                <w:sz w:val="24"/>
                <w:szCs w:val="32"/>
                <w:highlight w:val="none"/>
                <w14:textFill>
                  <w14:solidFill>
                    <w14:schemeClr w14:val="tx1"/>
                  </w14:solidFill>
                </w14:textFill>
              </w:rPr>
              <w:t>厂界噪声应</w:t>
            </w:r>
            <w:r>
              <w:rPr>
                <w:rFonts w:hint="eastAsia"/>
                <w:color w:val="000000" w:themeColor="text1"/>
                <w:sz w:val="24"/>
                <w:szCs w:val="32"/>
                <w:highlight w:val="none"/>
                <w14:textFill>
                  <w14:solidFill>
                    <w14:schemeClr w14:val="tx1"/>
                  </w14:solidFill>
                </w14:textFill>
              </w:rPr>
              <w:t>每</w:t>
            </w:r>
            <w:r>
              <w:rPr>
                <w:color w:val="000000" w:themeColor="text1"/>
                <w:sz w:val="24"/>
                <w:szCs w:val="32"/>
                <w:highlight w:val="none"/>
                <w14:textFill>
                  <w14:solidFill>
                    <w14:schemeClr w14:val="tx1"/>
                  </w14:solidFill>
                </w14:textFill>
              </w:rPr>
              <w:t>季度</w:t>
            </w:r>
            <w:r>
              <w:rPr>
                <w:rFonts w:hint="eastAsia"/>
                <w:color w:val="000000" w:themeColor="text1"/>
                <w:sz w:val="24"/>
                <w:szCs w:val="32"/>
                <w:highlight w:val="none"/>
                <w:lang w:eastAsia="zh-CN"/>
                <w14:textFill>
                  <w14:solidFill>
                    <w14:schemeClr w14:val="tx1"/>
                  </w14:solidFill>
                </w14:textFill>
              </w:rPr>
              <w:t>至少</w:t>
            </w:r>
            <w:r>
              <w:rPr>
                <w:color w:val="000000" w:themeColor="text1"/>
                <w:sz w:val="24"/>
                <w:szCs w:val="32"/>
                <w:highlight w:val="none"/>
                <w14:textFill>
                  <w14:solidFill>
                    <w14:schemeClr w14:val="tx1"/>
                  </w14:solidFill>
                </w14:textFill>
              </w:rPr>
              <w:t>开展一次昼夜监测，</w:t>
            </w:r>
            <w:r>
              <w:rPr>
                <w:rFonts w:hint="eastAsia"/>
                <w:color w:val="000000" w:themeColor="text1"/>
                <w:sz w:val="24"/>
                <w:szCs w:val="32"/>
                <w:highlight w:val="none"/>
                <w:lang w:val="en-US" w:eastAsia="zh-CN"/>
                <w14:textFill>
                  <w14:solidFill>
                    <w14:schemeClr w14:val="tx1"/>
                  </w14:solidFill>
                </w14:textFill>
              </w:rPr>
              <w:t>每次监测1天，</w:t>
            </w:r>
            <w:r>
              <w:rPr>
                <w:color w:val="000000" w:themeColor="text1"/>
                <w:sz w:val="24"/>
                <w:szCs w:val="32"/>
                <w:highlight w:val="none"/>
                <w14:textFill>
                  <w14:solidFill>
                    <w14:schemeClr w14:val="tx1"/>
                  </w14:solidFill>
                </w14:textFill>
              </w:rPr>
              <w:t>监测指标为等效A声级</w:t>
            </w:r>
            <w:r>
              <w:rPr>
                <w:rFonts w:hint="eastAsia"/>
                <w:color w:val="000000" w:themeColor="text1"/>
                <w:sz w:val="24"/>
                <w:szCs w:val="32"/>
                <w:highlight w:val="none"/>
                <w:lang w:eastAsia="zh-CN"/>
                <w14:textFill>
                  <w14:solidFill>
                    <w14:schemeClr w14:val="tx1"/>
                  </w14:solidFill>
                </w14:textFill>
              </w:rPr>
              <w:t>，</w:t>
            </w:r>
            <w:r>
              <w:rPr>
                <w:rFonts w:hint="eastAsia"/>
                <w:color w:val="000000" w:themeColor="text1"/>
                <w:sz w:val="24"/>
                <w:szCs w:val="32"/>
                <w:highlight w:val="none"/>
                <w:lang w:val="en-US" w:eastAsia="zh-CN"/>
                <w14:textFill>
                  <w14:solidFill>
                    <w14:schemeClr w14:val="tx1"/>
                  </w14:solidFill>
                </w14:textFill>
              </w:rPr>
              <w:t>执行《工业企业厂界环境噪声排放标准》（GB12348-2008）3类标准</w:t>
            </w:r>
            <w:r>
              <w:rPr>
                <w:color w:val="000000" w:themeColor="text1"/>
                <w:sz w:val="24"/>
                <w:szCs w:val="32"/>
                <w:highlight w:val="none"/>
                <w14:textFill>
                  <w14:solidFill>
                    <w14:schemeClr w14:val="tx1"/>
                  </w14:solidFill>
                </w14:textFill>
              </w:rPr>
              <w:t>。</w:t>
            </w:r>
          </w:p>
          <w:p w14:paraId="5ED2E206">
            <w:pPr>
              <w:pStyle w:val="37"/>
              <w:rPr>
                <w:rFonts w:hint="default" w:eastAsia="黑体"/>
                <w:color w:val="000000" w:themeColor="text1"/>
                <w:sz w:val="24"/>
                <w:szCs w:val="21"/>
                <w:highlight w:val="none"/>
                <w:lang w:val="en-US" w:eastAsia="zh-CN"/>
                <w14:textFill>
                  <w14:solidFill>
                    <w14:schemeClr w14:val="tx1"/>
                  </w14:solidFill>
                </w14:textFill>
              </w:rPr>
            </w:pPr>
            <w:r>
              <w:rPr>
                <w:color w:val="000000" w:themeColor="text1"/>
                <w:sz w:val="24"/>
                <w:szCs w:val="21"/>
                <w:highlight w:val="none"/>
                <w14:textFill>
                  <w14:solidFill>
                    <w14:schemeClr w14:val="tx1"/>
                  </w14:solidFill>
                </w14:textFill>
              </w:rPr>
              <w:t>4.</w:t>
            </w:r>
            <w:r>
              <w:rPr>
                <w:rFonts w:hint="eastAsia"/>
                <w:color w:val="000000" w:themeColor="text1"/>
                <w:sz w:val="24"/>
                <w:szCs w:val="21"/>
                <w:highlight w:val="none"/>
                <w:lang w:val="en-US" w:eastAsia="zh-CN"/>
                <w14:textFill>
                  <w14:solidFill>
                    <w14:schemeClr w14:val="tx1"/>
                  </w14:solidFill>
                </w14:textFill>
              </w:rPr>
              <w:t>4</w:t>
            </w:r>
            <w:r>
              <w:rPr>
                <w:color w:val="000000" w:themeColor="text1"/>
                <w:sz w:val="24"/>
                <w:szCs w:val="21"/>
                <w:highlight w:val="none"/>
                <w14:textFill>
                  <w14:solidFill>
                    <w14:schemeClr w14:val="tx1"/>
                  </w14:solidFill>
                </w14:textFill>
              </w:rPr>
              <w:t xml:space="preserve"> </w:t>
            </w:r>
            <w:r>
              <w:rPr>
                <w:rFonts w:hint="eastAsia"/>
                <w:color w:val="000000" w:themeColor="text1"/>
                <w:sz w:val="24"/>
                <w:szCs w:val="21"/>
                <w:highlight w:val="none"/>
                <w14:textFill>
                  <w14:solidFill>
                    <w14:schemeClr w14:val="tx1"/>
                  </w14:solidFill>
                </w14:textFill>
              </w:rPr>
              <w:t>运营期固废影响分析和</w:t>
            </w:r>
            <w:r>
              <w:rPr>
                <w:rFonts w:hint="eastAsia"/>
                <w:color w:val="000000" w:themeColor="text1"/>
                <w:sz w:val="24"/>
                <w:szCs w:val="21"/>
                <w:highlight w:val="none"/>
                <w:lang w:val="en-US" w:eastAsia="zh-CN"/>
                <w14:textFill>
                  <w14:solidFill>
                    <w14:schemeClr w14:val="tx1"/>
                  </w14:solidFill>
                </w14:textFill>
              </w:rPr>
              <w:t>环境管理要求</w:t>
            </w:r>
          </w:p>
          <w:p w14:paraId="284D7D11">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4.4.1固废产生及处置情况</w:t>
            </w:r>
          </w:p>
          <w:p w14:paraId="42C373E5">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项目产生的固体废物有工业固废和生活垃圾，其中工业固废包括危险废物和一般工业固废。</w:t>
            </w:r>
          </w:p>
          <w:p w14:paraId="6A31D1A8">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（1）一般工业固废</w:t>
            </w:r>
          </w:p>
          <w:p w14:paraId="3E1DDBCA">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生产过程中产生的一般工业固废主要有不合格产品、废包装材料、废金刚砂</w:t>
            </w:r>
            <w:r>
              <w:rPr>
                <w:rFonts w:hint="eastAsia" w:cs="宋体"/>
                <w:color w:val="000000" w:themeColor="text1"/>
                <w:sz w:val="24"/>
                <w:szCs w:val="32"/>
                <w:highlight w:val="none"/>
                <w:lang w:val="en-US" w:eastAsia="zh-CN"/>
                <w14:textFill>
                  <w14:solidFill>
                    <w14:schemeClr w14:val="tx1"/>
                  </w14:solidFill>
                </w14:textFill>
              </w:rPr>
              <w:t>等</w:t>
            </w:r>
            <w:r>
              <w:rPr>
                <w:rFonts w:hint="eastAsia" w:cs="宋体"/>
                <w:color w:val="000000" w:themeColor="text1"/>
                <w:sz w:val="24"/>
                <w:szCs w:val="32"/>
                <w:highlight w:val="none"/>
                <w:lang w:eastAsia="zh-CN"/>
                <w14:textFill>
                  <w14:solidFill>
                    <w14:schemeClr w14:val="tx1"/>
                  </w14:solidFill>
                </w14:textFill>
              </w:rPr>
              <w:t>。</w:t>
            </w:r>
          </w:p>
          <w:p w14:paraId="7CEEE80D">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①不合格品</w:t>
            </w:r>
          </w:p>
          <w:p w14:paraId="6F722E8B">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项目不合格产品产生量约为</w:t>
            </w:r>
            <w:r>
              <w:rPr>
                <w:rFonts w:hint="eastAsia" w:cs="宋体"/>
                <w:color w:val="000000" w:themeColor="text1"/>
                <w:sz w:val="24"/>
                <w:szCs w:val="32"/>
                <w:highlight w:val="none"/>
                <w:lang w:val="en-US" w:eastAsia="zh-CN"/>
                <w14:textFill>
                  <w14:solidFill>
                    <w14:schemeClr w14:val="tx1"/>
                  </w14:solidFill>
                </w14:textFill>
              </w:rPr>
              <w:t>0.6</w:t>
            </w:r>
            <w:r>
              <w:rPr>
                <w:rFonts w:hint="eastAsia" w:cs="宋体"/>
                <w:color w:val="000000" w:themeColor="text1"/>
                <w:sz w:val="24"/>
                <w:szCs w:val="32"/>
                <w:highlight w:val="none"/>
                <w:lang w:eastAsia="zh-CN"/>
                <w14:textFill>
                  <w14:solidFill>
                    <w14:schemeClr w14:val="tx1"/>
                  </w14:solidFill>
                </w14:textFill>
              </w:rPr>
              <w:t>t/a，根据《固体废物分类与代码目录》（公告2024年第4号），本项目不合格产品的废物代码为：SW17可再生类废物（900-004-S17），收集后由物资回收单位回收利用。</w:t>
            </w:r>
          </w:p>
          <w:p w14:paraId="5411C695">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②废包装材料</w:t>
            </w:r>
          </w:p>
          <w:p w14:paraId="26D2CB79">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本项目包装废弃物产生量为</w:t>
            </w:r>
            <w:r>
              <w:rPr>
                <w:rFonts w:hint="eastAsia" w:cs="宋体"/>
                <w:color w:val="000000" w:themeColor="text1"/>
                <w:sz w:val="24"/>
                <w:szCs w:val="32"/>
                <w:highlight w:val="none"/>
                <w:lang w:val="en-US" w:eastAsia="zh-CN"/>
                <w14:textFill>
                  <w14:solidFill>
                    <w14:schemeClr w14:val="tx1"/>
                  </w14:solidFill>
                </w14:textFill>
              </w:rPr>
              <w:t>0.1</w:t>
            </w:r>
            <w:r>
              <w:rPr>
                <w:rFonts w:hint="eastAsia" w:cs="宋体"/>
                <w:color w:val="000000" w:themeColor="text1"/>
                <w:sz w:val="24"/>
                <w:szCs w:val="32"/>
                <w:highlight w:val="none"/>
                <w:lang w:eastAsia="zh-CN"/>
                <w14:textFill>
                  <w14:solidFill>
                    <w14:schemeClr w14:val="tx1"/>
                  </w14:solidFill>
                </w14:textFill>
              </w:rPr>
              <w:t>t/a，根据《固体废物分类与代码目录》（公告2024年第4号），废物代码为：SW17可再生类废物（900-099-S17），收集后由物资回收单位回收利用。</w:t>
            </w:r>
          </w:p>
          <w:p w14:paraId="08245433">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③废金刚砂</w:t>
            </w:r>
          </w:p>
          <w:p w14:paraId="764535C1">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根据建设单位提供资料可知，废金刚砂产生量为</w:t>
            </w:r>
            <w:r>
              <w:rPr>
                <w:rFonts w:hint="eastAsia" w:cs="宋体"/>
                <w:color w:val="000000" w:themeColor="text1"/>
                <w:sz w:val="24"/>
                <w:szCs w:val="32"/>
                <w:highlight w:val="none"/>
                <w:lang w:val="en-US" w:eastAsia="zh-CN"/>
                <w14:textFill>
                  <w14:solidFill>
                    <w14:schemeClr w14:val="tx1"/>
                  </w14:solidFill>
                </w14:textFill>
              </w:rPr>
              <w:t>4.3</w:t>
            </w:r>
            <w:r>
              <w:rPr>
                <w:rFonts w:hint="eastAsia" w:cs="宋体"/>
                <w:color w:val="000000" w:themeColor="text1"/>
                <w:sz w:val="24"/>
                <w:szCs w:val="32"/>
                <w:highlight w:val="none"/>
                <w:lang w:eastAsia="zh-CN"/>
                <w14:textFill>
                  <w14:solidFill>
                    <w14:schemeClr w14:val="tx1"/>
                  </w14:solidFill>
                </w14:textFill>
              </w:rPr>
              <w:t>t/a，根据《固体废物分类与代码目录》（公告2024年第4号），废物代码为：SW17可再生类废物（900-099-S17），收集后由厂家回收处理。</w:t>
            </w:r>
          </w:p>
          <w:p w14:paraId="0B877F9B">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④废边角料</w:t>
            </w:r>
          </w:p>
          <w:p w14:paraId="5D33F156">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根据建设单位提供资料，废边角料产生量为</w:t>
            </w:r>
            <w:r>
              <w:rPr>
                <w:rFonts w:hint="eastAsia" w:cs="宋体"/>
                <w:color w:val="000000" w:themeColor="text1"/>
                <w:sz w:val="24"/>
                <w:szCs w:val="32"/>
                <w:highlight w:val="none"/>
                <w:lang w:val="en-US" w:eastAsia="zh-CN"/>
                <w14:textFill>
                  <w14:solidFill>
                    <w14:schemeClr w14:val="tx1"/>
                  </w14:solidFill>
                </w14:textFill>
              </w:rPr>
              <w:t>0.2</w:t>
            </w:r>
            <w:r>
              <w:rPr>
                <w:rFonts w:hint="eastAsia" w:cs="宋体"/>
                <w:color w:val="000000" w:themeColor="text1"/>
                <w:sz w:val="24"/>
                <w:szCs w:val="32"/>
                <w:highlight w:val="none"/>
                <w:lang w:eastAsia="zh-CN"/>
                <w14:textFill>
                  <w14:solidFill>
                    <w14:schemeClr w14:val="tx1"/>
                  </w14:solidFill>
                </w14:textFill>
              </w:rPr>
              <w:t>t/a，根据《固体废物分类与代码目录》（公告2024年第4号），废物代码为：SW17可再生类废物（900-099-S17），收集后由物资回收单位回收利用。</w:t>
            </w:r>
          </w:p>
          <w:p w14:paraId="2FF31374">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⑤废树脂</w:t>
            </w:r>
          </w:p>
          <w:p w14:paraId="1E2A91B1">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根据超纯水机厂家说明，超纯水机每次产生超纯水1～2t（按1t计），需要更换离子交换树脂，其重量约为5kg。根据上文计算，每年制备超纯水水量约</w:t>
            </w:r>
            <w:r>
              <w:rPr>
                <w:rFonts w:hint="eastAsia" w:cs="宋体"/>
                <w:color w:val="000000" w:themeColor="text1"/>
                <w:sz w:val="24"/>
                <w:szCs w:val="32"/>
                <w:highlight w:val="none"/>
                <w:lang w:val="en-US" w:eastAsia="zh-CN"/>
                <w14:textFill>
                  <w14:solidFill>
                    <w14:schemeClr w14:val="tx1"/>
                  </w14:solidFill>
                </w14:textFill>
              </w:rPr>
              <w:t>8400</w:t>
            </w:r>
            <w:r>
              <w:rPr>
                <w:rFonts w:hint="eastAsia" w:cs="宋体"/>
                <w:color w:val="000000" w:themeColor="text1"/>
                <w:sz w:val="24"/>
                <w:szCs w:val="32"/>
                <w:highlight w:val="none"/>
                <w:lang w:eastAsia="zh-CN"/>
                <w14:textFill>
                  <w14:solidFill>
                    <w14:schemeClr w14:val="tx1"/>
                  </w14:solidFill>
                </w14:textFill>
              </w:rPr>
              <w:t>t/a。则废离子交换树脂产生量约</w:t>
            </w:r>
            <w:r>
              <w:rPr>
                <w:rFonts w:hint="eastAsia" w:cs="宋体"/>
                <w:color w:val="000000" w:themeColor="text1"/>
                <w:sz w:val="24"/>
                <w:szCs w:val="32"/>
                <w:highlight w:val="none"/>
                <w:lang w:val="en-US" w:eastAsia="zh-CN"/>
                <w14:textFill>
                  <w14:solidFill>
                    <w14:schemeClr w14:val="tx1"/>
                  </w14:solidFill>
                </w14:textFill>
              </w:rPr>
              <w:t>42</w:t>
            </w:r>
            <w:r>
              <w:rPr>
                <w:rFonts w:hint="eastAsia" w:cs="宋体"/>
                <w:color w:val="000000" w:themeColor="text1"/>
                <w:sz w:val="24"/>
                <w:szCs w:val="32"/>
                <w:highlight w:val="none"/>
                <w:lang w:eastAsia="zh-CN"/>
                <w14:textFill>
                  <w14:solidFill>
                    <w14:schemeClr w14:val="tx1"/>
                  </w14:solidFill>
                </w14:textFill>
              </w:rPr>
              <w:t>t/a，由原厂家定期回收替换。根据《固体废物分类与代码目录》（公告2024年第4号），本项目废树脂的废物代码为：SW59其他工业固体废物（900-008-S59）。</w:t>
            </w:r>
          </w:p>
          <w:p w14:paraId="1042A72F">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ascii="宋体" w:hAnsi="宋体" w:eastAsia="宋体" w:cs="宋体"/>
                <w:color w:val="000000" w:themeColor="text1"/>
                <w:sz w:val="24"/>
                <w:szCs w:val="32"/>
                <w:highlight w:val="none"/>
                <w:lang w:eastAsia="zh-CN"/>
                <w14:textFill>
                  <w14:solidFill>
                    <w14:schemeClr w14:val="tx1"/>
                  </w14:solidFill>
                </w14:textFill>
              </w:rPr>
              <w:t>⑥</w:t>
            </w:r>
            <w:r>
              <w:rPr>
                <w:rFonts w:hint="eastAsia" w:cs="宋体"/>
                <w:color w:val="000000" w:themeColor="text1"/>
                <w:sz w:val="24"/>
                <w:szCs w:val="32"/>
                <w:highlight w:val="none"/>
                <w:lang w:val="en-US" w:eastAsia="zh-CN"/>
                <w14:textFill>
                  <w14:solidFill>
                    <w14:schemeClr w14:val="tx1"/>
                  </w14:solidFill>
                </w14:textFill>
              </w:rPr>
              <w:t>沉淀废渣</w:t>
            </w:r>
          </w:p>
          <w:p w14:paraId="1EF6A0C0">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根据建设单位提供资料可知，项目沉淀废渣产生量约为1.0t/a，根据《固体废物分类与代码目录》(公告2024年第4号)，废物代码为：SW07污泥(900-099-S07)，收集后由物资回收单位回收利用。</w:t>
            </w:r>
          </w:p>
          <w:p w14:paraId="25307F83">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本评价要求项目一般工业固废妥善分类收集后暂存于一般工业固废间内，定期出售给回收企业综合利用，一般工业固废暂存场所应符合《一般工业固体废物贮存和填埋污染控制标准》（GB18599-2020）中固废临时贮存场所的要求。</w:t>
            </w:r>
          </w:p>
          <w:p w14:paraId="62F79FAD">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（2）危险废物</w:t>
            </w:r>
          </w:p>
          <w:p w14:paraId="0B9403AC">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本项目危险废物主要为废切削液</w:t>
            </w:r>
            <w:r>
              <w:rPr>
                <w:rFonts w:hint="eastAsia" w:cs="宋体"/>
                <w:color w:val="000000" w:themeColor="text1"/>
                <w:sz w:val="24"/>
                <w:szCs w:val="32"/>
                <w:highlight w:val="none"/>
                <w:lang w:val="en-US" w:eastAsia="zh-CN"/>
                <w14:textFill>
                  <w14:solidFill>
                    <w14:schemeClr w14:val="tx1"/>
                  </w14:solidFill>
                </w14:textFill>
              </w:rPr>
              <w:t>、</w:t>
            </w:r>
            <w:r>
              <w:rPr>
                <w:rFonts w:hint="eastAsia" w:cs="宋体"/>
                <w:color w:val="000000" w:themeColor="text1"/>
                <w:sz w:val="24"/>
                <w:szCs w:val="32"/>
                <w:highlight w:val="none"/>
                <w:lang w:eastAsia="zh-CN"/>
                <w14:textFill>
                  <w14:solidFill>
                    <w14:schemeClr w14:val="tx1"/>
                  </w14:solidFill>
                </w14:textFill>
              </w:rPr>
              <w:t>废磨削液</w:t>
            </w:r>
            <w:r>
              <w:rPr>
                <w:rFonts w:hint="eastAsia" w:cs="宋体"/>
                <w:color w:val="000000" w:themeColor="text1"/>
                <w:sz w:val="24"/>
                <w:szCs w:val="32"/>
                <w:highlight w:val="none"/>
                <w:lang w:val="en-US" w:eastAsia="zh-CN"/>
                <w14:textFill>
                  <w14:solidFill>
                    <w14:schemeClr w14:val="tx1"/>
                  </w14:solidFill>
                </w14:textFill>
              </w:rPr>
              <w:t>、</w:t>
            </w:r>
            <w:r>
              <w:rPr>
                <w:rFonts w:hint="eastAsia" w:cs="宋体"/>
                <w:color w:val="000000" w:themeColor="text1"/>
                <w:sz w:val="24"/>
                <w:szCs w:val="32"/>
                <w:highlight w:val="none"/>
                <w:lang w:eastAsia="zh-CN"/>
                <w14:textFill>
                  <w14:solidFill>
                    <w14:schemeClr w14:val="tx1"/>
                  </w14:solidFill>
                </w14:textFill>
              </w:rPr>
              <w:t>废冷却液、废胶桶、废有机溶剂空瓶、废晶体、熔料炉渣、清洗废液、废活性炭、晶体废液等。</w:t>
            </w:r>
          </w:p>
          <w:p w14:paraId="287C4A4F">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①废活性炭</w:t>
            </w:r>
          </w:p>
          <w:p w14:paraId="3000BB49">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val="en-US" w:eastAsia="zh-CN"/>
                <w14:textFill>
                  <w14:solidFill>
                    <w14:schemeClr w14:val="tx1"/>
                  </w14:solidFill>
                </w14:textFill>
              </w:rPr>
              <w:t>参照《江苏省生态环境厅关于将排污单位活性炭使用更换纳入排污许可管理的通知》（苏环办〔2021〕218号），活性炭动态吸附量取值10%，即每1kg活性炭吸附0.1kg的挥发性有机物。本项目吸附的挥发性有机物的量为5.0421t/a，则需要的活性炭的量为50.421t/a（0.2017t/d）。本项目活性炭吸附装置填充量为4t，则在项目达产的情况下，约20天进行一次更换。废活性炭产生量为55.4631t/a。</w:t>
            </w:r>
          </w:p>
          <w:p w14:paraId="7F9AC473">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根据《国家危险废物名录》（2024年版），废活性炭吸附饱和物属于危险废物，废物类别为HW49其他废物，废物代码900-039-49，妥善收集后暂存于危废贮存库，委托有资质的单位进行处理。</w:t>
            </w:r>
          </w:p>
          <w:p w14:paraId="03D0354E">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②废切削液</w:t>
            </w:r>
            <w:r>
              <w:rPr>
                <w:rFonts w:hint="eastAsia" w:cs="宋体"/>
                <w:color w:val="000000" w:themeColor="text1"/>
                <w:sz w:val="24"/>
                <w:szCs w:val="32"/>
                <w:highlight w:val="none"/>
                <w:lang w:val="en-US" w:eastAsia="zh-CN"/>
                <w14:textFill>
                  <w14:solidFill>
                    <w14:schemeClr w14:val="tx1"/>
                  </w14:solidFill>
                </w14:textFill>
              </w:rPr>
              <w:t>、</w:t>
            </w:r>
            <w:r>
              <w:rPr>
                <w:rFonts w:hint="eastAsia" w:cs="宋体"/>
                <w:color w:val="000000" w:themeColor="text1"/>
                <w:sz w:val="24"/>
                <w:szCs w:val="32"/>
                <w:highlight w:val="none"/>
                <w:lang w:eastAsia="zh-CN"/>
                <w14:textFill>
                  <w14:solidFill>
                    <w14:schemeClr w14:val="tx1"/>
                  </w14:solidFill>
                </w14:textFill>
              </w:rPr>
              <w:t>磨削液</w:t>
            </w:r>
            <w:r>
              <w:rPr>
                <w:rFonts w:hint="eastAsia" w:cs="宋体"/>
                <w:color w:val="000000" w:themeColor="text1"/>
                <w:sz w:val="24"/>
                <w:szCs w:val="32"/>
                <w:highlight w:val="none"/>
                <w:lang w:val="en-US" w:eastAsia="zh-CN"/>
                <w14:textFill>
                  <w14:solidFill>
                    <w14:schemeClr w14:val="tx1"/>
                  </w14:solidFill>
                </w14:textFill>
              </w:rPr>
              <w:t>、</w:t>
            </w:r>
            <w:r>
              <w:rPr>
                <w:rFonts w:hint="eastAsia" w:cs="宋体"/>
                <w:color w:val="000000" w:themeColor="text1"/>
                <w:sz w:val="24"/>
                <w:szCs w:val="32"/>
                <w:highlight w:val="none"/>
                <w:lang w:eastAsia="zh-CN"/>
                <w14:textFill>
                  <w14:solidFill>
                    <w14:schemeClr w14:val="tx1"/>
                  </w14:solidFill>
                </w14:textFill>
              </w:rPr>
              <w:t>冷却液</w:t>
            </w:r>
          </w:p>
          <w:p w14:paraId="7E5C41C5">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根据建设单位提供资料，废切削液</w:t>
            </w:r>
            <w:r>
              <w:rPr>
                <w:rFonts w:hint="eastAsia" w:cs="宋体"/>
                <w:color w:val="000000" w:themeColor="text1"/>
                <w:sz w:val="24"/>
                <w:szCs w:val="32"/>
                <w:highlight w:val="none"/>
                <w:lang w:val="en-US" w:eastAsia="zh-CN"/>
                <w14:textFill>
                  <w14:solidFill>
                    <w14:schemeClr w14:val="tx1"/>
                  </w14:solidFill>
                </w14:textFill>
              </w:rPr>
              <w:t>、</w:t>
            </w:r>
            <w:r>
              <w:rPr>
                <w:rFonts w:hint="eastAsia" w:cs="宋体"/>
                <w:color w:val="000000" w:themeColor="text1"/>
                <w:sz w:val="24"/>
                <w:szCs w:val="32"/>
                <w:highlight w:val="none"/>
                <w:lang w:eastAsia="zh-CN"/>
                <w14:textFill>
                  <w14:solidFill>
                    <w14:schemeClr w14:val="tx1"/>
                  </w14:solidFill>
                </w14:textFill>
              </w:rPr>
              <w:t>磨削液</w:t>
            </w:r>
            <w:r>
              <w:rPr>
                <w:rFonts w:hint="eastAsia" w:cs="宋体"/>
                <w:color w:val="000000" w:themeColor="text1"/>
                <w:sz w:val="24"/>
                <w:szCs w:val="32"/>
                <w:highlight w:val="none"/>
                <w:lang w:val="en-US" w:eastAsia="zh-CN"/>
                <w14:textFill>
                  <w14:solidFill>
                    <w14:schemeClr w14:val="tx1"/>
                  </w14:solidFill>
                </w14:textFill>
              </w:rPr>
              <w:t>、</w:t>
            </w:r>
            <w:r>
              <w:rPr>
                <w:rFonts w:hint="eastAsia" w:cs="宋体"/>
                <w:color w:val="000000" w:themeColor="text1"/>
                <w:sz w:val="24"/>
                <w:szCs w:val="32"/>
                <w:highlight w:val="none"/>
                <w:lang w:eastAsia="zh-CN"/>
                <w14:textFill>
                  <w14:solidFill>
                    <w14:schemeClr w14:val="tx1"/>
                  </w14:solidFill>
                </w14:textFill>
              </w:rPr>
              <w:t>冷却液产生量为</w:t>
            </w:r>
            <w:r>
              <w:rPr>
                <w:rFonts w:hint="eastAsia" w:cs="宋体"/>
                <w:color w:val="000000" w:themeColor="text1"/>
                <w:sz w:val="24"/>
                <w:szCs w:val="32"/>
                <w:highlight w:val="none"/>
                <w:lang w:val="en-US" w:eastAsia="zh-CN"/>
                <w14:textFill>
                  <w14:solidFill>
                    <w14:schemeClr w14:val="tx1"/>
                  </w14:solidFill>
                </w14:textFill>
              </w:rPr>
              <w:t>5.8</w:t>
            </w:r>
            <w:r>
              <w:rPr>
                <w:rFonts w:hint="eastAsia" w:cs="宋体"/>
                <w:color w:val="000000" w:themeColor="text1"/>
                <w:sz w:val="24"/>
                <w:szCs w:val="32"/>
                <w:highlight w:val="none"/>
                <w:lang w:eastAsia="zh-CN"/>
                <w14:textFill>
                  <w14:solidFill>
                    <w14:schemeClr w14:val="tx1"/>
                  </w14:solidFill>
                </w14:textFill>
              </w:rPr>
              <w:t>t/a，危废类别HW09，代码900-006-09，妥善收集后暂存于危废贮存库，委托有资质的单位进行处理。</w:t>
            </w:r>
          </w:p>
          <w:p w14:paraId="3D620365">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③废胶桶</w:t>
            </w:r>
          </w:p>
          <w:p w14:paraId="7D9D656F">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项目废胶桶产生量为0.5t/a。危废类别HW49，代码900-047-49，妥善收集后暂存于危废贮存库，委托有资质的单位进行处理。</w:t>
            </w:r>
          </w:p>
          <w:p w14:paraId="1EC5EEBD">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④废有机溶剂空瓶</w:t>
            </w:r>
          </w:p>
          <w:p w14:paraId="04C54A2B">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根据建设单位提供资料，项目废有机溶剂空瓶产生量为</w:t>
            </w:r>
            <w:r>
              <w:rPr>
                <w:rFonts w:hint="eastAsia" w:cs="宋体"/>
                <w:color w:val="000000" w:themeColor="text1"/>
                <w:sz w:val="24"/>
                <w:szCs w:val="32"/>
                <w:highlight w:val="none"/>
                <w:lang w:val="en-US" w:eastAsia="zh-CN"/>
                <w14:textFill>
                  <w14:solidFill>
                    <w14:schemeClr w14:val="tx1"/>
                  </w14:solidFill>
                </w14:textFill>
              </w:rPr>
              <w:t>0.1</w:t>
            </w:r>
            <w:r>
              <w:rPr>
                <w:rFonts w:hint="eastAsia" w:cs="宋体"/>
                <w:color w:val="000000" w:themeColor="text1"/>
                <w:sz w:val="24"/>
                <w:szCs w:val="32"/>
                <w:highlight w:val="none"/>
                <w:lang w:eastAsia="zh-CN"/>
                <w14:textFill>
                  <w14:solidFill>
                    <w14:schemeClr w14:val="tx1"/>
                  </w14:solidFill>
                </w14:textFill>
              </w:rPr>
              <w:t>t/a。危废类别HW49，代码900-041-49，妥善收集后暂存于危废贮存库，委托有资质的单位进行处理。</w:t>
            </w:r>
          </w:p>
          <w:p w14:paraId="19F0F4AE">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⑤清洗废液</w:t>
            </w:r>
          </w:p>
          <w:p w14:paraId="5557681C">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项目生产过程中使用清洗剂进行清洗产生的清洗废液属于危废，产生量为</w:t>
            </w:r>
            <w:r>
              <w:rPr>
                <w:rFonts w:hint="eastAsia" w:cs="宋体"/>
                <w:color w:val="000000" w:themeColor="text1"/>
                <w:sz w:val="24"/>
                <w:szCs w:val="32"/>
                <w:highlight w:val="none"/>
                <w:lang w:val="en-US" w:eastAsia="zh-CN"/>
                <w14:textFill>
                  <w14:solidFill>
                    <w14:schemeClr w14:val="tx1"/>
                  </w14:solidFill>
                </w14:textFill>
              </w:rPr>
              <w:t>10.82</w:t>
            </w:r>
            <w:r>
              <w:rPr>
                <w:rFonts w:hint="eastAsia" w:cs="宋体"/>
                <w:color w:val="000000" w:themeColor="text1"/>
                <w:sz w:val="24"/>
                <w:szCs w:val="32"/>
                <w:highlight w:val="none"/>
                <w:lang w:eastAsia="zh-CN"/>
                <w14:textFill>
                  <w14:solidFill>
                    <w14:schemeClr w14:val="tx1"/>
                  </w14:solidFill>
                </w14:textFill>
              </w:rPr>
              <w:t>t/a，危废类别HW06，代码900-404-06，妥善收集后暂存于危废贮存库， 委托有资质的单位进行处理。</w:t>
            </w:r>
          </w:p>
          <w:p w14:paraId="2D6268A8">
            <w:pPr>
              <w:spacing w:line="360" w:lineRule="auto"/>
              <w:ind w:firstLine="480" w:firstLineChars="200"/>
              <w:rPr>
                <w:rFonts w:hint="default" w:cs="宋体"/>
                <w:color w:val="000000" w:themeColor="text1"/>
                <w:sz w:val="24"/>
                <w:szCs w:val="32"/>
                <w:highlight w:val="none"/>
                <w:lang w:val="en-US" w:eastAsia="zh-CN"/>
                <w14:textFill>
                  <w14:solidFill>
                    <w14:schemeClr w14:val="tx1"/>
                  </w14:solidFill>
                </w14:textFill>
              </w:rPr>
            </w:pPr>
            <w:r>
              <w:rPr>
                <w:rFonts w:hint="eastAsia" w:ascii="宋体" w:hAnsi="宋体" w:eastAsia="宋体" w:cs="宋体"/>
                <w:color w:val="000000" w:themeColor="text1"/>
                <w:sz w:val="24"/>
                <w:szCs w:val="32"/>
                <w:highlight w:val="none"/>
                <w:lang w:eastAsia="zh-CN"/>
                <w14:textFill>
                  <w14:solidFill>
                    <w14:schemeClr w14:val="tx1"/>
                  </w14:solidFill>
                </w14:textFill>
              </w:rPr>
              <w:t>⑥</w:t>
            </w:r>
            <w:r>
              <w:rPr>
                <w:rFonts w:hint="eastAsia"/>
                <w:color w:val="000000" w:themeColor="text1"/>
                <w:sz w:val="24"/>
                <w:szCs w:val="32"/>
                <w:highlight w:val="none"/>
                <w:lang w:val="en-US" w:eastAsia="zh-CN"/>
                <w14:textFill>
                  <w14:solidFill>
                    <w14:schemeClr w14:val="tx1"/>
                  </w14:solidFill>
                </w14:textFill>
              </w:rPr>
              <w:t>刻蚀废液</w:t>
            </w:r>
          </w:p>
          <w:p w14:paraId="0331A5F3">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金属刻蚀环节产生硝酸铈铵废液1800t/a，危废类别HW34，代码900-300-34，妥善收集后暂存于危废贮存库，委托有资质的单位进行处理。</w:t>
            </w:r>
          </w:p>
          <w:p w14:paraId="602C8661">
            <w:pPr>
              <w:spacing w:line="360" w:lineRule="auto"/>
              <w:ind w:firstLine="480" w:firstLineChars="200"/>
              <w:rPr>
                <w:rFonts w:hint="default" w:ascii="宋体" w:hAnsi="宋体" w:eastAsia="宋体" w:cs="宋体"/>
                <w:color w:val="000000" w:themeColor="text1"/>
                <w:sz w:val="24"/>
                <w:szCs w:val="32"/>
                <w:highlight w:val="none"/>
                <w:lang w:val="en-US" w:eastAsia="zh-CN"/>
                <w14:textFill>
                  <w14:solidFill>
                    <w14:schemeClr w14:val="tx1"/>
                  </w14:solidFill>
                </w14:textFill>
              </w:rPr>
            </w:pPr>
            <w:r>
              <w:rPr>
                <w:rFonts w:hint="eastAsia" w:ascii="宋体" w:hAnsi="宋体" w:eastAsia="宋体" w:cs="宋体"/>
                <w:color w:val="000000" w:themeColor="text1"/>
                <w:sz w:val="24"/>
                <w:szCs w:val="32"/>
                <w:highlight w:val="none"/>
                <w:lang w:eastAsia="zh-CN"/>
                <w14:textFill>
                  <w14:solidFill>
                    <w14:schemeClr w14:val="tx1"/>
                  </w14:solidFill>
                </w14:textFill>
              </w:rPr>
              <w:t>⑦</w:t>
            </w:r>
            <w:r>
              <w:rPr>
                <w:rFonts w:hint="eastAsia" w:ascii="宋体" w:hAnsi="宋体" w:cs="宋体"/>
                <w:color w:val="000000" w:themeColor="text1"/>
                <w:sz w:val="24"/>
                <w:szCs w:val="32"/>
                <w:highlight w:val="none"/>
                <w:lang w:val="en-US" w:eastAsia="zh-CN"/>
                <w14:textFill>
                  <w14:solidFill>
                    <w14:schemeClr w14:val="tx1"/>
                  </w14:solidFill>
                </w14:textFill>
              </w:rPr>
              <w:t>污水处理站污泥</w:t>
            </w:r>
          </w:p>
          <w:p w14:paraId="4DF49B2A">
            <w:pPr>
              <w:spacing w:line="360" w:lineRule="auto"/>
              <w:ind w:firstLine="480" w:firstLineChars="200"/>
              <w:rPr>
                <w:rFonts w:hint="default" w:ascii="宋体" w:hAnsi="宋体" w:eastAsia="宋体" w:cs="宋体"/>
                <w:color w:val="000000" w:themeColor="text1"/>
                <w:sz w:val="24"/>
                <w:szCs w:val="32"/>
                <w:highlight w:val="none"/>
                <w:lang w:val="en-US" w:eastAsia="zh-CN"/>
                <w14:textFill>
                  <w14:solidFill>
                    <w14:schemeClr w14:val="tx1"/>
                  </w14:solidFill>
                </w14:textFill>
              </w:rPr>
            </w:pPr>
            <w:r>
              <w:rPr>
                <w:rFonts w:hint="eastAsia" w:ascii="宋体" w:hAnsi="宋体" w:cs="宋体"/>
                <w:color w:val="000000" w:themeColor="text1"/>
                <w:sz w:val="24"/>
                <w:szCs w:val="32"/>
                <w:highlight w:val="none"/>
                <w:lang w:val="en-US" w:eastAsia="zh-CN"/>
                <w14:textFill>
                  <w14:solidFill>
                    <w14:schemeClr w14:val="tx1"/>
                  </w14:solidFill>
                </w14:textFill>
              </w:rPr>
              <w:t>因本项目使用氢氟酸进行刻蚀，因此本项目污水处理站污泥属于危险废物，</w:t>
            </w:r>
            <w:r>
              <w:rPr>
                <w:rFonts w:hint="eastAsia" w:cs="宋体"/>
                <w:color w:val="000000" w:themeColor="text1"/>
                <w:sz w:val="24"/>
                <w:szCs w:val="32"/>
                <w:highlight w:val="none"/>
                <w:lang w:eastAsia="zh-CN"/>
                <w14:textFill>
                  <w14:solidFill>
                    <w14:schemeClr w14:val="tx1"/>
                  </w14:solidFill>
                </w14:textFill>
              </w:rPr>
              <w:t>产生量</w:t>
            </w:r>
            <w:r>
              <w:rPr>
                <w:rFonts w:hint="eastAsia" w:cs="宋体"/>
                <w:color w:val="000000" w:themeColor="text1"/>
                <w:sz w:val="24"/>
                <w:szCs w:val="32"/>
                <w:highlight w:val="none"/>
                <w:lang w:val="en-US" w:eastAsia="zh-CN"/>
                <w14:textFill>
                  <w14:solidFill>
                    <w14:schemeClr w14:val="tx1"/>
                  </w14:solidFill>
                </w14:textFill>
              </w:rPr>
              <w:t>约</w:t>
            </w:r>
            <w:r>
              <w:rPr>
                <w:rFonts w:hint="eastAsia" w:cs="宋体"/>
                <w:color w:val="000000" w:themeColor="text1"/>
                <w:sz w:val="24"/>
                <w:szCs w:val="32"/>
                <w:highlight w:val="none"/>
                <w:lang w:eastAsia="zh-CN"/>
                <w14:textFill>
                  <w14:solidFill>
                    <w14:schemeClr w14:val="tx1"/>
                  </w14:solidFill>
                </w14:textFill>
              </w:rPr>
              <w:t>为</w:t>
            </w:r>
            <w:r>
              <w:rPr>
                <w:rFonts w:hint="eastAsia" w:cs="宋体"/>
                <w:color w:val="000000" w:themeColor="text1"/>
                <w:sz w:val="24"/>
                <w:szCs w:val="32"/>
                <w:highlight w:val="none"/>
                <w:lang w:val="en-US" w:eastAsia="zh-CN"/>
                <w14:textFill>
                  <w14:solidFill>
                    <w14:schemeClr w14:val="tx1"/>
                  </w14:solidFill>
                </w14:textFill>
              </w:rPr>
              <w:t>40</w:t>
            </w:r>
            <w:r>
              <w:rPr>
                <w:rFonts w:hint="eastAsia" w:cs="宋体"/>
                <w:color w:val="000000" w:themeColor="text1"/>
                <w:sz w:val="24"/>
                <w:szCs w:val="32"/>
                <w:highlight w:val="none"/>
                <w:lang w:eastAsia="zh-CN"/>
                <w14:textFill>
                  <w14:solidFill>
                    <w14:schemeClr w14:val="tx1"/>
                  </w14:solidFill>
                </w14:textFill>
              </w:rPr>
              <w:t>t/a，</w:t>
            </w:r>
            <w:r>
              <w:rPr>
                <w:rFonts w:hint="eastAsia"/>
                <w:color w:val="000000" w:themeColor="text1"/>
                <w:sz w:val="24"/>
                <w:szCs w:val="32"/>
                <w:highlight w:val="none"/>
                <w:lang w:val="en-US" w:eastAsia="zh-CN"/>
                <w14:textFill>
                  <w14:solidFill>
                    <w14:schemeClr w14:val="tx1"/>
                  </w14:solidFill>
                </w14:textFill>
              </w:rPr>
              <w:t>危废类别HW17，代码336-064-17，妥善收集后暂存于危废贮存库，委托有资质的单位进行处理。</w:t>
            </w:r>
          </w:p>
          <w:p w14:paraId="3D07033D">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ascii="宋体" w:hAnsi="宋体" w:eastAsia="宋体" w:cs="宋体"/>
                <w:color w:val="000000" w:themeColor="text1"/>
                <w:sz w:val="24"/>
                <w:szCs w:val="32"/>
                <w:highlight w:val="none"/>
                <w:lang w:eastAsia="zh-CN"/>
                <w14:textFill>
                  <w14:solidFill>
                    <w14:schemeClr w14:val="tx1"/>
                  </w14:solidFill>
                </w14:textFill>
              </w:rPr>
              <w:t>⑧含油</w:t>
            </w:r>
            <w:r>
              <w:rPr>
                <w:rFonts w:hint="eastAsia" w:cs="宋体"/>
                <w:color w:val="000000" w:themeColor="text1"/>
                <w:sz w:val="24"/>
                <w:szCs w:val="32"/>
                <w:highlight w:val="none"/>
                <w:lang w:eastAsia="zh-CN"/>
                <w14:textFill>
                  <w14:solidFill>
                    <w14:schemeClr w14:val="tx1"/>
                  </w14:solidFill>
                </w14:textFill>
              </w:rPr>
              <w:t>抹布</w:t>
            </w:r>
          </w:p>
          <w:p w14:paraId="4970C4CC">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设备维修及保养过程中会产生含油抹布，产生量约</w:t>
            </w:r>
            <w:r>
              <w:rPr>
                <w:rFonts w:hint="eastAsia" w:cs="宋体"/>
                <w:color w:val="000000" w:themeColor="text1"/>
                <w:sz w:val="24"/>
                <w:szCs w:val="32"/>
                <w:highlight w:val="none"/>
                <w:lang w:val="en-US" w:eastAsia="zh-CN"/>
                <w14:textFill>
                  <w14:solidFill>
                    <w14:schemeClr w14:val="tx1"/>
                  </w14:solidFill>
                </w14:textFill>
              </w:rPr>
              <w:t>0.01</w:t>
            </w:r>
            <w:r>
              <w:rPr>
                <w:rFonts w:hint="eastAsia" w:cs="宋体"/>
                <w:color w:val="000000" w:themeColor="text1"/>
                <w:sz w:val="24"/>
                <w:szCs w:val="32"/>
                <w:highlight w:val="none"/>
                <w:lang w:eastAsia="zh-CN"/>
                <w14:textFill>
                  <w14:solidFill>
                    <w14:schemeClr w14:val="tx1"/>
                  </w14:solidFill>
                </w14:textFill>
              </w:rPr>
              <w:t>t/a。对照《国家危险废物名录（2025年版）》，类别为HW49，代码900-041-49，妥善收集后暂存于危废贮存库，委托有资质的单位进行处理。</w:t>
            </w:r>
          </w:p>
          <w:p w14:paraId="45272397">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综上，本评价要求将项目产生的危险废物收集后暂存于危险废物贮存库内， 定期委托有资质单位统一处置，危险废物贮存库按照《危险废物贮存污染控制标准》（GB18597-2023）要求进行建设，具备防风、防雨、防晒、防渗漏等要求。</w:t>
            </w:r>
          </w:p>
          <w:p w14:paraId="707CAE74">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（3）生活垃圾</w:t>
            </w:r>
          </w:p>
          <w:p w14:paraId="4273CFED">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生活垃圾主要来源于项目职工日常生活中产生的垃圾，项目新增职工人数共</w:t>
            </w:r>
            <w:r>
              <w:rPr>
                <w:rFonts w:hint="eastAsia" w:cs="宋体"/>
                <w:color w:val="000000" w:themeColor="text1"/>
                <w:sz w:val="24"/>
                <w:szCs w:val="32"/>
                <w:highlight w:val="none"/>
                <w:lang w:val="en-US" w:eastAsia="zh-CN"/>
                <w14:textFill>
                  <w14:solidFill>
                    <w14:schemeClr w14:val="tx1"/>
                  </w14:solidFill>
                </w14:textFill>
              </w:rPr>
              <w:t>150</w:t>
            </w:r>
            <w:r>
              <w:rPr>
                <w:rFonts w:hint="eastAsia" w:cs="宋体"/>
                <w:color w:val="000000" w:themeColor="text1"/>
                <w:sz w:val="24"/>
                <w:szCs w:val="32"/>
                <w:highlight w:val="none"/>
                <w:lang w:eastAsia="zh-CN"/>
                <w14:textFill>
                  <w14:solidFill>
                    <w14:schemeClr w14:val="tx1"/>
                  </w14:solidFill>
                </w14:textFill>
              </w:rPr>
              <w:t>人，均不在厂区内食宿，职工生活垃圾排放量按0.5kg/人·天计，则生活垃圾产生量为</w:t>
            </w:r>
            <w:r>
              <w:rPr>
                <w:rFonts w:hint="eastAsia" w:cs="宋体"/>
                <w:color w:val="000000" w:themeColor="text1"/>
                <w:sz w:val="24"/>
                <w:szCs w:val="32"/>
                <w:highlight w:val="none"/>
                <w:lang w:val="en-US" w:eastAsia="zh-CN"/>
                <w14:textFill>
                  <w14:solidFill>
                    <w14:schemeClr w14:val="tx1"/>
                  </w14:solidFill>
                </w14:textFill>
              </w:rPr>
              <w:t>75</w:t>
            </w:r>
            <w:r>
              <w:rPr>
                <w:rFonts w:hint="eastAsia" w:cs="宋体"/>
                <w:color w:val="000000" w:themeColor="text1"/>
                <w:sz w:val="24"/>
                <w:szCs w:val="32"/>
                <w:highlight w:val="none"/>
                <w:lang w:eastAsia="zh-CN"/>
                <w14:textFill>
                  <w14:solidFill>
                    <w14:schemeClr w14:val="tx1"/>
                  </w14:solidFill>
                </w14:textFill>
              </w:rPr>
              <w:t>kg/d，年产生量约为</w:t>
            </w:r>
            <w:r>
              <w:rPr>
                <w:rFonts w:hint="eastAsia" w:cs="宋体"/>
                <w:color w:val="000000" w:themeColor="text1"/>
                <w:sz w:val="24"/>
                <w:szCs w:val="32"/>
                <w:highlight w:val="none"/>
                <w:lang w:val="en-US" w:eastAsia="zh-CN"/>
                <w14:textFill>
                  <w14:solidFill>
                    <w14:schemeClr w14:val="tx1"/>
                  </w14:solidFill>
                </w14:textFill>
              </w:rPr>
              <w:t>18.75</w:t>
            </w:r>
            <w:r>
              <w:rPr>
                <w:rFonts w:hint="eastAsia" w:cs="宋体"/>
                <w:color w:val="000000" w:themeColor="text1"/>
                <w:sz w:val="24"/>
                <w:szCs w:val="32"/>
                <w:highlight w:val="none"/>
                <w:lang w:eastAsia="zh-CN"/>
                <w14:textFill>
                  <w14:solidFill>
                    <w14:schemeClr w14:val="tx1"/>
                  </w14:solidFill>
                </w14:textFill>
              </w:rPr>
              <w:t>t（按年工作250天计），统一收集后，全部委托环卫部门定期外运统一处置。</w:t>
            </w:r>
          </w:p>
          <w:p w14:paraId="69EDDD28">
            <w:pPr>
              <w:spacing w:line="360" w:lineRule="auto"/>
              <w:ind w:firstLine="480" w:firstLineChars="200"/>
              <w:rPr>
                <w:rFonts w:hint="eastAsia" w:cs="宋体"/>
                <w:color w:val="000000" w:themeColor="text1"/>
                <w:sz w:val="24"/>
                <w:szCs w:val="32"/>
                <w:highlight w:val="none"/>
                <w:lang w:eastAsia="zh-CN"/>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综上所述，项目一般工业固废及生活垃圾固体废物</w:t>
            </w:r>
            <w:r>
              <w:rPr>
                <w:rFonts w:hint="eastAsia" w:cs="宋体"/>
                <w:color w:val="000000" w:themeColor="text1"/>
                <w:sz w:val="24"/>
                <w:szCs w:val="32"/>
                <w:highlight w:val="none"/>
                <w:lang w:val="en-US" w:eastAsia="zh-CN"/>
                <w14:textFill>
                  <w14:solidFill>
                    <w14:schemeClr w14:val="tx1"/>
                  </w14:solidFill>
                </w14:textFill>
              </w:rPr>
              <w:t>产生量</w:t>
            </w:r>
            <w:r>
              <w:rPr>
                <w:rFonts w:hint="eastAsia" w:cs="宋体"/>
                <w:color w:val="000000" w:themeColor="text1"/>
                <w:sz w:val="24"/>
                <w:szCs w:val="32"/>
                <w:highlight w:val="none"/>
                <w:lang w:eastAsia="zh-CN"/>
                <w14:textFill>
                  <w14:solidFill>
                    <w14:schemeClr w14:val="tx1"/>
                  </w14:solidFill>
                </w14:textFill>
              </w:rPr>
              <w:t>及相关参数一览表详见表4.4-1；项目危险废物</w:t>
            </w:r>
            <w:r>
              <w:rPr>
                <w:rFonts w:hint="eastAsia" w:cs="宋体"/>
                <w:color w:val="000000" w:themeColor="text1"/>
                <w:sz w:val="24"/>
                <w:szCs w:val="32"/>
                <w:highlight w:val="none"/>
                <w:lang w:val="en-US" w:eastAsia="zh-CN"/>
                <w14:textFill>
                  <w14:solidFill>
                    <w14:schemeClr w14:val="tx1"/>
                  </w14:solidFill>
                </w14:textFill>
              </w:rPr>
              <w:t>产生量</w:t>
            </w:r>
            <w:r>
              <w:rPr>
                <w:rFonts w:hint="eastAsia" w:cs="宋体"/>
                <w:color w:val="000000" w:themeColor="text1"/>
                <w:sz w:val="24"/>
                <w:szCs w:val="32"/>
                <w:highlight w:val="none"/>
                <w:lang w:eastAsia="zh-CN"/>
                <w14:textFill>
                  <w14:solidFill>
                    <w14:schemeClr w14:val="tx1"/>
                  </w14:solidFill>
                </w14:textFill>
              </w:rPr>
              <w:t>及相关参数一览表详见表4.4-2。</w:t>
            </w:r>
          </w:p>
          <w:p w14:paraId="60A3E155">
            <w:pPr>
              <w:pStyle w:val="69"/>
              <w:spacing w:line="360" w:lineRule="auto"/>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表4.4-1固体废物污染源源强核算结果及相关参数一览表</w:t>
            </w:r>
          </w:p>
          <w:tbl>
            <w:tblPr>
              <w:tblStyle w:val="30"/>
              <w:tblW w:w="81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57" w:type="dxa"/>
                <w:bottom w:w="0" w:type="dxa"/>
                <w:right w:w="57" w:type="dxa"/>
              </w:tblCellMar>
            </w:tblPr>
            <w:tblGrid>
              <w:gridCol w:w="967"/>
              <w:gridCol w:w="615"/>
              <w:gridCol w:w="1623"/>
              <w:gridCol w:w="822"/>
              <w:gridCol w:w="1005"/>
              <w:gridCol w:w="975"/>
              <w:gridCol w:w="1138"/>
              <w:gridCol w:w="985"/>
            </w:tblGrid>
            <w:tr w14:paraId="75A8C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3"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FCF70">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固废名称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B3A48">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废物性质</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4F79A">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类别编号</w:t>
                  </w:r>
                </w:p>
              </w:tc>
              <w:tc>
                <w:tcPr>
                  <w:tcW w:w="822" w:type="dxa"/>
                  <w:tcBorders>
                    <w:top w:val="single" w:color="000000" w:sz="4" w:space="0"/>
                    <w:left w:val="single" w:color="000000" w:sz="4" w:space="0"/>
                    <w:bottom w:val="nil"/>
                    <w:right w:val="single" w:color="000000" w:sz="4" w:space="0"/>
                  </w:tcBorders>
                  <w:shd w:val="clear" w:color="auto" w:fill="auto"/>
                  <w:vAlign w:val="center"/>
                </w:tcPr>
                <w:p w14:paraId="3389D1AE">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产生量</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（t/a）</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66B7F">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产生工序及装置</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F8930">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主要成分</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42DC9">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有害成分</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563DE">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污染防治措施</w:t>
                  </w:r>
                </w:p>
              </w:tc>
            </w:tr>
            <w:tr w14:paraId="1D359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3"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8B22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不合格产品</w:t>
                  </w:r>
                </w:p>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32A58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一般固废</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DC28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SW17可再生类废物(900-004-S17)</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D756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0.6</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243D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检验</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FF86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A2AA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985" w:type="dxa"/>
                  <w:vMerge w:val="restart"/>
                  <w:tcBorders>
                    <w:top w:val="single" w:color="000000" w:sz="4" w:space="0"/>
                    <w:left w:val="single" w:color="000000" w:sz="4" w:space="0"/>
                    <w:right w:val="single" w:color="000000" w:sz="4" w:space="0"/>
                  </w:tcBorders>
                  <w:shd w:val="clear" w:color="auto" w:fill="auto"/>
                  <w:vAlign w:val="center"/>
                </w:tcPr>
                <w:p w14:paraId="5AFD985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收集后由物资回收单位回收利用</w:t>
                  </w:r>
                </w:p>
              </w:tc>
            </w:tr>
            <w:tr w14:paraId="2C8C5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3"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CB93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废包装材料</w:t>
                  </w: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A22E1">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623" w:type="dxa"/>
                  <w:tcBorders>
                    <w:top w:val="single" w:color="000000" w:sz="4" w:space="0"/>
                    <w:left w:val="single" w:color="000000" w:sz="4" w:space="0"/>
                    <w:bottom w:val="nil"/>
                    <w:right w:val="single" w:color="000000" w:sz="4" w:space="0"/>
                  </w:tcBorders>
                  <w:shd w:val="clear" w:color="auto" w:fill="auto"/>
                  <w:vAlign w:val="center"/>
                </w:tcPr>
                <w:p w14:paraId="1B573EF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SW17可再生类废物(900-099-S17)</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8C0B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0.1</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D47E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原料拆包</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17F0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包装材料</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FC8F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985" w:type="dxa"/>
                  <w:vMerge w:val="continue"/>
                  <w:tcBorders>
                    <w:left w:val="single" w:color="000000" w:sz="4" w:space="0"/>
                    <w:bottom w:val="single" w:color="000000" w:sz="4" w:space="0"/>
                    <w:right w:val="single" w:color="000000" w:sz="4" w:space="0"/>
                  </w:tcBorders>
                  <w:shd w:val="clear" w:color="auto" w:fill="auto"/>
                  <w:vAlign w:val="center"/>
                </w:tcPr>
                <w:p w14:paraId="73556CAA">
                  <w:pPr>
                    <w:jc w:val="center"/>
                    <w:rPr>
                      <w:rFonts w:hint="default" w:ascii="Times New Roman" w:hAnsi="Times New Roman" w:eastAsia="宋体" w:cs="Times New Roman"/>
                      <w:i w:val="0"/>
                      <w:iCs w:val="0"/>
                      <w:color w:val="000000" w:themeColor="text1"/>
                      <w:sz w:val="2"/>
                      <w:szCs w:val="2"/>
                      <w:highlight w:val="none"/>
                      <w:u w:val="none"/>
                      <w14:textFill>
                        <w14:solidFill>
                          <w14:schemeClr w14:val="tx1"/>
                        </w14:solidFill>
                      </w14:textFill>
                    </w:rPr>
                  </w:pPr>
                </w:p>
              </w:tc>
            </w:tr>
            <w:tr w14:paraId="39602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3"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B792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废金刚砂</w:t>
                  </w: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21181">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623" w:type="dxa"/>
                  <w:tcBorders>
                    <w:top w:val="single" w:color="000000" w:sz="4" w:space="0"/>
                    <w:left w:val="single" w:color="000000" w:sz="4" w:space="0"/>
                    <w:bottom w:val="nil"/>
                    <w:right w:val="single" w:color="000000" w:sz="4" w:space="0"/>
                  </w:tcBorders>
                  <w:shd w:val="clear" w:color="auto" w:fill="auto"/>
                  <w:vAlign w:val="center"/>
                </w:tcPr>
                <w:p w14:paraId="6AD4504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SW17可再生类废物(900-099-S17)</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0FE4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4.3</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1F7F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细磨</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7E09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金刚砂</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E11C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2A0A9">
                  <w:pPr>
                    <w:jc w:val="center"/>
                    <w:rPr>
                      <w:rFonts w:hint="default" w:ascii="Times New Roman" w:hAnsi="Times New Roman" w:eastAsia="宋体" w:cs="Times New Roman"/>
                      <w:i w:val="0"/>
                      <w:iCs w:val="0"/>
                      <w:color w:val="000000" w:themeColor="text1"/>
                      <w:sz w:val="2"/>
                      <w:szCs w:val="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收集后由厂家收利用</w:t>
                  </w:r>
                </w:p>
              </w:tc>
            </w:tr>
            <w:tr w14:paraId="6EA9A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3"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63BE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废边角料</w:t>
                  </w: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8319F">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623" w:type="dxa"/>
                  <w:tcBorders>
                    <w:top w:val="single" w:color="000000" w:sz="4" w:space="0"/>
                    <w:left w:val="single" w:color="000000" w:sz="4" w:space="0"/>
                    <w:bottom w:val="nil"/>
                    <w:right w:val="single" w:color="000000" w:sz="4" w:space="0"/>
                  </w:tcBorders>
                  <w:shd w:val="clear" w:color="auto" w:fill="auto"/>
                  <w:vAlign w:val="center"/>
                </w:tcPr>
                <w:p w14:paraId="1C88BCD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SW17可再生类废物(900-004-S17)</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2AC9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0.2</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2731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切割</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AD65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废边角料</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C67C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F978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收集后由物资回收单位回收利用</w:t>
                  </w:r>
                </w:p>
              </w:tc>
            </w:tr>
            <w:tr w14:paraId="5AA47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3"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BEC8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废树脂</w:t>
                  </w: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4C819">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623" w:type="dxa"/>
                  <w:tcBorders>
                    <w:top w:val="single" w:color="000000" w:sz="4" w:space="0"/>
                    <w:left w:val="single" w:color="000000" w:sz="4" w:space="0"/>
                    <w:bottom w:val="nil"/>
                    <w:right w:val="single" w:color="000000" w:sz="4" w:space="0"/>
                  </w:tcBorders>
                  <w:shd w:val="clear" w:color="auto" w:fill="auto"/>
                  <w:vAlign w:val="center"/>
                </w:tcPr>
                <w:p w14:paraId="61F22A8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SW59其他工业固体废物（900-008-S59）</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52F0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42</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9987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纯水制备</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6F3B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废树脂</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7D1F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9F51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收集后由厂家收利用</w:t>
                  </w:r>
                </w:p>
              </w:tc>
            </w:tr>
            <w:tr w14:paraId="5099D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3"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E67D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沉淀废渣</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47E7F">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623" w:type="dxa"/>
                  <w:tcBorders>
                    <w:top w:val="single" w:color="000000" w:sz="4" w:space="0"/>
                    <w:left w:val="single" w:color="000000" w:sz="4" w:space="0"/>
                    <w:bottom w:val="nil"/>
                    <w:right w:val="single" w:color="000000" w:sz="4" w:space="0"/>
                  </w:tcBorders>
                  <w:shd w:val="clear" w:color="auto" w:fill="auto"/>
                  <w:vAlign w:val="center"/>
                </w:tcPr>
                <w:p w14:paraId="17E1353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SW07污泥(900-099-S07)</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5761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A170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细磨抛光</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15AB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沉淀废渣</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3554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43D1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收集后由物资回收单位回收利用</w:t>
                  </w:r>
                </w:p>
              </w:tc>
            </w:tr>
            <w:tr w14:paraId="740DC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3"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247F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废活性炭</w:t>
                  </w:r>
                </w:p>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0873B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危险废物</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621C9">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HW49 (900-039-49)</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BD77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55.4631</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94CB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废气治理</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8DBB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有机废气</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E2C2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有机废气</w:t>
                  </w:r>
                </w:p>
              </w:tc>
              <w:tc>
                <w:tcPr>
                  <w:tcW w:w="985" w:type="dxa"/>
                  <w:vMerge w:val="restart"/>
                  <w:tcBorders>
                    <w:top w:val="single" w:color="000000" w:sz="4" w:space="0"/>
                    <w:left w:val="single" w:color="000000" w:sz="4" w:space="0"/>
                    <w:right w:val="single" w:color="000000" w:sz="4" w:space="0"/>
                  </w:tcBorders>
                  <w:shd w:val="clear" w:color="auto" w:fill="auto"/>
                  <w:vAlign w:val="center"/>
                </w:tcPr>
                <w:p w14:paraId="4365438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暂存危废间，定期委托有资质的单位处置</w:t>
                  </w:r>
                </w:p>
              </w:tc>
            </w:tr>
            <w:tr w14:paraId="0EB3C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3"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26A5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废切削液、磨削液、冷却液</w:t>
                  </w: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0495D">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8B870">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HW09 (900-006-09)</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A226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5.8</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4CA3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清洗检验等</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16E3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废切削液、磨削液、冷却液</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E0A0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废切削液、磨削液、冷却液</w:t>
                  </w:r>
                </w:p>
              </w:tc>
              <w:tc>
                <w:tcPr>
                  <w:tcW w:w="985" w:type="dxa"/>
                  <w:vMerge w:val="continue"/>
                  <w:tcBorders>
                    <w:left w:val="single" w:color="000000" w:sz="4" w:space="0"/>
                    <w:right w:val="single" w:color="000000" w:sz="4" w:space="0"/>
                  </w:tcBorders>
                  <w:shd w:val="clear" w:color="auto" w:fill="auto"/>
                  <w:vAlign w:val="center"/>
                </w:tcPr>
                <w:p w14:paraId="500C5C3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r>
            <w:tr w14:paraId="6143D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3"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C233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废胶桶</w:t>
                  </w: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B115A">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271B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HW49 (900-041-49)</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5C7A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0.5</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003A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原料拆包</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3425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胶水</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E18E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胶水</w:t>
                  </w:r>
                </w:p>
              </w:tc>
              <w:tc>
                <w:tcPr>
                  <w:tcW w:w="985" w:type="dxa"/>
                  <w:vMerge w:val="continue"/>
                  <w:tcBorders>
                    <w:left w:val="single" w:color="000000" w:sz="4" w:space="0"/>
                    <w:right w:val="single" w:color="000000" w:sz="4" w:space="0"/>
                  </w:tcBorders>
                  <w:shd w:val="clear" w:color="auto" w:fill="auto"/>
                  <w:vAlign w:val="center"/>
                </w:tcPr>
                <w:p w14:paraId="343766D2">
                  <w:pPr>
                    <w:jc w:val="center"/>
                    <w:rPr>
                      <w:rFonts w:hint="default" w:ascii="Times New Roman" w:hAnsi="Times New Roman" w:eastAsia="宋体" w:cs="Times New Roman"/>
                      <w:i w:val="0"/>
                      <w:iCs w:val="0"/>
                      <w:color w:val="000000" w:themeColor="text1"/>
                      <w:sz w:val="2"/>
                      <w:szCs w:val="2"/>
                      <w:highlight w:val="none"/>
                      <w:u w:val="none"/>
                      <w14:textFill>
                        <w14:solidFill>
                          <w14:schemeClr w14:val="tx1"/>
                        </w14:solidFill>
                      </w14:textFill>
                    </w:rPr>
                  </w:pPr>
                </w:p>
              </w:tc>
            </w:tr>
            <w:tr w14:paraId="02E45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3"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1188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废有机溶剂空瓶</w:t>
                  </w: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C6B55">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772B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HW49 (900-041-49)</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10B7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0.1</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62C7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清洗</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39CD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有机溶剂</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7A66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有机溶剂</w:t>
                  </w:r>
                </w:p>
              </w:tc>
              <w:tc>
                <w:tcPr>
                  <w:tcW w:w="985" w:type="dxa"/>
                  <w:vMerge w:val="continue"/>
                  <w:tcBorders>
                    <w:left w:val="single" w:color="000000" w:sz="4" w:space="0"/>
                    <w:right w:val="single" w:color="000000" w:sz="4" w:space="0"/>
                  </w:tcBorders>
                  <w:shd w:val="clear" w:color="auto" w:fill="auto"/>
                  <w:vAlign w:val="center"/>
                </w:tcPr>
                <w:p w14:paraId="1104DF7D">
                  <w:pPr>
                    <w:jc w:val="center"/>
                    <w:rPr>
                      <w:rFonts w:hint="default" w:ascii="Times New Roman" w:hAnsi="Times New Roman" w:eastAsia="宋体" w:cs="Times New Roman"/>
                      <w:i w:val="0"/>
                      <w:iCs w:val="0"/>
                      <w:color w:val="000000" w:themeColor="text1"/>
                      <w:sz w:val="2"/>
                      <w:szCs w:val="2"/>
                      <w:highlight w:val="none"/>
                      <w:u w:val="none"/>
                      <w14:textFill>
                        <w14:solidFill>
                          <w14:schemeClr w14:val="tx1"/>
                        </w14:solidFill>
                      </w14:textFill>
                    </w:rPr>
                  </w:pPr>
                </w:p>
              </w:tc>
            </w:tr>
            <w:tr w14:paraId="6E7EE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3"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74D0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清洗废液</w:t>
                  </w: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E4373">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6253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HW06 (900-404-06)</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999C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10.82</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0EBC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清洗</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420B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有机溶剂</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79B0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有机溶剂</w:t>
                  </w:r>
                </w:p>
              </w:tc>
              <w:tc>
                <w:tcPr>
                  <w:tcW w:w="985" w:type="dxa"/>
                  <w:vMerge w:val="continue"/>
                  <w:tcBorders>
                    <w:left w:val="single" w:color="000000" w:sz="4" w:space="0"/>
                    <w:right w:val="single" w:color="000000" w:sz="4" w:space="0"/>
                  </w:tcBorders>
                  <w:shd w:val="clear" w:color="auto" w:fill="auto"/>
                  <w:vAlign w:val="center"/>
                </w:tcPr>
                <w:p w14:paraId="31D26061">
                  <w:pPr>
                    <w:jc w:val="center"/>
                    <w:rPr>
                      <w:rFonts w:hint="default" w:ascii="Times New Roman" w:hAnsi="Times New Roman" w:eastAsia="宋体" w:cs="Times New Roman"/>
                      <w:i w:val="0"/>
                      <w:iCs w:val="0"/>
                      <w:color w:val="000000" w:themeColor="text1"/>
                      <w:sz w:val="2"/>
                      <w:szCs w:val="2"/>
                      <w:highlight w:val="none"/>
                      <w:u w:val="none"/>
                      <w14:textFill>
                        <w14:solidFill>
                          <w14:schemeClr w14:val="tx1"/>
                        </w14:solidFill>
                      </w14:textFill>
                    </w:rPr>
                  </w:pPr>
                </w:p>
              </w:tc>
            </w:tr>
            <w:tr w14:paraId="40433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3"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1DAA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金属刻蚀废液</w:t>
                  </w: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62D60">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2343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HW34 (900-300-34)</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3C19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1800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3981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金属刻蚀</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9B3C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金属刻蚀废液</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717F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金属刻蚀废液</w:t>
                  </w:r>
                </w:p>
              </w:tc>
              <w:tc>
                <w:tcPr>
                  <w:tcW w:w="985" w:type="dxa"/>
                  <w:vMerge w:val="continue"/>
                  <w:tcBorders>
                    <w:left w:val="single" w:color="000000" w:sz="4" w:space="0"/>
                    <w:right w:val="single" w:color="000000" w:sz="4" w:space="0"/>
                  </w:tcBorders>
                  <w:shd w:val="clear" w:color="auto" w:fill="auto"/>
                  <w:vAlign w:val="center"/>
                </w:tcPr>
                <w:p w14:paraId="16E72631">
                  <w:pPr>
                    <w:jc w:val="center"/>
                    <w:rPr>
                      <w:rFonts w:hint="default" w:ascii="Times New Roman" w:hAnsi="Times New Roman" w:eastAsia="宋体" w:cs="Times New Roman"/>
                      <w:i w:val="0"/>
                      <w:iCs w:val="0"/>
                      <w:color w:val="000000" w:themeColor="text1"/>
                      <w:sz w:val="2"/>
                      <w:szCs w:val="2"/>
                      <w:highlight w:val="none"/>
                      <w:u w:val="none"/>
                      <w14:textFill>
                        <w14:solidFill>
                          <w14:schemeClr w14:val="tx1"/>
                        </w14:solidFill>
                      </w14:textFill>
                    </w:rPr>
                  </w:pPr>
                </w:p>
              </w:tc>
            </w:tr>
            <w:tr w14:paraId="5B1EC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3"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810C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污水处理站污泥</w:t>
                  </w: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9F498">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5209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HW17(336-064-17)</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129E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4CA2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污水处理</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DC1E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污水处理站污泥</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268C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污水处理站污泥</w:t>
                  </w:r>
                </w:p>
              </w:tc>
              <w:tc>
                <w:tcPr>
                  <w:tcW w:w="985" w:type="dxa"/>
                  <w:vMerge w:val="continue"/>
                  <w:tcBorders>
                    <w:left w:val="single" w:color="000000" w:sz="4" w:space="0"/>
                    <w:right w:val="single" w:color="000000" w:sz="4" w:space="0"/>
                  </w:tcBorders>
                  <w:shd w:val="clear" w:color="auto" w:fill="auto"/>
                  <w:vAlign w:val="center"/>
                </w:tcPr>
                <w:p w14:paraId="0AB9A731">
                  <w:pPr>
                    <w:jc w:val="center"/>
                    <w:rPr>
                      <w:rFonts w:hint="default" w:ascii="Times New Roman" w:hAnsi="Times New Roman" w:eastAsia="宋体" w:cs="Times New Roman"/>
                      <w:i w:val="0"/>
                      <w:iCs w:val="0"/>
                      <w:color w:val="000000" w:themeColor="text1"/>
                      <w:sz w:val="2"/>
                      <w:szCs w:val="2"/>
                      <w:highlight w:val="none"/>
                      <w:u w:val="none"/>
                      <w14:textFill>
                        <w14:solidFill>
                          <w14:schemeClr w14:val="tx1"/>
                        </w14:solidFill>
                      </w14:textFill>
                    </w:rPr>
                  </w:pPr>
                </w:p>
              </w:tc>
            </w:tr>
            <w:tr w14:paraId="7A830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3"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488C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含油抹布</w:t>
                  </w: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69BB3">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FC78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HW49 (900-041-49)</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2024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0.01</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3770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机修</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0485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油类物质</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86FB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石油烃</w:t>
                  </w:r>
                </w:p>
              </w:tc>
              <w:tc>
                <w:tcPr>
                  <w:tcW w:w="985" w:type="dxa"/>
                  <w:vMerge w:val="continue"/>
                  <w:tcBorders>
                    <w:left w:val="single" w:color="000000" w:sz="4" w:space="0"/>
                    <w:bottom w:val="single" w:color="000000" w:sz="4" w:space="0"/>
                    <w:right w:val="single" w:color="000000" w:sz="4" w:space="0"/>
                  </w:tcBorders>
                  <w:shd w:val="clear" w:color="auto" w:fill="auto"/>
                  <w:vAlign w:val="center"/>
                </w:tcPr>
                <w:p w14:paraId="01955EF1">
                  <w:pPr>
                    <w:jc w:val="center"/>
                    <w:rPr>
                      <w:rFonts w:hint="default" w:ascii="Times New Roman" w:hAnsi="Times New Roman" w:eastAsia="宋体" w:cs="Times New Roman"/>
                      <w:i w:val="0"/>
                      <w:iCs w:val="0"/>
                      <w:color w:val="000000" w:themeColor="text1"/>
                      <w:sz w:val="2"/>
                      <w:szCs w:val="2"/>
                      <w:highlight w:val="none"/>
                      <w:u w:val="none"/>
                      <w14:textFill>
                        <w14:solidFill>
                          <w14:schemeClr w14:val="tx1"/>
                        </w14:solidFill>
                      </w14:textFill>
                    </w:rPr>
                  </w:pPr>
                </w:p>
              </w:tc>
            </w:tr>
            <w:tr w14:paraId="45084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3"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2491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生活垃圾</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2498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生活垃圾</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68C3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SW17 (900-099-S17)</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1F9E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18.75</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A97AE">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311D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1BA02">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31DB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收集后交由环卫部门处理</w:t>
                  </w:r>
                </w:p>
              </w:tc>
            </w:tr>
          </w:tbl>
          <w:p w14:paraId="40CF9F58">
            <w:pPr>
              <w:pStyle w:val="69"/>
              <w:spacing w:line="360" w:lineRule="auto"/>
              <w:rPr>
                <w:rFonts w:hint="eastAsia" w:eastAsia="宋体" w:cs="宋体"/>
                <w:b/>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表 4</w:t>
            </w:r>
            <w:r>
              <w:rPr>
                <w:rFonts w:hint="eastAsia" w:eastAsia="宋体" w:cs="宋体"/>
                <w:b/>
                <w:color w:val="000000" w:themeColor="text1"/>
                <w:kern w:val="2"/>
                <w:sz w:val="24"/>
                <w:szCs w:val="24"/>
                <w:highlight w:val="none"/>
                <w:lang w:val="en-US" w:eastAsia="zh-CN" w:bidi="ar-SA"/>
                <w14:textFill>
                  <w14:solidFill>
                    <w14:schemeClr w14:val="tx1"/>
                  </w14:solidFill>
                </w14:textFill>
              </w:rPr>
              <w:t>.4</w:t>
            </w:r>
            <w:r>
              <w:rPr>
                <w:rFonts w:hint="default"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w:t>
            </w:r>
            <w:r>
              <w:rPr>
                <w:rFonts w:hint="eastAsia" w:eastAsia="宋体" w:cs="宋体"/>
                <w:b/>
                <w:color w:val="000000" w:themeColor="text1"/>
                <w:kern w:val="2"/>
                <w:sz w:val="24"/>
                <w:szCs w:val="24"/>
                <w:highlight w:val="none"/>
                <w:lang w:val="en-US" w:eastAsia="zh-CN" w:bidi="ar-SA"/>
                <w14:textFill>
                  <w14:solidFill>
                    <w14:schemeClr w14:val="tx1"/>
                  </w14:solidFill>
                </w14:textFill>
              </w:rPr>
              <w:t>2</w:t>
            </w:r>
            <w:r>
              <w:rPr>
                <w:rFonts w:hint="default"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 xml:space="preserve">  本项目</w:t>
            </w:r>
            <w:r>
              <w:rPr>
                <w:rFonts w:hint="eastAsia" w:eastAsia="宋体" w:cs="宋体"/>
                <w:b/>
                <w:color w:val="000000" w:themeColor="text1"/>
                <w:kern w:val="2"/>
                <w:sz w:val="24"/>
                <w:szCs w:val="24"/>
                <w:highlight w:val="none"/>
                <w:lang w:val="en-US" w:eastAsia="zh-CN" w:bidi="ar-SA"/>
                <w14:textFill>
                  <w14:solidFill>
                    <w14:schemeClr w14:val="tx1"/>
                  </w14:solidFill>
                </w14:textFill>
              </w:rPr>
              <w:t>危险废物汇总情况一览表</w:t>
            </w:r>
          </w:p>
          <w:tbl>
            <w:tblPr>
              <w:tblStyle w:val="30"/>
              <w:tblW w:w="81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57" w:type="dxa"/>
                <w:bottom w:w="0" w:type="dxa"/>
                <w:right w:w="57" w:type="dxa"/>
              </w:tblCellMar>
            </w:tblPr>
            <w:tblGrid>
              <w:gridCol w:w="601"/>
              <w:gridCol w:w="1320"/>
              <w:gridCol w:w="934"/>
              <w:gridCol w:w="879"/>
              <w:gridCol w:w="737"/>
              <w:gridCol w:w="750"/>
              <w:gridCol w:w="1150"/>
              <w:gridCol w:w="770"/>
              <w:gridCol w:w="989"/>
            </w:tblGrid>
            <w:tr w14:paraId="1AD40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5F4F6">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序号</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B45B9">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危废种类</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99105">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产生量</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(t/a)</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13A8E">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产生工序</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装置</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59C3E">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形态</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0535B">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产废周期</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35E6D">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危险废物类别及代码</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AE294">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危险特性</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9E3C1">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污染防治措施及去向</w:t>
                  </w:r>
                </w:p>
              </w:tc>
            </w:tr>
            <w:tr w14:paraId="5FD5E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32A3E">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4B423">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废切削液、磨削液、冷却液</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8E493">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5.8</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F0F6F">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清洗检验等</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A2C82">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液态</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E643BD">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半年</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2F1A2">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HW09(900-006-09)</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D9CC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T,I</w:t>
                  </w:r>
                </w:p>
              </w:tc>
              <w:tc>
                <w:tcPr>
                  <w:tcW w:w="9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D0F318">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收集后暂存于危险废物贮存库内，定期委托有资质单位统一处置</w:t>
                  </w:r>
                </w:p>
              </w:tc>
            </w:tr>
            <w:tr w14:paraId="476EE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F6650">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172F9">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废胶桶</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A624E">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0.5</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6091C">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原料拆包</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43E7E">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固态</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4C583">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612E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HW49(900-041-49)</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6F221">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T,I</w:t>
                  </w:r>
                </w:p>
              </w:tc>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37E0A">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3DD67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A458C">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C912D">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废有机溶剂及空瓶</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0B7C4">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E15B5">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清洗</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5C11D">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固态</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EA8F7">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CDEE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HW06(900-404-06)</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03E4E">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T,I</w:t>
                  </w:r>
                </w:p>
              </w:tc>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86F87">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2C990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B6B79">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4E6E5">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清洗废液</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66B90">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10.82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FA544">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清洗</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99FB0">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液态</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B04B3">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F02E1">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HW06(900-404-06)</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04DB5">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T,I</w:t>
                  </w:r>
                </w:p>
              </w:tc>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52BB5">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10C94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6128B">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E77A0">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14:textFill>
                        <w14:solidFill>
                          <w14:schemeClr w14:val="tx1"/>
                        </w14:solidFill>
                      </w14:textFill>
                    </w:rPr>
                    <w:t>金属刻蚀废液</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4D261">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1800</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354AE">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14:textFill>
                        <w14:solidFill>
                          <w14:schemeClr w14:val="tx1"/>
                        </w14:solidFill>
                      </w14:textFill>
                    </w:rPr>
                    <w:t>金属刻蚀</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A454B">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液态</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A6703">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75483">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t>HW34(900-300-34)</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22843">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C,T</w:t>
                  </w:r>
                </w:p>
              </w:tc>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BDA9D">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4EF98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E8FF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39410">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14:textFill>
                        <w14:solidFill>
                          <w14:schemeClr w14:val="tx1"/>
                        </w14:solidFill>
                      </w14:textFill>
                    </w:rPr>
                    <w:t>污水处理站污泥</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00A6F">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40</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E2D46">
                  <w:pPr>
                    <w:keepNext w:val="0"/>
                    <w:keepLines w:val="0"/>
                    <w:widowControl/>
                    <w:suppressLineNumbers w:val="0"/>
                    <w:jc w:val="center"/>
                    <w:textAlignment w:val="top"/>
                    <w:rPr>
                      <w:rFonts w:hint="default"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污水处理</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8FA54">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固态</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A881D">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9EA3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t>HW17(336-064-17)</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BC774">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t>T/C</w:t>
                  </w:r>
                </w:p>
              </w:tc>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A41A6">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5A953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15CF2">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7</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E7B34">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废活性炭</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19555">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55.4631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18E0B">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废气治理</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0E00B">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固态</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C3738">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066C6">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HW49(900-039-49)</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3AF89">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w:t>
                  </w:r>
                </w:p>
              </w:tc>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63EE3">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39F79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3"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A852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0105B">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含油抹布</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78F5D">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E1EF4">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机修</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044F8">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固态</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8FF75">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69235">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HW49(900-041-49)</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C15B9">
                  <w:pPr>
                    <w:keepNext w:val="0"/>
                    <w:keepLines w:val="0"/>
                    <w:widowControl/>
                    <w:suppressLineNumbers w:val="0"/>
                    <w:jc w:val="center"/>
                    <w:textAlignment w:val="top"/>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T,I</w:t>
                  </w:r>
                </w:p>
              </w:tc>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E23AE">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bl>
          <w:p w14:paraId="7BB8BAA0">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4.4.2固废贮存场所要求</w:t>
            </w:r>
          </w:p>
          <w:p w14:paraId="067771B7">
            <w:pPr>
              <w:pStyle w:val="66"/>
              <w:ind w:firstLine="420"/>
              <w:rPr>
                <w:rFonts w:hint="eastAsia" w:ascii="宋体" w:hAnsi="宋体"/>
                <w:color w:val="000000" w:themeColor="text1"/>
                <w:sz w:val="24"/>
                <w:szCs w:val="32"/>
                <w:highlight w:val="none"/>
                <w:lang w:val="en-US" w:eastAsia="zh-CN"/>
                <w14:textFill>
                  <w14:solidFill>
                    <w14:schemeClr w14:val="tx1"/>
                  </w14:solidFill>
                </w14:textFill>
              </w:rPr>
            </w:pPr>
            <w:r>
              <w:rPr>
                <w:rFonts w:ascii="宋体" w:hAnsi="宋体"/>
                <w:color w:val="000000" w:themeColor="text1"/>
                <w:sz w:val="24"/>
                <w:szCs w:val="32"/>
                <w:highlight w:val="none"/>
                <w14:textFill>
                  <w14:solidFill>
                    <w14:schemeClr w14:val="tx1"/>
                  </w14:solidFill>
                </w14:textFill>
              </w:rPr>
              <w:t>本项目的危险废物</w:t>
            </w:r>
            <w:r>
              <w:rPr>
                <w:rFonts w:hint="eastAsia" w:ascii="宋体" w:hAnsi="宋体"/>
                <w:color w:val="000000" w:themeColor="text1"/>
                <w:sz w:val="24"/>
                <w:szCs w:val="32"/>
                <w:highlight w:val="none"/>
                <w14:textFill>
                  <w14:solidFill>
                    <w14:schemeClr w14:val="tx1"/>
                  </w14:solidFill>
                </w14:textFill>
              </w:rPr>
              <w:t>贮存设施应</w:t>
            </w:r>
            <w:r>
              <w:rPr>
                <w:rFonts w:ascii="宋体" w:hAnsi="宋体"/>
                <w:color w:val="000000" w:themeColor="text1"/>
                <w:sz w:val="24"/>
                <w:szCs w:val="32"/>
                <w:highlight w:val="none"/>
                <w14:textFill>
                  <w14:solidFill>
                    <w14:schemeClr w14:val="tx1"/>
                  </w14:solidFill>
                </w14:textFill>
              </w:rPr>
              <w:t>按照《危险废物贮存污染控制标准》（</w:t>
            </w:r>
            <w:r>
              <w:rPr>
                <w:color w:val="000000" w:themeColor="text1"/>
                <w:sz w:val="24"/>
                <w:szCs w:val="32"/>
                <w:highlight w:val="none"/>
                <w14:textFill>
                  <w14:solidFill>
                    <w14:schemeClr w14:val="tx1"/>
                  </w14:solidFill>
                </w14:textFill>
              </w:rPr>
              <w:t>GB18597-20</w:t>
            </w:r>
            <w:r>
              <w:rPr>
                <w:rFonts w:hint="eastAsia"/>
                <w:color w:val="000000" w:themeColor="text1"/>
                <w:sz w:val="24"/>
                <w:szCs w:val="32"/>
                <w:highlight w:val="none"/>
                <w14:textFill>
                  <w14:solidFill>
                    <w14:schemeClr w14:val="tx1"/>
                  </w14:solidFill>
                </w14:textFill>
              </w:rPr>
              <w:t>23</w:t>
            </w:r>
            <w:r>
              <w:rPr>
                <w:rFonts w:ascii="宋体" w:hAnsi="宋体"/>
                <w:color w:val="000000" w:themeColor="text1"/>
                <w:sz w:val="24"/>
                <w:szCs w:val="32"/>
                <w:highlight w:val="none"/>
                <w14:textFill>
                  <w14:solidFill>
                    <w14:schemeClr w14:val="tx1"/>
                  </w14:solidFill>
                </w14:textFill>
              </w:rPr>
              <w:t>）</w:t>
            </w:r>
            <w:r>
              <w:rPr>
                <w:rFonts w:hint="eastAsia" w:ascii="宋体" w:hAnsi="宋体"/>
                <w:color w:val="000000" w:themeColor="text1"/>
                <w:sz w:val="24"/>
                <w:szCs w:val="32"/>
                <w:highlight w:val="none"/>
                <w:lang w:eastAsia="zh-CN"/>
                <w14:textFill>
                  <w14:solidFill>
                    <w14:schemeClr w14:val="tx1"/>
                  </w14:solidFill>
                </w14:textFill>
              </w:rPr>
              <w:t>、《建设项目危险废物环境影响评价指南》</w:t>
            </w:r>
            <w:r>
              <w:rPr>
                <w:rFonts w:ascii="宋体" w:hAnsi="宋体"/>
                <w:color w:val="000000" w:themeColor="text1"/>
                <w:sz w:val="24"/>
                <w:szCs w:val="32"/>
                <w:highlight w:val="none"/>
                <w14:textFill>
                  <w14:solidFill>
                    <w14:schemeClr w14:val="tx1"/>
                  </w14:solidFill>
                </w14:textFill>
              </w:rPr>
              <w:t>的要求进行建设，一般工业固废暂存场按照《一般工业固体废物贮存、处置场污染控制标准》</w:t>
            </w:r>
            <w:r>
              <w:rPr>
                <w:rFonts w:hint="eastAsia" w:ascii="宋体" w:hAnsi="宋体"/>
                <w:color w:val="000000" w:themeColor="text1"/>
                <w:sz w:val="24"/>
                <w:szCs w:val="32"/>
                <w:highlight w:val="none"/>
                <w14:textFill>
                  <w14:solidFill>
                    <w14:schemeClr w14:val="tx1"/>
                  </w14:solidFill>
                </w14:textFill>
              </w:rPr>
              <w:t>（</w:t>
            </w:r>
            <w:r>
              <w:rPr>
                <w:color w:val="000000" w:themeColor="text1"/>
                <w:sz w:val="24"/>
                <w:szCs w:val="32"/>
                <w:highlight w:val="none"/>
                <w14:textFill>
                  <w14:solidFill>
                    <w14:schemeClr w14:val="tx1"/>
                  </w14:solidFill>
                </w14:textFill>
              </w:rPr>
              <w:t>GB18599-2020</w:t>
            </w:r>
            <w:r>
              <w:rPr>
                <w:rFonts w:hint="eastAsia" w:ascii="宋体" w:hAnsi="宋体"/>
                <w:color w:val="000000" w:themeColor="text1"/>
                <w:sz w:val="24"/>
                <w:szCs w:val="32"/>
                <w:highlight w:val="none"/>
                <w14:textFill>
                  <w14:solidFill>
                    <w14:schemeClr w14:val="tx1"/>
                  </w14:solidFill>
                </w14:textFill>
              </w:rPr>
              <w:t>）</w:t>
            </w:r>
            <w:r>
              <w:rPr>
                <w:rFonts w:ascii="宋体" w:hAnsi="宋体"/>
                <w:color w:val="000000" w:themeColor="text1"/>
                <w:sz w:val="24"/>
                <w:szCs w:val="32"/>
                <w:highlight w:val="none"/>
                <w14:textFill>
                  <w14:solidFill>
                    <w14:schemeClr w14:val="tx1"/>
                  </w14:solidFill>
                </w14:textFill>
              </w:rPr>
              <w:t>的要求进行建设。危废暂存场配套了防流失设施</w:t>
            </w:r>
            <w:r>
              <w:rPr>
                <w:rFonts w:hint="eastAsia" w:ascii="宋体" w:hAnsi="宋体"/>
                <w:color w:val="000000" w:themeColor="text1"/>
                <w:sz w:val="24"/>
                <w:szCs w:val="32"/>
                <w:highlight w:val="none"/>
                <w14:textFill>
                  <w14:solidFill>
                    <w14:schemeClr w14:val="tx1"/>
                  </w14:solidFill>
                </w14:textFill>
              </w:rPr>
              <w:t>后</w:t>
            </w:r>
            <w:r>
              <w:rPr>
                <w:rFonts w:ascii="宋体" w:hAnsi="宋体"/>
                <w:color w:val="000000" w:themeColor="text1"/>
                <w:sz w:val="24"/>
                <w:szCs w:val="32"/>
                <w:highlight w:val="none"/>
                <w14:textFill>
                  <w14:solidFill>
                    <w14:schemeClr w14:val="tx1"/>
                  </w14:solidFill>
                </w14:textFill>
              </w:rPr>
              <w:t>，很难对水环境产生不利影响。同时危险废物贮存</w:t>
            </w:r>
            <w:r>
              <w:rPr>
                <w:rFonts w:hint="eastAsia" w:ascii="宋体" w:hAnsi="宋体"/>
                <w:color w:val="000000" w:themeColor="text1"/>
                <w:sz w:val="24"/>
                <w:szCs w:val="32"/>
                <w:highlight w:val="none"/>
                <w14:textFill>
                  <w14:solidFill>
                    <w14:schemeClr w14:val="tx1"/>
                  </w14:solidFill>
                </w14:textFill>
              </w:rPr>
              <w:t>库应</w:t>
            </w:r>
            <w:r>
              <w:rPr>
                <w:rFonts w:ascii="宋体" w:hAnsi="宋体"/>
                <w:color w:val="000000" w:themeColor="text1"/>
                <w:sz w:val="24"/>
                <w:szCs w:val="32"/>
                <w:highlight w:val="none"/>
                <w14:textFill>
                  <w14:solidFill>
                    <w14:schemeClr w14:val="tx1"/>
                  </w14:solidFill>
                </w14:textFill>
              </w:rPr>
              <w:t>按照《危险废物贮存污染控制标准》的要求进行防渗建设，</w:t>
            </w:r>
            <w:r>
              <w:rPr>
                <w:rFonts w:hint="eastAsia" w:ascii="宋体" w:hAnsi="宋体"/>
                <w:color w:val="000000" w:themeColor="text1"/>
                <w:sz w:val="24"/>
                <w:szCs w:val="32"/>
                <w:highlight w:val="none"/>
                <w14:textFill>
                  <w14:solidFill>
                    <w14:schemeClr w14:val="tx1"/>
                  </w14:solidFill>
                </w14:textFill>
              </w:rPr>
              <w:t>落实防腐防渗措施后，</w:t>
            </w:r>
            <w:r>
              <w:rPr>
                <w:rFonts w:hint="eastAsia" w:ascii="宋体" w:hAnsi="宋体"/>
                <w:color w:val="000000" w:themeColor="text1"/>
                <w:sz w:val="24"/>
                <w:szCs w:val="32"/>
                <w:highlight w:val="none"/>
                <w:lang w:val="en-US" w:eastAsia="zh-CN"/>
                <w14:textFill>
                  <w14:solidFill>
                    <w14:schemeClr w14:val="tx1"/>
                  </w14:solidFill>
                </w14:textFill>
              </w:rPr>
              <w:t>不会对</w:t>
            </w:r>
            <w:r>
              <w:rPr>
                <w:rFonts w:ascii="宋体" w:hAnsi="宋体"/>
                <w:color w:val="000000" w:themeColor="text1"/>
                <w:sz w:val="24"/>
                <w:szCs w:val="32"/>
                <w:highlight w:val="none"/>
                <w14:textFill>
                  <w14:solidFill>
                    <w14:schemeClr w14:val="tx1"/>
                  </w14:solidFill>
                </w14:textFill>
              </w:rPr>
              <w:t>地下水产生不利环境影响</w:t>
            </w:r>
            <w:r>
              <w:rPr>
                <w:rFonts w:hint="eastAsia" w:ascii="宋体" w:hAnsi="宋体"/>
                <w:color w:val="000000" w:themeColor="text1"/>
                <w:sz w:val="24"/>
                <w:szCs w:val="32"/>
                <w:highlight w:val="none"/>
                <w:lang w:eastAsia="zh-CN"/>
                <w14:textFill>
                  <w14:solidFill>
                    <w14:schemeClr w14:val="tx1"/>
                  </w14:solidFill>
                </w14:textFill>
              </w:rPr>
              <w:t>。</w:t>
            </w:r>
            <w:r>
              <w:rPr>
                <w:rFonts w:hint="eastAsia" w:ascii="宋体" w:hAnsi="宋体"/>
                <w:color w:val="000000" w:themeColor="text1"/>
                <w:sz w:val="24"/>
                <w:szCs w:val="32"/>
                <w:highlight w:val="none"/>
                <w:lang w:val="en-US" w:eastAsia="zh-CN"/>
                <w14:textFill>
                  <w14:solidFill>
                    <w14:schemeClr w14:val="tx1"/>
                  </w14:solidFill>
                </w14:textFill>
              </w:rPr>
              <w:t>本项目在厂房西南角设置一般工业固体废物贮存场所，具体见下表。</w:t>
            </w:r>
          </w:p>
          <w:p w14:paraId="57ECB1A4">
            <w:pPr>
              <w:pStyle w:val="69"/>
              <w:spacing w:line="360" w:lineRule="auto"/>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表</w:t>
            </w:r>
            <w:r>
              <w:rPr>
                <w:rFonts w:hint="eastAsia" w:eastAsia="宋体" w:cs="宋体"/>
                <w:b/>
                <w:color w:val="000000" w:themeColor="text1"/>
                <w:kern w:val="2"/>
                <w:sz w:val="24"/>
                <w:szCs w:val="24"/>
                <w:highlight w:val="none"/>
                <w:lang w:val="en-US" w:eastAsia="zh-CN" w:bidi="ar-SA"/>
                <w14:textFill>
                  <w14:solidFill>
                    <w14:schemeClr w14:val="tx1"/>
                  </w14:solidFill>
                </w14:textFill>
              </w:rPr>
              <w:t>4.4-3</w:t>
            </w: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 xml:space="preserve">  建设项目一般工业固废贮存场所（设施）基本情况</w:t>
            </w:r>
            <w:r>
              <w:rPr>
                <w:rFonts w:hint="eastAsia" w:eastAsia="宋体" w:cs="宋体"/>
                <w:b/>
                <w:color w:val="000000" w:themeColor="text1"/>
                <w:kern w:val="2"/>
                <w:sz w:val="24"/>
                <w:szCs w:val="24"/>
                <w:highlight w:val="none"/>
                <w:lang w:val="en-US" w:eastAsia="zh-CN" w:bidi="ar-SA"/>
                <w14:textFill>
                  <w14:solidFill>
                    <w14:schemeClr w14:val="tx1"/>
                  </w14:solidFill>
                </w14:textFill>
              </w:rPr>
              <w:t>一览表</w:t>
            </w:r>
          </w:p>
          <w:tbl>
            <w:tblPr>
              <w:tblStyle w:val="30"/>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479"/>
              <w:gridCol w:w="919"/>
              <w:gridCol w:w="1200"/>
              <w:gridCol w:w="870"/>
              <w:gridCol w:w="908"/>
              <w:gridCol w:w="826"/>
              <w:gridCol w:w="767"/>
              <w:gridCol w:w="693"/>
              <w:gridCol w:w="693"/>
              <w:gridCol w:w="756"/>
            </w:tblGrid>
            <w:tr w14:paraId="086913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3" w:hRule="atLeast"/>
              </w:trPr>
              <w:tc>
                <w:tcPr>
                  <w:tcW w:w="479" w:type="dxa"/>
                  <w:noWrap w:val="0"/>
                  <w:vAlign w:val="center"/>
                </w:tcPr>
                <w:p w14:paraId="1B2F6EA1">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序号</w:t>
                  </w:r>
                </w:p>
              </w:tc>
              <w:tc>
                <w:tcPr>
                  <w:tcW w:w="919" w:type="dxa"/>
                  <w:noWrap w:val="0"/>
                  <w:vAlign w:val="center"/>
                </w:tcPr>
                <w:p w14:paraId="1E8CEB68">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贮存场所（设施）名称</w:t>
                  </w:r>
                </w:p>
              </w:tc>
              <w:tc>
                <w:tcPr>
                  <w:tcW w:w="1200" w:type="dxa"/>
                  <w:noWrap w:val="0"/>
                  <w:vAlign w:val="center"/>
                </w:tcPr>
                <w:p w14:paraId="41CE3175">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lang w:val="en-US" w:eastAsia="zh-CN"/>
                      <w14:textFill>
                        <w14:solidFill>
                          <w14:schemeClr w14:val="tx1"/>
                        </w14:solidFill>
                      </w14:textFill>
                    </w:rPr>
                    <w:t>一般工业固废</w:t>
                  </w:r>
                  <w:r>
                    <w:rPr>
                      <w:rFonts w:hint="default" w:ascii="Times New Roman" w:hAnsi="Times New Roman" w:eastAsia="宋体" w:cs="Times New Roman"/>
                      <w:color w:val="000000" w:themeColor="text1"/>
                      <w:kern w:val="0"/>
                      <w:szCs w:val="21"/>
                      <w:highlight w:val="none"/>
                      <w14:textFill>
                        <w14:solidFill>
                          <w14:schemeClr w14:val="tx1"/>
                        </w14:solidFill>
                      </w14:textFill>
                    </w:rPr>
                    <w:t>名称</w:t>
                  </w:r>
                </w:p>
              </w:tc>
              <w:tc>
                <w:tcPr>
                  <w:tcW w:w="870" w:type="dxa"/>
                  <w:noWrap w:val="0"/>
                  <w:vAlign w:val="center"/>
                </w:tcPr>
                <w:p w14:paraId="61983605">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类别</w:t>
                  </w:r>
                </w:p>
              </w:tc>
              <w:tc>
                <w:tcPr>
                  <w:tcW w:w="908" w:type="dxa"/>
                  <w:noWrap w:val="0"/>
                  <w:vAlign w:val="center"/>
                </w:tcPr>
                <w:p w14:paraId="7CF8BA39">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代码</w:t>
                  </w:r>
                </w:p>
              </w:tc>
              <w:tc>
                <w:tcPr>
                  <w:tcW w:w="826" w:type="dxa"/>
                  <w:noWrap w:val="0"/>
                  <w:vAlign w:val="center"/>
                </w:tcPr>
                <w:p w14:paraId="443722DF">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位置</w:t>
                  </w:r>
                </w:p>
              </w:tc>
              <w:tc>
                <w:tcPr>
                  <w:tcW w:w="767" w:type="dxa"/>
                  <w:noWrap w:val="0"/>
                  <w:vAlign w:val="center"/>
                </w:tcPr>
                <w:p w14:paraId="4B78B0E1">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占地面积</w:t>
                  </w:r>
                </w:p>
              </w:tc>
              <w:tc>
                <w:tcPr>
                  <w:tcW w:w="693" w:type="dxa"/>
                  <w:noWrap w:val="0"/>
                  <w:vAlign w:val="center"/>
                </w:tcPr>
                <w:p w14:paraId="1B721913">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贮存方式</w:t>
                  </w:r>
                </w:p>
              </w:tc>
              <w:tc>
                <w:tcPr>
                  <w:tcW w:w="693" w:type="dxa"/>
                  <w:noWrap w:val="0"/>
                  <w:vAlign w:val="center"/>
                </w:tcPr>
                <w:p w14:paraId="06FA8800">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贮存</w:t>
                  </w:r>
                </w:p>
                <w:p w14:paraId="0FAD0D3A">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能力</w:t>
                  </w:r>
                </w:p>
              </w:tc>
              <w:tc>
                <w:tcPr>
                  <w:tcW w:w="756" w:type="dxa"/>
                  <w:noWrap w:val="0"/>
                  <w:vAlign w:val="center"/>
                </w:tcPr>
                <w:p w14:paraId="616903EB">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贮存</w:t>
                  </w:r>
                </w:p>
                <w:p w14:paraId="25DD1B12">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周期</w:t>
                  </w:r>
                </w:p>
              </w:tc>
            </w:tr>
            <w:tr w14:paraId="1919A7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3" w:hRule="atLeast"/>
              </w:trPr>
              <w:tc>
                <w:tcPr>
                  <w:tcW w:w="479" w:type="dxa"/>
                  <w:vMerge w:val="restart"/>
                  <w:noWrap w:val="0"/>
                  <w:vAlign w:val="center"/>
                </w:tcPr>
                <w:p w14:paraId="14D8EEC2">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1</w:t>
                  </w:r>
                </w:p>
              </w:tc>
              <w:tc>
                <w:tcPr>
                  <w:tcW w:w="919" w:type="dxa"/>
                  <w:vMerge w:val="restart"/>
                  <w:noWrap w:val="0"/>
                  <w:vAlign w:val="center"/>
                </w:tcPr>
                <w:p w14:paraId="3E51B0E4">
                  <w:pPr>
                    <w:topLinePunct/>
                    <w:adjustRightInd w:val="0"/>
                    <w:snapToGrid w:val="0"/>
                    <w:jc w:val="center"/>
                    <w:rPr>
                      <w:rFonts w:hint="default" w:ascii="Times New Roman" w:hAnsi="Times New Roman" w:eastAsia="宋体" w:cs="Times New Roman"/>
                      <w:color w:val="000000" w:themeColor="text1"/>
                      <w:kern w:val="0"/>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highlight w:val="none"/>
                      <w:lang w:val="en-US" w:eastAsia="zh-CN"/>
                      <w14:textFill>
                        <w14:solidFill>
                          <w14:schemeClr w14:val="tx1"/>
                        </w14:solidFill>
                      </w14:textFill>
                    </w:rPr>
                    <w:t>一般工业固废暂存</w:t>
                  </w:r>
                  <w:r>
                    <w:rPr>
                      <w:rFonts w:hint="eastAsia" w:cs="Times New Roman"/>
                      <w:color w:val="000000" w:themeColor="text1"/>
                      <w:kern w:val="0"/>
                      <w:szCs w:val="21"/>
                      <w:highlight w:val="none"/>
                      <w:lang w:val="en-US" w:eastAsia="zh-CN"/>
                      <w14:textFill>
                        <w14:solidFill>
                          <w14:schemeClr w14:val="tx1"/>
                        </w14:solidFill>
                      </w14:textFill>
                    </w:rPr>
                    <w:t>间</w:t>
                  </w:r>
                </w:p>
              </w:tc>
              <w:tc>
                <w:tcPr>
                  <w:tcW w:w="1200" w:type="dxa"/>
                  <w:noWrap w:val="0"/>
                  <w:vAlign w:val="center"/>
                </w:tcPr>
                <w:p w14:paraId="74BC02D8">
                  <w:pPr>
                    <w:keepNext w:val="0"/>
                    <w:keepLines w:val="0"/>
                    <w:widowControl/>
                    <w:suppressLineNumbers w:val="0"/>
                    <w:jc w:val="center"/>
                    <w:textAlignment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不合格产品</w:t>
                  </w:r>
                </w:p>
              </w:tc>
              <w:tc>
                <w:tcPr>
                  <w:tcW w:w="870" w:type="dxa"/>
                  <w:noWrap w:val="0"/>
                  <w:vAlign w:val="center"/>
                </w:tcPr>
                <w:p w14:paraId="6A103E3A">
                  <w:pPr>
                    <w:keepNext w:val="0"/>
                    <w:keepLines w:val="0"/>
                    <w:widowControl/>
                    <w:suppressLineNumbers w:val="0"/>
                    <w:jc w:val="center"/>
                    <w:textAlignment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SW17</w:t>
                  </w:r>
                </w:p>
              </w:tc>
              <w:tc>
                <w:tcPr>
                  <w:tcW w:w="908" w:type="dxa"/>
                  <w:noWrap w:val="0"/>
                  <w:vAlign w:val="center"/>
                </w:tcPr>
                <w:p w14:paraId="4B1C7C8F">
                  <w:pPr>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900-004-S17</w:t>
                  </w:r>
                </w:p>
              </w:tc>
              <w:tc>
                <w:tcPr>
                  <w:tcW w:w="826" w:type="dxa"/>
                  <w:vMerge w:val="restart"/>
                  <w:noWrap w:val="0"/>
                  <w:vAlign w:val="center"/>
                </w:tcPr>
                <w:p w14:paraId="53C68E85">
                  <w:pPr>
                    <w:topLinePunct/>
                    <w:adjustRightInd w:val="0"/>
                    <w:snapToGrid w:val="0"/>
                    <w:jc w:val="center"/>
                    <w:rPr>
                      <w:rFonts w:hint="default" w:ascii="Times New Roman" w:hAnsi="Times New Roman" w:eastAsia="宋体" w:cs="Times New Roman"/>
                      <w:color w:val="000000" w:themeColor="text1"/>
                      <w:kern w:val="0"/>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t>厂房</w:t>
                  </w:r>
                  <w:r>
                    <w:rPr>
                      <w:rFonts w:hint="eastAsia" w:cs="Times New Roman"/>
                      <w:color w:val="000000" w:themeColor="text1"/>
                      <w:kern w:val="0"/>
                      <w:szCs w:val="21"/>
                      <w:highlight w:val="none"/>
                      <w:lang w:val="en-US" w:eastAsia="zh-CN"/>
                      <w14:textFill>
                        <w14:solidFill>
                          <w14:schemeClr w14:val="tx1"/>
                        </w14:solidFill>
                      </w14:textFill>
                    </w:rPr>
                    <w:t>一楼西南角</w:t>
                  </w:r>
                </w:p>
              </w:tc>
              <w:tc>
                <w:tcPr>
                  <w:tcW w:w="767" w:type="dxa"/>
                  <w:vMerge w:val="restart"/>
                  <w:noWrap w:val="0"/>
                  <w:vAlign w:val="center"/>
                </w:tcPr>
                <w:p w14:paraId="72B82CE3">
                  <w:pPr>
                    <w:topLinePunct/>
                    <w:adjustRightInd w:val="0"/>
                    <w:snapToGrid w:val="0"/>
                    <w:jc w:val="center"/>
                    <w:rPr>
                      <w:rFonts w:hint="default" w:ascii="Times New Roman" w:hAnsi="Times New Roman" w:eastAsia="宋体" w:cs="Times New Roman"/>
                      <w:color w:val="000000" w:themeColor="text1"/>
                      <w:kern w:val="0"/>
                      <w:szCs w:val="21"/>
                      <w:highlight w:val="none"/>
                      <w:lang w:val="en-US" w:eastAsia="zh-CN"/>
                      <w14:textFill>
                        <w14:solidFill>
                          <w14:schemeClr w14:val="tx1"/>
                        </w14:solidFill>
                      </w14:textFill>
                    </w:rPr>
                  </w:pPr>
                  <w:r>
                    <w:rPr>
                      <w:rFonts w:hint="eastAsia" w:cs="Times New Roman"/>
                      <w:color w:val="000000" w:themeColor="text1"/>
                      <w:kern w:val="0"/>
                      <w:szCs w:val="21"/>
                      <w:highlight w:val="none"/>
                      <w:lang w:val="en-US" w:eastAsia="zh-CN"/>
                      <w14:textFill>
                        <w14:solidFill>
                          <w14:schemeClr w14:val="tx1"/>
                        </w14:solidFill>
                      </w14:textFill>
                    </w:rPr>
                    <w:t>26</w:t>
                  </w:r>
                  <w: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kern w:val="0"/>
                      <w:szCs w:val="21"/>
                      <w:highlight w:val="none"/>
                      <w:vertAlign w:val="superscript"/>
                      <w:lang w:val="en-US" w:eastAsia="zh-CN"/>
                      <w14:textFill>
                        <w14:solidFill>
                          <w14:schemeClr w14:val="tx1"/>
                        </w14:solidFill>
                      </w14:textFill>
                    </w:rPr>
                    <w:t>2</w:t>
                  </w:r>
                </w:p>
              </w:tc>
              <w:tc>
                <w:tcPr>
                  <w:tcW w:w="693" w:type="dxa"/>
                  <w:noWrap w:val="0"/>
                  <w:vAlign w:val="center"/>
                </w:tcPr>
                <w:p w14:paraId="617FAB25">
                  <w:pPr>
                    <w:jc w:val="center"/>
                    <w:rPr>
                      <w:rFonts w:hint="eastAsia" w:ascii="Times New Roman" w:hAnsi="Times New Roman" w:eastAsia="宋体" w:cs="Times New Roman"/>
                      <w:color w:val="000000" w:themeColor="text1"/>
                      <w:kern w:val="0"/>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袋装</w:t>
                  </w:r>
                </w:p>
              </w:tc>
              <w:tc>
                <w:tcPr>
                  <w:tcW w:w="693" w:type="dxa"/>
                  <w:vMerge w:val="restart"/>
                  <w:noWrap w:val="0"/>
                  <w:vAlign w:val="center"/>
                </w:tcPr>
                <w:p w14:paraId="2F26ECA3">
                  <w:pPr>
                    <w:topLinePunct/>
                    <w:adjustRightInd w:val="0"/>
                    <w:snapToGrid w:val="0"/>
                    <w:jc w:val="center"/>
                    <w:rPr>
                      <w:rFonts w:hint="default" w:ascii="Times New Roman" w:hAnsi="Times New Roman" w:eastAsia="宋体" w:cs="Times New Roman"/>
                      <w:color w:val="000000" w:themeColor="text1"/>
                      <w:kern w:val="0"/>
                      <w:szCs w:val="21"/>
                      <w:highlight w:val="none"/>
                      <w:lang w:val="en-US" w:eastAsia="zh-CN"/>
                      <w14:textFill>
                        <w14:solidFill>
                          <w14:schemeClr w14:val="tx1"/>
                        </w14:solidFill>
                      </w14:textFill>
                    </w:rPr>
                  </w:pPr>
                  <w:r>
                    <w:rPr>
                      <w:rFonts w:hint="eastAsia" w:cs="Times New Roman"/>
                      <w:color w:val="000000" w:themeColor="text1"/>
                      <w:kern w:val="0"/>
                      <w:szCs w:val="21"/>
                      <w:highlight w:val="none"/>
                      <w:lang w:val="en-US" w:eastAsia="zh-CN"/>
                      <w14:textFill>
                        <w14:solidFill>
                          <w14:schemeClr w14:val="tx1"/>
                        </w14:solidFill>
                      </w14:textFill>
                    </w:rPr>
                    <w:t>26</w:t>
                  </w:r>
                  <w: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t>t</w:t>
                  </w:r>
                </w:p>
              </w:tc>
              <w:tc>
                <w:tcPr>
                  <w:tcW w:w="756" w:type="dxa"/>
                  <w:vMerge w:val="restart"/>
                  <w:noWrap w:val="0"/>
                  <w:vAlign w:val="center"/>
                </w:tcPr>
                <w:p w14:paraId="509868EF">
                  <w:pPr>
                    <w:topLinePunct/>
                    <w:adjustRightInd w:val="0"/>
                    <w:snapToGrid w:val="0"/>
                    <w:jc w:val="center"/>
                    <w:rPr>
                      <w:rFonts w:hint="default" w:ascii="Times New Roman" w:hAnsi="Times New Roman" w:eastAsia="宋体" w:cs="Times New Roman"/>
                      <w:color w:val="000000" w:themeColor="text1"/>
                      <w:kern w:val="0"/>
                      <w:szCs w:val="21"/>
                      <w:highlight w:val="none"/>
                      <w:lang w:val="en-US" w:eastAsia="zh-CN"/>
                      <w14:textFill>
                        <w14:solidFill>
                          <w14:schemeClr w14:val="tx1"/>
                        </w14:solidFill>
                      </w14:textFill>
                    </w:rPr>
                  </w:pPr>
                  <w:r>
                    <w:rPr>
                      <w:rFonts w:hint="eastAsia" w:cs="Times New Roman"/>
                      <w:color w:val="000000" w:themeColor="text1"/>
                      <w:kern w:val="0"/>
                      <w:szCs w:val="21"/>
                      <w:highlight w:val="none"/>
                      <w:lang w:val="en-US" w:eastAsia="zh-CN"/>
                      <w14:textFill>
                        <w14:solidFill>
                          <w14:schemeClr w14:val="tx1"/>
                        </w14:solidFill>
                      </w14:textFill>
                    </w:rPr>
                    <w:t>3个月</w:t>
                  </w:r>
                </w:p>
              </w:tc>
            </w:tr>
            <w:tr w14:paraId="317675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3" w:hRule="atLeast"/>
              </w:trPr>
              <w:tc>
                <w:tcPr>
                  <w:tcW w:w="479" w:type="dxa"/>
                  <w:vMerge w:val="continue"/>
                  <w:noWrap w:val="0"/>
                  <w:vAlign w:val="center"/>
                </w:tcPr>
                <w:p w14:paraId="78CB66F3">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919" w:type="dxa"/>
                  <w:vMerge w:val="continue"/>
                  <w:noWrap w:val="0"/>
                  <w:vAlign w:val="center"/>
                </w:tcPr>
                <w:p w14:paraId="128FD20C">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1200" w:type="dxa"/>
                  <w:noWrap w:val="0"/>
                  <w:vAlign w:val="center"/>
                </w:tcPr>
                <w:p w14:paraId="3E912791">
                  <w:pPr>
                    <w:keepNext w:val="0"/>
                    <w:keepLines w:val="0"/>
                    <w:widowControl/>
                    <w:suppressLineNumbers w:val="0"/>
                    <w:jc w:val="center"/>
                    <w:textAlignment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废包装材料</w:t>
                  </w:r>
                </w:p>
              </w:tc>
              <w:tc>
                <w:tcPr>
                  <w:tcW w:w="870" w:type="dxa"/>
                  <w:noWrap w:val="0"/>
                  <w:vAlign w:val="center"/>
                </w:tcPr>
                <w:p w14:paraId="417A4307">
                  <w:pPr>
                    <w:keepNext w:val="0"/>
                    <w:keepLines w:val="0"/>
                    <w:widowControl/>
                    <w:suppressLineNumbers w:val="0"/>
                    <w:jc w:val="center"/>
                    <w:textAlignment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SW17</w:t>
                  </w:r>
                </w:p>
              </w:tc>
              <w:tc>
                <w:tcPr>
                  <w:tcW w:w="908" w:type="dxa"/>
                  <w:noWrap w:val="0"/>
                  <w:vAlign w:val="center"/>
                </w:tcPr>
                <w:p w14:paraId="5A856A96">
                  <w:pPr>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900-099-S17</w:t>
                  </w:r>
                </w:p>
              </w:tc>
              <w:tc>
                <w:tcPr>
                  <w:tcW w:w="826" w:type="dxa"/>
                  <w:vMerge w:val="continue"/>
                  <w:noWrap w:val="0"/>
                  <w:vAlign w:val="center"/>
                </w:tcPr>
                <w:p w14:paraId="16751AFE">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767" w:type="dxa"/>
                  <w:vMerge w:val="continue"/>
                  <w:noWrap w:val="0"/>
                  <w:vAlign w:val="center"/>
                </w:tcPr>
                <w:p w14:paraId="13C8F97E">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693" w:type="dxa"/>
                  <w:noWrap w:val="0"/>
                  <w:vAlign w:val="center"/>
                </w:tcPr>
                <w:p w14:paraId="7E44E056">
                  <w:pPr>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堆叠</w:t>
                  </w:r>
                </w:p>
              </w:tc>
              <w:tc>
                <w:tcPr>
                  <w:tcW w:w="693" w:type="dxa"/>
                  <w:vMerge w:val="continue"/>
                  <w:noWrap w:val="0"/>
                  <w:vAlign w:val="center"/>
                </w:tcPr>
                <w:p w14:paraId="6A6B210A">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756" w:type="dxa"/>
                  <w:vMerge w:val="continue"/>
                  <w:noWrap w:val="0"/>
                  <w:vAlign w:val="center"/>
                </w:tcPr>
                <w:p w14:paraId="05874072">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r>
            <w:tr w14:paraId="7FF37E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3" w:hRule="atLeast"/>
              </w:trPr>
              <w:tc>
                <w:tcPr>
                  <w:tcW w:w="479" w:type="dxa"/>
                  <w:vMerge w:val="continue"/>
                  <w:noWrap w:val="0"/>
                  <w:vAlign w:val="center"/>
                </w:tcPr>
                <w:p w14:paraId="7956CEFB">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919" w:type="dxa"/>
                  <w:vMerge w:val="continue"/>
                  <w:noWrap w:val="0"/>
                  <w:vAlign w:val="center"/>
                </w:tcPr>
                <w:p w14:paraId="296B2168">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1200" w:type="dxa"/>
                  <w:noWrap w:val="0"/>
                  <w:vAlign w:val="center"/>
                </w:tcPr>
                <w:p w14:paraId="28F43FB0">
                  <w:pPr>
                    <w:keepNext w:val="0"/>
                    <w:keepLines w:val="0"/>
                    <w:widowControl/>
                    <w:suppressLineNumbers w:val="0"/>
                    <w:jc w:val="center"/>
                    <w:textAlignment w:val="center"/>
                    <w:rPr>
                      <w:rFonts w:hint="eastAsia"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废金刚砂</w:t>
                  </w:r>
                </w:p>
              </w:tc>
              <w:tc>
                <w:tcPr>
                  <w:tcW w:w="870" w:type="dxa"/>
                  <w:noWrap w:val="0"/>
                  <w:vAlign w:val="center"/>
                </w:tcPr>
                <w:p w14:paraId="3B3E31D6">
                  <w:pPr>
                    <w:keepNext w:val="0"/>
                    <w:keepLines w:val="0"/>
                    <w:widowControl/>
                    <w:suppressLineNumbers w:val="0"/>
                    <w:jc w:val="center"/>
                    <w:textAlignment w:val="center"/>
                    <w:rPr>
                      <w:rFonts w:hint="eastAsia"/>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SW17</w:t>
                  </w:r>
                </w:p>
              </w:tc>
              <w:tc>
                <w:tcPr>
                  <w:tcW w:w="908" w:type="dxa"/>
                  <w:noWrap w:val="0"/>
                  <w:vAlign w:val="center"/>
                </w:tcPr>
                <w:p w14:paraId="35623936">
                  <w:pPr>
                    <w:jc w:val="center"/>
                    <w:rPr>
                      <w:rFonts w:hint="eastAsia"/>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900-099-S17</w:t>
                  </w:r>
                </w:p>
              </w:tc>
              <w:tc>
                <w:tcPr>
                  <w:tcW w:w="826" w:type="dxa"/>
                  <w:vMerge w:val="continue"/>
                  <w:noWrap w:val="0"/>
                  <w:vAlign w:val="center"/>
                </w:tcPr>
                <w:p w14:paraId="5548A95F">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767" w:type="dxa"/>
                  <w:vMerge w:val="continue"/>
                  <w:noWrap w:val="0"/>
                  <w:vAlign w:val="center"/>
                </w:tcPr>
                <w:p w14:paraId="39621F02">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693" w:type="dxa"/>
                  <w:noWrap w:val="0"/>
                  <w:vAlign w:val="center"/>
                </w:tcPr>
                <w:p w14:paraId="29108A95">
                  <w:pPr>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袋装</w:t>
                  </w:r>
                </w:p>
              </w:tc>
              <w:tc>
                <w:tcPr>
                  <w:tcW w:w="693" w:type="dxa"/>
                  <w:vMerge w:val="continue"/>
                  <w:noWrap w:val="0"/>
                  <w:vAlign w:val="center"/>
                </w:tcPr>
                <w:p w14:paraId="41D88AE2">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756" w:type="dxa"/>
                  <w:vMerge w:val="continue"/>
                  <w:noWrap w:val="0"/>
                  <w:vAlign w:val="center"/>
                </w:tcPr>
                <w:p w14:paraId="680997F7">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r>
            <w:tr w14:paraId="229404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3" w:hRule="atLeast"/>
              </w:trPr>
              <w:tc>
                <w:tcPr>
                  <w:tcW w:w="479" w:type="dxa"/>
                  <w:vMerge w:val="continue"/>
                  <w:noWrap w:val="0"/>
                  <w:vAlign w:val="center"/>
                </w:tcPr>
                <w:p w14:paraId="1CB74793">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919" w:type="dxa"/>
                  <w:vMerge w:val="continue"/>
                  <w:noWrap w:val="0"/>
                  <w:vAlign w:val="center"/>
                </w:tcPr>
                <w:p w14:paraId="0874E5CE">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1200" w:type="dxa"/>
                  <w:noWrap w:val="0"/>
                  <w:vAlign w:val="center"/>
                </w:tcPr>
                <w:p w14:paraId="52FDA023">
                  <w:pPr>
                    <w:keepNext w:val="0"/>
                    <w:keepLines w:val="0"/>
                    <w:widowControl/>
                    <w:suppressLineNumbers w:val="0"/>
                    <w:jc w:val="center"/>
                    <w:textAlignment w:val="center"/>
                    <w:rPr>
                      <w:rFonts w:hint="eastAsia"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废边角料</w:t>
                  </w:r>
                </w:p>
              </w:tc>
              <w:tc>
                <w:tcPr>
                  <w:tcW w:w="870" w:type="dxa"/>
                  <w:noWrap w:val="0"/>
                  <w:vAlign w:val="center"/>
                </w:tcPr>
                <w:p w14:paraId="3EB0A0B8">
                  <w:pPr>
                    <w:keepNext w:val="0"/>
                    <w:keepLines w:val="0"/>
                    <w:widowControl/>
                    <w:suppressLineNumbers w:val="0"/>
                    <w:jc w:val="center"/>
                    <w:textAlignment w:val="center"/>
                    <w:rPr>
                      <w:rFonts w:hint="eastAsia"/>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SW17</w:t>
                  </w:r>
                </w:p>
              </w:tc>
              <w:tc>
                <w:tcPr>
                  <w:tcW w:w="908" w:type="dxa"/>
                  <w:noWrap w:val="0"/>
                  <w:vAlign w:val="center"/>
                </w:tcPr>
                <w:p w14:paraId="4D59F0A3">
                  <w:pPr>
                    <w:jc w:val="center"/>
                    <w:rPr>
                      <w:rFonts w:hint="eastAsia"/>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900-004-S17</w:t>
                  </w:r>
                </w:p>
              </w:tc>
              <w:tc>
                <w:tcPr>
                  <w:tcW w:w="826" w:type="dxa"/>
                  <w:vMerge w:val="continue"/>
                  <w:noWrap w:val="0"/>
                  <w:vAlign w:val="center"/>
                </w:tcPr>
                <w:p w14:paraId="693677AB">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767" w:type="dxa"/>
                  <w:vMerge w:val="continue"/>
                  <w:noWrap w:val="0"/>
                  <w:vAlign w:val="center"/>
                </w:tcPr>
                <w:p w14:paraId="70558BE5">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693" w:type="dxa"/>
                  <w:noWrap w:val="0"/>
                  <w:vAlign w:val="center"/>
                </w:tcPr>
                <w:p w14:paraId="7DCA9D1F">
                  <w:pPr>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袋装</w:t>
                  </w:r>
                </w:p>
              </w:tc>
              <w:tc>
                <w:tcPr>
                  <w:tcW w:w="693" w:type="dxa"/>
                  <w:vMerge w:val="continue"/>
                  <w:noWrap w:val="0"/>
                  <w:vAlign w:val="center"/>
                </w:tcPr>
                <w:p w14:paraId="2231BA30">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756" w:type="dxa"/>
                  <w:vMerge w:val="continue"/>
                  <w:noWrap w:val="0"/>
                  <w:vAlign w:val="center"/>
                </w:tcPr>
                <w:p w14:paraId="5F5206A1">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r>
            <w:tr w14:paraId="372422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3" w:hRule="atLeast"/>
              </w:trPr>
              <w:tc>
                <w:tcPr>
                  <w:tcW w:w="479" w:type="dxa"/>
                  <w:vMerge w:val="continue"/>
                  <w:noWrap w:val="0"/>
                  <w:vAlign w:val="center"/>
                </w:tcPr>
                <w:p w14:paraId="257808EB">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919" w:type="dxa"/>
                  <w:vMerge w:val="continue"/>
                  <w:noWrap w:val="0"/>
                  <w:vAlign w:val="center"/>
                </w:tcPr>
                <w:p w14:paraId="4208F7F1">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1200" w:type="dxa"/>
                  <w:noWrap w:val="0"/>
                  <w:vAlign w:val="center"/>
                </w:tcPr>
                <w:p w14:paraId="1A39BE7B">
                  <w:pPr>
                    <w:keepNext w:val="0"/>
                    <w:keepLines w:val="0"/>
                    <w:widowControl/>
                    <w:suppressLineNumbers w:val="0"/>
                    <w:jc w:val="center"/>
                    <w:textAlignment w:val="center"/>
                    <w:rPr>
                      <w:rFonts w:hint="eastAsia"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废树脂</w:t>
                  </w:r>
                </w:p>
              </w:tc>
              <w:tc>
                <w:tcPr>
                  <w:tcW w:w="870" w:type="dxa"/>
                  <w:noWrap w:val="0"/>
                  <w:vAlign w:val="center"/>
                </w:tcPr>
                <w:p w14:paraId="74A4808C">
                  <w:pPr>
                    <w:keepNext w:val="0"/>
                    <w:keepLines w:val="0"/>
                    <w:widowControl/>
                    <w:suppressLineNumbers w:val="0"/>
                    <w:jc w:val="center"/>
                    <w:textAlignment w:val="center"/>
                    <w:rPr>
                      <w:rFonts w:hint="eastAsia"/>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SW59</w:t>
                  </w:r>
                </w:p>
              </w:tc>
              <w:tc>
                <w:tcPr>
                  <w:tcW w:w="908" w:type="dxa"/>
                  <w:noWrap w:val="0"/>
                  <w:vAlign w:val="center"/>
                </w:tcPr>
                <w:p w14:paraId="3B671C33">
                  <w:pPr>
                    <w:jc w:val="center"/>
                    <w:rPr>
                      <w:rFonts w:hint="eastAsia"/>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900-008-S59</w:t>
                  </w:r>
                </w:p>
              </w:tc>
              <w:tc>
                <w:tcPr>
                  <w:tcW w:w="826" w:type="dxa"/>
                  <w:vMerge w:val="continue"/>
                  <w:noWrap w:val="0"/>
                  <w:vAlign w:val="center"/>
                </w:tcPr>
                <w:p w14:paraId="00C4F016">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767" w:type="dxa"/>
                  <w:vMerge w:val="continue"/>
                  <w:noWrap w:val="0"/>
                  <w:vAlign w:val="center"/>
                </w:tcPr>
                <w:p w14:paraId="5CC8BDDD">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693" w:type="dxa"/>
                  <w:noWrap w:val="0"/>
                  <w:vAlign w:val="center"/>
                </w:tcPr>
                <w:p w14:paraId="769079AD">
                  <w:pPr>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袋装</w:t>
                  </w:r>
                </w:p>
              </w:tc>
              <w:tc>
                <w:tcPr>
                  <w:tcW w:w="693" w:type="dxa"/>
                  <w:vMerge w:val="continue"/>
                  <w:noWrap w:val="0"/>
                  <w:vAlign w:val="center"/>
                </w:tcPr>
                <w:p w14:paraId="038E0870">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756" w:type="dxa"/>
                  <w:vMerge w:val="continue"/>
                  <w:noWrap w:val="0"/>
                  <w:vAlign w:val="center"/>
                </w:tcPr>
                <w:p w14:paraId="62EF1ECE">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r>
            <w:tr w14:paraId="15465D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3" w:hRule="atLeast"/>
              </w:trPr>
              <w:tc>
                <w:tcPr>
                  <w:tcW w:w="479" w:type="dxa"/>
                  <w:vMerge w:val="continue"/>
                  <w:noWrap w:val="0"/>
                  <w:vAlign w:val="center"/>
                </w:tcPr>
                <w:p w14:paraId="3795EC9E">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919" w:type="dxa"/>
                  <w:vMerge w:val="continue"/>
                  <w:noWrap w:val="0"/>
                  <w:vAlign w:val="center"/>
                </w:tcPr>
                <w:p w14:paraId="59FA96D9">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1200" w:type="dxa"/>
                  <w:noWrap w:val="0"/>
                  <w:vAlign w:val="center"/>
                </w:tcPr>
                <w:p w14:paraId="356216C1">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沉淀废渣</w:t>
                  </w:r>
                </w:p>
              </w:tc>
              <w:tc>
                <w:tcPr>
                  <w:tcW w:w="870" w:type="dxa"/>
                  <w:noWrap w:val="0"/>
                  <w:vAlign w:val="center"/>
                </w:tcPr>
                <w:p w14:paraId="4766BB2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SW07</w:t>
                  </w:r>
                </w:p>
              </w:tc>
              <w:tc>
                <w:tcPr>
                  <w:tcW w:w="908" w:type="dxa"/>
                  <w:noWrap w:val="0"/>
                  <w:vAlign w:val="center"/>
                </w:tcPr>
                <w:p w14:paraId="10B38EDF">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900-099-S07</w:t>
                  </w:r>
                </w:p>
              </w:tc>
              <w:tc>
                <w:tcPr>
                  <w:tcW w:w="826" w:type="dxa"/>
                  <w:vMerge w:val="continue"/>
                  <w:noWrap w:val="0"/>
                  <w:vAlign w:val="center"/>
                </w:tcPr>
                <w:p w14:paraId="517921A6">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767" w:type="dxa"/>
                  <w:vMerge w:val="continue"/>
                  <w:noWrap w:val="0"/>
                  <w:vAlign w:val="center"/>
                </w:tcPr>
                <w:p w14:paraId="7E85232A">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693" w:type="dxa"/>
                  <w:noWrap w:val="0"/>
                  <w:vAlign w:val="center"/>
                </w:tcPr>
                <w:p w14:paraId="59FEEDF1">
                  <w:pPr>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袋装</w:t>
                  </w:r>
                </w:p>
              </w:tc>
              <w:tc>
                <w:tcPr>
                  <w:tcW w:w="693" w:type="dxa"/>
                  <w:vMerge w:val="continue"/>
                  <w:noWrap w:val="0"/>
                  <w:vAlign w:val="center"/>
                </w:tcPr>
                <w:p w14:paraId="0600806D">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756" w:type="dxa"/>
                  <w:vMerge w:val="continue"/>
                  <w:noWrap w:val="0"/>
                  <w:vAlign w:val="center"/>
                </w:tcPr>
                <w:p w14:paraId="0FF0BA63">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r>
          </w:tbl>
          <w:p w14:paraId="79EE8BE3">
            <w:pPr>
              <w:pStyle w:val="66"/>
              <w:ind w:firstLine="420"/>
              <w:rPr>
                <w:rFonts w:hint="default" w:ascii="宋体" w:hAnsi="宋体"/>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根据本项目危险废物产生量及转运次数，本次需建设约70m</w:t>
            </w:r>
            <w:r>
              <w:rPr>
                <w:rFonts w:hint="eastAsia"/>
                <w:color w:val="000000" w:themeColor="text1"/>
                <w:sz w:val="24"/>
                <w:szCs w:val="32"/>
                <w:highlight w:val="none"/>
                <w:vertAlign w:val="superscript"/>
                <w:lang w:val="en-US" w:eastAsia="zh-CN"/>
                <w14:textFill>
                  <w14:solidFill>
                    <w14:schemeClr w14:val="tx1"/>
                  </w14:solidFill>
                </w14:textFill>
              </w:rPr>
              <w:t>2</w:t>
            </w:r>
            <w:r>
              <w:rPr>
                <w:rFonts w:hint="eastAsia"/>
                <w:color w:val="000000" w:themeColor="text1"/>
                <w:sz w:val="24"/>
                <w:szCs w:val="32"/>
                <w:highlight w:val="none"/>
                <w:lang w:val="en-US" w:eastAsia="zh-CN"/>
                <w14:textFill>
                  <w14:solidFill>
                    <w14:schemeClr w14:val="tx1"/>
                  </w14:solidFill>
                </w14:textFill>
              </w:rPr>
              <w:t>的危废暂存间，用于存放不同性质的危险废物。</w:t>
            </w:r>
            <w:r>
              <w:rPr>
                <w:rFonts w:hint="eastAsia" w:ascii="宋体" w:hAnsi="宋体"/>
                <w:color w:val="000000" w:themeColor="text1"/>
                <w:sz w:val="24"/>
                <w:szCs w:val="32"/>
                <w:highlight w:val="none"/>
                <w:lang w:val="en-US" w:eastAsia="zh-CN"/>
                <w14:textFill>
                  <w14:solidFill>
                    <w14:schemeClr w14:val="tx1"/>
                  </w14:solidFill>
                </w14:textFill>
              </w:rPr>
              <w:t>本项目危险废物贮存场所（设施）基本情况见下表，可满足要求。</w:t>
            </w:r>
          </w:p>
          <w:p w14:paraId="2A9AFEEE">
            <w:pPr>
              <w:pStyle w:val="69"/>
              <w:spacing w:line="360" w:lineRule="auto"/>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表</w:t>
            </w:r>
            <w:r>
              <w:rPr>
                <w:rFonts w:hint="eastAsia" w:eastAsia="宋体" w:cs="宋体"/>
                <w:b/>
                <w:color w:val="000000" w:themeColor="text1"/>
                <w:kern w:val="2"/>
                <w:sz w:val="24"/>
                <w:szCs w:val="24"/>
                <w:highlight w:val="none"/>
                <w:lang w:val="en-US" w:eastAsia="zh-CN" w:bidi="ar-SA"/>
                <w14:textFill>
                  <w14:solidFill>
                    <w14:schemeClr w14:val="tx1"/>
                  </w14:solidFill>
                </w14:textFill>
              </w:rPr>
              <w:t>4.4-4</w:t>
            </w: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 xml:space="preserve">  建设项目危险废物贮存场所（设施）基本情况</w:t>
            </w:r>
            <w:r>
              <w:rPr>
                <w:rFonts w:hint="eastAsia" w:eastAsia="宋体" w:cs="宋体"/>
                <w:b/>
                <w:color w:val="000000" w:themeColor="text1"/>
                <w:kern w:val="2"/>
                <w:sz w:val="24"/>
                <w:szCs w:val="24"/>
                <w:highlight w:val="none"/>
                <w:lang w:val="en-US" w:eastAsia="zh-CN" w:bidi="ar-SA"/>
                <w14:textFill>
                  <w14:solidFill>
                    <w14:schemeClr w14:val="tx1"/>
                  </w14:solidFill>
                </w14:textFill>
              </w:rPr>
              <w:t>一览表</w:t>
            </w:r>
          </w:p>
          <w:tbl>
            <w:tblPr>
              <w:tblStyle w:val="30"/>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479"/>
              <w:gridCol w:w="919"/>
              <w:gridCol w:w="1095"/>
              <w:gridCol w:w="780"/>
              <w:gridCol w:w="1102"/>
              <w:gridCol w:w="826"/>
              <w:gridCol w:w="767"/>
              <w:gridCol w:w="693"/>
              <w:gridCol w:w="693"/>
              <w:gridCol w:w="756"/>
            </w:tblGrid>
            <w:tr w14:paraId="7DE2ED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3" w:hRule="atLeast"/>
              </w:trPr>
              <w:tc>
                <w:tcPr>
                  <w:tcW w:w="479" w:type="dxa"/>
                  <w:noWrap w:val="0"/>
                  <w:vAlign w:val="center"/>
                </w:tcPr>
                <w:p w14:paraId="79793A99">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序号</w:t>
                  </w:r>
                </w:p>
              </w:tc>
              <w:tc>
                <w:tcPr>
                  <w:tcW w:w="919" w:type="dxa"/>
                  <w:noWrap w:val="0"/>
                  <w:vAlign w:val="center"/>
                </w:tcPr>
                <w:p w14:paraId="31632303">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贮存场所（设施）名称</w:t>
                  </w:r>
                </w:p>
              </w:tc>
              <w:tc>
                <w:tcPr>
                  <w:tcW w:w="1095" w:type="dxa"/>
                  <w:noWrap w:val="0"/>
                  <w:vAlign w:val="center"/>
                </w:tcPr>
                <w:p w14:paraId="0D52A7E1">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危险废物名称</w:t>
                  </w:r>
                </w:p>
              </w:tc>
              <w:tc>
                <w:tcPr>
                  <w:tcW w:w="780" w:type="dxa"/>
                  <w:noWrap w:val="0"/>
                  <w:vAlign w:val="center"/>
                </w:tcPr>
                <w:p w14:paraId="7CB30B6A">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危险废物类别</w:t>
                  </w:r>
                </w:p>
              </w:tc>
              <w:tc>
                <w:tcPr>
                  <w:tcW w:w="1102" w:type="dxa"/>
                  <w:noWrap w:val="0"/>
                  <w:vAlign w:val="center"/>
                </w:tcPr>
                <w:p w14:paraId="2D7C06B6">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危险废物代码</w:t>
                  </w:r>
                </w:p>
              </w:tc>
              <w:tc>
                <w:tcPr>
                  <w:tcW w:w="826" w:type="dxa"/>
                  <w:noWrap w:val="0"/>
                  <w:vAlign w:val="center"/>
                </w:tcPr>
                <w:p w14:paraId="6EFC059E">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位置</w:t>
                  </w:r>
                </w:p>
              </w:tc>
              <w:tc>
                <w:tcPr>
                  <w:tcW w:w="767" w:type="dxa"/>
                  <w:noWrap w:val="0"/>
                  <w:vAlign w:val="center"/>
                </w:tcPr>
                <w:p w14:paraId="7F1C1603">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占地面积</w:t>
                  </w:r>
                </w:p>
              </w:tc>
              <w:tc>
                <w:tcPr>
                  <w:tcW w:w="693" w:type="dxa"/>
                  <w:noWrap w:val="0"/>
                  <w:vAlign w:val="center"/>
                </w:tcPr>
                <w:p w14:paraId="2D57B907">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贮存方式</w:t>
                  </w:r>
                </w:p>
              </w:tc>
              <w:tc>
                <w:tcPr>
                  <w:tcW w:w="693" w:type="dxa"/>
                  <w:noWrap w:val="0"/>
                  <w:vAlign w:val="center"/>
                </w:tcPr>
                <w:p w14:paraId="64788BEA">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贮存</w:t>
                  </w:r>
                </w:p>
                <w:p w14:paraId="2AE20A74">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能力</w:t>
                  </w:r>
                </w:p>
              </w:tc>
              <w:tc>
                <w:tcPr>
                  <w:tcW w:w="756" w:type="dxa"/>
                  <w:noWrap w:val="0"/>
                  <w:vAlign w:val="center"/>
                </w:tcPr>
                <w:p w14:paraId="6B5B60FC">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贮存</w:t>
                  </w:r>
                </w:p>
                <w:p w14:paraId="1FA66F8C">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周期</w:t>
                  </w:r>
                </w:p>
              </w:tc>
            </w:tr>
            <w:tr w14:paraId="1E8364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3" w:hRule="atLeast"/>
              </w:trPr>
              <w:tc>
                <w:tcPr>
                  <w:tcW w:w="479" w:type="dxa"/>
                  <w:vMerge w:val="restart"/>
                  <w:noWrap w:val="0"/>
                  <w:vAlign w:val="center"/>
                </w:tcPr>
                <w:p w14:paraId="30FD30DA">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Cs w:val="21"/>
                      <w:highlight w:val="none"/>
                      <w14:textFill>
                        <w14:solidFill>
                          <w14:schemeClr w14:val="tx1"/>
                        </w14:solidFill>
                      </w14:textFill>
                    </w:rPr>
                    <w:t>1</w:t>
                  </w:r>
                </w:p>
              </w:tc>
              <w:tc>
                <w:tcPr>
                  <w:tcW w:w="919" w:type="dxa"/>
                  <w:vMerge w:val="restart"/>
                  <w:noWrap w:val="0"/>
                  <w:vAlign w:val="center"/>
                </w:tcPr>
                <w:p w14:paraId="0A8BDB92">
                  <w:pPr>
                    <w:topLinePunct/>
                    <w:adjustRightInd w:val="0"/>
                    <w:snapToGrid w:val="0"/>
                    <w:jc w:val="center"/>
                    <w:rPr>
                      <w:rFonts w:hint="default" w:ascii="Times New Roman" w:hAnsi="Times New Roman" w:eastAsia="宋体" w:cs="Times New Roman"/>
                      <w:color w:val="000000" w:themeColor="text1"/>
                      <w:kern w:val="0"/>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t>危废暂存间</w:t>
                  </w:r>
                  <w:r>
                    <w:rPr>
                      <w:rFonts w:hint="eastAsia" w:cs="Times New Roman"/>
                      <w:color w:val="000000" w:themeColor="text1"/>
                      <w:kern w:val="0"/>
                      <w:szCs w:val="21"/>
                      <w:highlight w:val="none"/>
                      <w:lang w:val="en-US" w:eastAsia="zh-CN"/>
                      <w14:textFill>
                        <w14:solidFill>
                          <w14:schemeClr w14:val="tx1"/>
                        </w14:solidFill>
                      </w14:textFill>
                    </w:rPr>
                    <w:t>1（暂存易燃物）</w:t>
                  </w:r>
                </w:p>
              </w:tc>
              <w:tc>
                <w:tcPr>
                  <w:tcW w:w="1095" w:type="dxa"/>
                  <w:noWrap w:val="0"/>
                  <w:vAlign w:val="center"/>
                </w:tcPr>
                <w:p w14:paraId="051CC6A8">
                  <w:pPr>
                    <w:jc w:val="center"/>
                    <w:rPr>
                      <w:rFonts w:hint="default" w:ascii="Times New Roman" w:hAnsi="Times New Roman" w:eastAsia="宋体" w:cs="Times New Roman"/>
                      <w:color w:val="000000" w:themeColor="text1"/>
                      <w:kern w:val="0"/>
                      <w:szCs w:val="21"/>
                      <w:highlight w:val="none"/>
                      <w:lang w:val="en-US"/>
                      <w14:textFill>
                        <w14:solidFill>
                          <w14:schemeClr w14:val="tx1"/>
                        </w14:solidFill>
                      </w14:textFill>
                    </w:rPr>
                  </w:pPr>
                  <w:r>
                    <w:rPr>
                      <w:rFonts w:hint="default" w:ascii="Times New Roman" w:hAnsi="Times New Roman" w:eastAsia="宋体" w:cs="Times New Roman"/>
                      <w:color w:val="000000" w:themeColor="text1"/>
                      <w:kern w:val="0"/>
                      <w:szCs w:val="21"/>
                      <w:highlight w:val="none"/>
                      <w:lang w:val="en-US" w:eastAsia="zh-CN"/>
                      <w14:textFill>
                        <w14:solidFill>
                          <w14:schemeClr w14:val="tx1"/>
                        </w14:solidFill>
                      </w14:textFill>
                    </w:rPr>
                    <w:t>废切削液、磨削液、冷却液</w:t>
                  </w:r>
                </w:p>
              </w:tc>
              <w:tc>
                <w:tcPr>
                  <w:tcW w:w="780" w:type="dxa"/>
                  <w:noWrap w:val="0"/>
                  <w:vAlign w:val="center"/>
                </w:tcPr>
                <w:p w14:paraId="576F77CA">
                  <w:pPr>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HW09</w:t>
                  </w:r>
                </w:p>
              </w:tc>
              <w:tc>
                <w:tcPr>
                  <w:tcW w:w="1102" w:type="dxa"/>
                  <w:noWrap w:val="0"/>
                  <w:vAlign w:val="center"/>
                </w:tcPr>
                <w:p w14:paraId="4F155491">
                  <w:pPr>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900-006-09</w:t>
                  </w:r>
                </w:p>
              </w:tc>
              <w:tc>
                <w:tcPr>
                  <w:tcW w:w="826" w:type="dxa"/>
                  <w:vMerge w:val="restart"/>
                  <w:noWrap w:val="0"/>
                  <w:vAlign w:val="center"/>
                </w:tcPr>
                <w:p w14:paraId="6894DF74">
                  <w:pPr>
                    <w:topLinePunct/>
                    <w:adjustRightInd w:val="0"/>
                    <w:snapToGrid w:val="0"/>
                    <w:jc w:val="center"/>
                    <w:rPr>
                      <w:rFonts w:hint="default" w:ascii="Times New Roman" w:hAnsi="Times New Roman" w:eastAsia="宋体" w:cs="Times New Roman"/>
                      <w:color w:val="000000" w:themeColor="text1"/>
                      <w:kern w:val="0"/>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t>厂房</w:t>
                  </w:r>
                  <w:r>
                    <w:rPr>
                      <w:rFonts w:hint="eastAsia" w:cs="Times New Roman"/>
                      <w:color w:val="000000" w:themeColor="text1"/>
                      <w:kern w:val="0"/>
                      <w:szCs w:val="21"/>
                      <w:highlight w:val="none"/>
                      <w:lang w:val="en-US" w:eastAsia="zh-CN"/>
                      <w14:textFill>
                        <w14:solidFill>
                          <w14:schemeClr w14:val="tx1"/>
                        </w14:solidFill>
                      </w14:textFill>
                    </w:rPr>
                    <w:t>南侧</w:t>
                  </w:r>
                </w:p>
              </w:tc>
              <w:tc>
                <w:tcPr>
                  <w:tcW w:w="767" w:type="dxa"/>
                  <w:vMerge w:val="restart"/>
                  <w:noWrap w:val="0"/>
                  <w:vAlign w:val="center"/>
                </w:tcPr>
                <w:p w14:paraId="69AFAA91">
                  <w:pPr>
                    <w:topLinePunct/>
                    <w:adjustRightInd w:val="0"/>
                    <w:snapToGrid w:val="0"/>
                    <w:jc w:val="center"/>
                    <w:rPr>
                      <w:rFonts w:hint="default" w:ascii="Times New Roman" w:hAnsi="Times New Roman" w:eastAsia="宋体" w:cs="Times New Roman"/>
                      <w:color w:val="000000" w:themeColor="text1"/>
                      <w:kern w:val="0"/>
                      <w:szCs w:val="21"/>
                      <w:highlight w:val="none"/>
                      <w:lang w:val="en-US" w:eastAsia="zh-CN"/>
                      <w14:textFill>
                        <w14:solidFill>
                          <w14:schemeClr w14:val="tx1"/>
                        </w14:solidFill>
                      </w14:textFill>
                    </w:rPr>
                  </w:pPr>
                  <w:r>
                    <w:rPr>
                      <w:rFonts w:hint="eastAsia" w:cs="Times New Roman"/>
                      <w:color w:val="000000" w:themeColor="text1"/>
                      <w:kern w:val="0"/>
                      <w:szCs w:val="21"/>
                      <w:highlight w:val="none"/>
                      <w:lang w:val="en-US" w:eastAsia="zh-CN"/>
                      <w14:textFill>
                        <w14:solidFill>
                          <w14:schemeClr w14:val="tx1"/>
                        </w14:solidFill>
                      </w14:textFill>
                    </w:rPr>
                    <w:t>24</w:t>
                  </w:r>
                  <w: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kern w:val="0"/>
                      <w:szCs w:val="21"/>
                      <w:highlight w:val="none"/>
                      <w:vertAlign w:val="superscript"/>
                      <w:lang w:val="en-US" w:eastAsia="zh-CN"/>
                      <w14:textFill>
                        <w14:solidFill>
                          <w14:schemeClr w14:val="tx1"/>
                        </w14:solidFill>
                      </w14:textFill>
                    </w:rPr>
                    <w:t>2</w:t>
                  </w:r>
                </w:p>
              </w:tc>
              <w:tc>
                <w:tcPr>
                  <w:tcW w:w="693" w:type="dxa"/>
                  <w:noWrap w:val="0"/>
                  <w:vAlign w:val="center"/>
                </w:tcPr>
                <w:p w14:paraId="6312A610">
                  <w:pPr>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桶装</w:t>
                  </w:r>
                </w:p>
              </w:tc>
              <w:tc>
                <w:tcPr>
                  <w:tcW w:w="693" w:type="dxa"/>
                  <w:vMerge w:val="restart"/>
                  <w:noWrap w:val="0"/>
                  <w:vAlign w:val="center"/>
                </w:tcPr>
                <w:p w14:paraId="4CB260D7">
                  <w:pPr>
                    <w:topLinePunct/>
                    <w:adjustRightInd w:val="0"/>
                    <w:snapToGrid w:val="0"/>
                    <w:jc w:val="center"/>
                    <w:rPr>
                      <w:rFonts w:hint="default" w:ascii="Times New Roman" w:hAnsi="Times New Roman" w:eastAsia="宋体" w:cs="Times New Roman"/>
                      <w:color w:val="000000" w:themeColor="text1"/>
                      <w:kern w:val="0"/>
                      <w:szCs w:val="21"/>
                      <w:highlight w:val="none"/>
                      <w:lang w:val="en-US" w:eastAsia="zh-CN"/>
                      <w14:textFill>
                        <w14:solidFill>
                          <w14:schemeClr w14:val="tx1"/>
                        </w14:solidFill>
                      </w14:textFill>
                    </w:rPr>
                  </w:pPr>
                  <w:r>
                    <w:rPr>
                      <w:rFonts w:hint="eastAsia" w:cs="Times New Roman"/>
                      <w:color w:val="000000" w:themeColor="text1"/>
                      <w:kern w:val="0"/>
                      <w:szCs w:val="21"/>
                      <w:highlight w:val="none"/>
                      <w:lang w:val="en-US" w:eastAsia="zh-CN"/>
                      <w14:textFill>
                        <w14:solidFill>
                          <w14:schemeClr w14:val="tx1"/>
                        </w14:solidFill>
                      </w14:textFill>
                    </w:rPr>
                    <w:t>36</w:t>
                  </w:r>
                  <w: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t>t</w:t>
                  </w:r>
                </w:p>
              </w:tc>
              <w:tc>
                <w:tcPr>
                  <w:tcW w:w="756" w:type="dxa"/>
                  <w:vMerge w:val="restart"/>
                  <w:noWrap w:val="0"/>
                  <w:vAlign w:val="center"/>
                </w:tcPr>
                <w:p w14:paraId="47EF62E9">
                  <w:pPr>
                    <w:topLinePunct/>
                    <w:adjustRightInd w:val="0"/>
                    <w:snapToGrid w:val="0"/>
                    <w:jc w:val="center"/>
                    <w:rPr>
                      <w:rFonts w:hint="default" w:ascii="Times New Roman" w:hAnsi="Times New Roman" w:eastAsia="宋体" w:cs="Times New Roman"/>
                      <w:color w:val="000000" w:themeColor="text1"/>
                      <w:kern w:val="0"/>
                      <w:szCs w:val="21"/>
                      <w:highlight w:val="none"/>
                      <w:lang w:val="en-US" w:eastAsia="zh-CN"/>
                      <w14:textFill>
                        <w14:solidFill>
                          <w14:schemeClr w14:val="tx1"/>
                        </w14:solidFill>
                      </w14:textFill>
                    </w:rPr>
                  </w:pPr>
                  <w:r>
                    <w:rPr>
                      <w:rFonts w:hint="eastAsia" w:cs="Times New Roman"/>
                      <w:color w:val="000000" w:themeColor="text1"/>
                      <w:kern w:val="0"/>
                      <w:szCs w:val="21"/>
                      <w:highlight w:val="none"/>
                      <w:lang w:val="en-US" w:eastAsia="zh-CN"/>
                      <w14:textFill>
                        <w14:solidFill>
                          <w14:schemeClr w14:val="tx1"/>
                        </w14:solidFill>
                      </w14:textFill>
                    </w:rPr>
                    <w:t>3个月</w:t>
                  </w:r>
                </w:p>
              </w:tc>
            </w:tr>
            <w:tr w14:paraId="59A828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3" w:hRule="atLeast"/>
              </w:trPr>
              <w:tc>
                <w:tcPr>
                  <w:tcW w:w="479" w:type="dxa"/>
                  <w:vMerge w:val="continue"/>
                  <w:noWrap w:val="0"/>
                  <w:vAlign w:val="center"/>
                </w:tcPr>
                <w:p w14:paraId="1494E597">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919" w:type="dxa"/>
                  <w:vMerge w:val="continue"/>
                  <w:noWrap w:val="0"/>
                  <w:vAlign w:val="center"/>
                </w:tcPr>
                <w:p w14:paraId="6DA0FB35">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1095" w:type="dxa"/>
                  <w:noWrap w:val="0"/>
                  <w:vAlign w:val="center"/>
                </w:tcPr>
                <w:p w14:paraId="71872655">
                  <w:pPr>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废胶桶</w:t>
                  </w:r>
                </w:p>
              </w:tc>
              <w:tc>
                <w:tcPr>
                  <w:tcW w:w="780" w:type="dxa"/>
                  <w:noWrap w:val="0"/>
                  <w:vAlign w:val="center"/>
                </w:tcPr>
                <w:p w14:paraId="1D3EC78B">
                  <w:pPr>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HW49</w:t>
                  </w:r>
                </w:p>
              </w:tc>
              <w:tc>
                <w:tcPr>
                  <w:tcW w:w="1102" w:type="dxa"/>
                  <w:noWrap w:val="0"/>
                  <w:vAlign w:val="center"/>
                </w:tcPr>
                <w:p w14:paraId="20D67C3B">
                  <w:pPr>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900-041-49</w:t>
                  </w:r>
                </w:p>
              </w:tc>
              <w:tc>
                <w:tcPr>
                  <w:tcW w:w="826" w:type="dxa"/>
                  <w:vMerge w:val="continue"/>
                  <w:noWrap w:val="0"/>
                  <w:vAlign w:val="center"/>
                </w:tcPr>
                <w:p w14:paraId="46521C69">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767" w:type="dxa"/>
                  <w:vMerge w:val="continue"/>
                  <w:noWrap w:val="0"/>
                  <w:vAlign w:val="center"/>
                </w:tcPr>
                <w:p w14:paraId="7D9965B9">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693" w:type="dxa"/>
                  <w:noWrap w:val="0"/>
                  <w:vAlign w:val="center"/>
                </w:tcPr>
                <w:p w14:paraId="792B1634">
                  <w:pPr>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堆叠</w:t>
                  </w:r>
                </w:p>
              </w:tc>
              <w:tc>
                <w:tcPr>
                  <w:tcW w:w="693" w:type="dxa"/>
                  <w:vMerge w:val="continue"/>
                  <w:noWrap w:val="0"/>
                  <w:vAlign w:val="center"/>
                </w:tcPr>
                <w:p w14:paraId="1EEC648F">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756" w:type="dxa"/>
                  <w:vMerge w:val="continue"/>
                  <w:noWrap w:val="0"/>
                  <w:vAlign w:val="center"/>
                </w:tcPr>
                <w:p w14:paraId="060F20FA">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r>
            <w:tr w14:paraId="0540A3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3" w:hRule="atLeast"/>
              </w:trPr>
              <w:tc>
                <w:tcPr>
                  <w:tcW w:w="479" w:type="dxa"/>
                  <w:vMerge w:val="continue"/>
                  <w:noWrap w:val="0"/>
                  <w:vAlign w:val="center"/>
                </w:tcPr>
                <w:p w14:paraId="65905CD0">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919" w:type="dxa"/>
                  <w:vMerge w:val="continue"/>
                  <w:noWrap w:val="0"/>
                  <w:vAlign w:val="center"/>
                </w:tcPr>
                <w:p w14:paraId="2E2504D8">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1095" w:type="dxa"/>
                  <w:noWrap w:val="0"/>
                  <w:vAlign w:val="center"/>
                </w:tcPr>
                <w:p w14:paraId="576D49F9">
                  <w:pPr>
                    <w:jc w:val="center"/>
                    <w:rPr>
                      <w:rFonts w:hint="eastAsia"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废有机溶剂及空瓶</w:t>
                  </w:r>
                </w:p>
              </w:tc>
              <w:tc>
                <w:tcPr>
                  <w:tcW w:w="780" w:type="dxa"/>
                  <w:noWrap w:val="0"/>
                  <w:vAlign w:val="center"/>
                </w:tcPr>
                <w:p w14:paraId="41B5E7F8">
                  <w:pPr>
                    <w:jc w:val="center"/>
                    <w:rPr>
                      <w:rFonts w:hint="eastAsia"/>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HW06</w:t>
                  </w:r>
                </w:p>
              </w:tc>
              <w:tc>
                <w:tcPr>
                  <w:tcW w:w="1102" w:type="dxa"/>
                  <w:noWrap w:val="0"/>
                  <w:vAlign w:val="center"/>
                </w:tcPr>
                <w:p w14:paraId="2B385ABB">
                  <w:pPr>
                    <w:jc w:val="center"/>
                    <w:rPr>
                      <w:rFonts w:hint="eastAsia"/>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900-404-06</w:t>
                  </w:r>
                </w:p>
              </w:tc>
              <w:tc>
                <w:tcPr>
                  <w:tcW w:w="826" w:type="dxa"/>
                  <w:vMerge w:val="continue"/>
                  <w:noWrap w:val="0"/>
                  <w:vAlign w:val="center"/>
                </w:tcPr>
                <w:p w14:paraId="46E36CEA">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767" w:type="dxa"/>
                  <w:vMerge w:val="continue"/>
                  <w:noWrap w:val="0"/>
                  <w:vAlign w:val="center"/>
                </w:tcPr>
                <w:p w14:paraId="0C68CEF5">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693" w:type="dxa"/>
                  <w:noWrap w:val="0"/>
                  <w:vAlign w:val="center"/>
                </w:tcPr>
                <w:p w14:paraId="16A89C29">
                  <w:pPr>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堆叠</w:t>
                  </w:r>
                </w:p>
              </w:tc>
              <w:tc>
                <w:tcPr>
                  <w:tcW w:w="693" w:type="dxa"/>
                  <w:vMerge w:val="continue"/>
                  <w:noWrap w:val="0"/>
                  <w:vAlign w:val="center"/>
                </w:tcPr>
                <w:p w14:paraId="217F1F5D">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756" w:type="dxa"/>
                  <w:vMerge w:val="continue"/>
                  <w:noWrap w:val="0"/>
                  <w:vAlign w:val="center"/>
                </w:tcPr>
                <w:p w14:paraId="10C5FC52">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r>
            <w:tr w14:paraId="050B4B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3" w:hRule="atLeast"/>
              </w:trPr>
              <w:tc>
                <w:tcPr>
                  <w:tcW w:w="479" w:type="dxa"/>
                  <w:vMerge w:val="continue"/>
                  <w:noWrap w:val="0"/>
                  <w:vAlign w:val="center"/>
                </w:tcPr>
                <w:p w14:paraId="0318A0C7">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919" w:type="dxa"/>
                  <w:vMerge w:val="continue"/>
                  <w:noWrap w:val="0"/>
                  <w:vAlign w:val="center"/>
                </w:tcPr>
                <w:p w14:paraId="5C2EE9D3">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1095" w:type="dxa"/>
                  <w:noWrap w:val="0"/>
                  <w:vAlign w:val="center"/>
                </w:tcPr>
                <w:p w14:paraId="5B3210F9">
                  <w:pPr>
                    <w:jc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含油抹布</w:t>
                  </w:r>
                </w:p>
              </w:tc>
              <w:tc>
                <w:tcPr>
                  <w:tcW w:w="780" w:type="dxa"/>
                  <w:noWrap w:val="0"/>
                  <w:vAlign w:val="center"/>
                </w:tcPr>
                <w:p w14:paraId="03DCDA33">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HW49</w:t>
                  </w:r>
                </w:p>
              </w:tc>
              <w:tc>
                <w:tcPr>
                  <w:tcW w:w="1102" w:type="dxa"/>
                  <w:noWrap w:val="0"/>
                  <w:vAlign w:val="center"/>
                </w:tcPr>
                <w:p w14:paraId="280E668C">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900-041-49</w:t>
                  </w:r>
                </w:p>
              </w:tc>
              <w:tc>
                <w:tcPr>
                  <w:tcW w:w="826" w:type="dxa"/>
                  <w:vMerge w:val="continue"/>
                  <w:noWrap w:val="0"/>
                  <w:vAlign w:val="center"/>
                </w:tcPr>
                <w:p w14:paraId="039005D5">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767" w:type="dxa"/>
                  <w:vMerge w:val="continue"/>
                  <w:noWrap w:val="0"/>
                  <w:vAlign w:val="center"/>
                </w:tcPr>
                <w:p w14:paraId="25F1888A">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693" w:type="dxa"/>
                  <w:noWrap w:val="0"/>
                  <w:vAlign w:val="center"/>
                </w:tcPr>
                <w:p w14:paraId="1D6E43B3">
                  <w:pPr>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袋装</w:t>
                  </w:r>
                </w:p>
              </w:tc>
              <w:tc>
                <w:tcPr>
                  <w:tcW w:w="693" w:type="dxa"/>
                  <w:vMerge w:val="continue"/>
                  <w:noWrap w:val="0"/>
                  <w:vAlign w:val="center"/>
                </w:tcPr>
                <w:p w14:paraId="77190021">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756" w:type="dxa"/>
                  <w:vMerge w:val="continue"/>
                  <w:noWrap w:val="0"/>
                  <w:vAlign w:val="center"/>
                </w:tcPr>
                <w:p w14:paraId="777FAE8E">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r>
            <w:tr w14:paraId="475CE9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3" w:hRule="atLeast"/>
              </w:trPr>
              <w:tc>
                <w:tcPr>
                  <w:tcW w:w="479" w:type="dxa"/>
                  <w:vMerge w:val="continue"/>
                  <w:noWrap w:val="0"/>
                  <w:vAlign w:val="center"/>
                </w:tcPr>
                <w:p w14:paraId="491DEFAD">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919" w:type="dxa"/>
                  <w:vMerge w:val="continue"/>
                  <w:noWrap w:val="0"/>
                  <w:vAlign w:val="center"/>
                </w:tcPr>
                <w:p w14:paraId="22F25F78">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1095" w:type="dxa"/>
                  <w:noWrap w:val="0"/>
                  <w:vAlign w:val="center"/>
                </w:tcPr>
                <w:p w14:paraId="69BDCD58">
                  <w:pPr>
                    <w:jc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清洗废液</w:t>
                  </w:r>
                </w:p>
              </w:tc>
              <w:tc>
                <w:tcPr>
                  <w:tcW w:w="780" w:type="dxa"/>
                  <w:noWrap w:val="0"/>
                  <w:vAlign w:val="center"/>
                </w:tcPr>
                <w:p w14:paraId="760D9E43">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HW06</w:t>
                  </w:r>
                </w:p>
              </w:tc>
              <w:tc>
                <w:tcPr>
                  <w:tcW w:w="1102" w:type="dxa"/>
                  <w:noWrap w:val="0"/>
                  <w:vAlign w:val="center"/>
                </w:tcPr>
                <w:p w14:paraId="4B6418A6">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900-404-06</w:t>
                  </w:r>
                </w:p>
              </w:tc>
              <w:tc>
                <w:tcPr>
                  <w:tcW w:w="826" w:type="dxa"/>
                  <w:vMerge w:val="continue"/>
                  <w:noWrap w:val="0"/>
                  <w:vAlign w:val="center"/>
                </w:tcPr>
                <w:p w14:paraId="2690F691">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767" w:type="dxa"/>
                  <w:vMerge w:val="continue"/>
                  <w:noWrap w:val="0"/>
                  <w:vAlign w:val="center"/>
                </w:tcPr>
                <w:p w14:paraId="0A7EF9EB">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693" w:type="dxa"/>
                  <w:noWrap w:val="0"/>
                  <w:vAlign w:val="center"/>
                </w:tcPr>
                <w:p w14:paraId="79CF1FC2">
                  <w:pPr>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桶装</w:t>
                  </w:r>
                </w:p>
              </w:tc>
              <w:tc>
                <w:tcPr>
                  <w:tcW w:w="693" w:type="dxa"/>
                  <w:vMerge w:val="continue"/>
                  <w:noWrap w:val="0"/>
                  <w:vAlign w:val="center"/>
                </w:tcPr>
                <w:p w14:paraId="67019EE5">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c>
                <w:tcPr>
                  <w:tcW w:w="756" w:type="dxa"/>
                  <w:vMerge w:val="continue"/>
                  <w:noWrap w:val="0"/>
                  <w:vAlign w:val="center"/>
                </w:tcPr>
                <w:p w14:paraId="5EEC89DC">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p>
              </w:tc>
            </w:tr>
            <w:tr w14:paraId="0433CA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3" w:hRule="atLeast"/>
              </w:trPr>
              <w:tc>
                <w:tcPr>
                  <w:tcW w:w="479" w:type="dxa"/>
                  <w:vMerge w:val="restart"/>
                  <w:noWrap w:val="0"/>
                  <w:vAlign w:val="center"/>
                </w:tcPr>
                <w:p w14:paraId="41D84C03">
                  <w:pPr>
                    <w:topLinePunct/>
                    <w:adjustRightInd w:val="0"/>
                    <w:snapToGrid w:val="0"/>
                    <w:jc w:val="cente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pPr>
                  <w:r>
                    <w:rPr>
                      <w:rFonts w:hint="eastAsia" w:cs="Times New Roman"/>
                      <w:color w:val="000000" w:themeColor="text1"/>
                      <w:kern w:val="0"/>
                      <w:szCs w:val="21"/>
                      <w:highlight w:val="none"/>
                      <w:lang w:val="en-US" w:eastAsia="zh-CN"/>
                      <w14:textFill>
                        <w14:solidFill>
                          <w14:schemeClr w14:val="tx1"/>
                        </w14:solidFill>
                      </w14:textFill>
                    </w:rPr>
                    <w:t>2</w:t>
                  </w:r>
                </w:p>
              </w:tc>
              <w:tc>
                <w:tcPr>
                  <w:tcW w:w="919" w:type="dxa"/>
                  <w:vMerge w:val="restart"/>
                  <w:noWrap w:val="0"/>
                  <w:vAlign w:val="center"/>
                </w:tcPr>
                <w:p w14:paraId="6F0F3E6D">
                  <w:pPr>
                    <w:topLinePunct/>
                    <w:adjustRightInd w:val="0"/>
                    <w:snapToGrid w:val="0"/>
                    <w:jc w:val="center"/>
                    <w:rPr>
                      <w:rFonts w:hint="default" w:ascii="Times New Roman" w:hAnsi="Times New Roman" w:eastAsia="宋体" w:cs="Times New Roman"/>
                      <w:color w:val="000000" w:themeColor="text1"/>
                      <w:kern w:val="0"/>
                      <w:szCs w:val="21"/>
                      <w:highlight w:val="none"/>
                      <w:lang w:val="en-US"/>
                      <w14:textFill>
                        <w14:solidFill>
                          <w14:schemeClr w14:val="tx1"/>
                        </w14:solidFill>
                      </w14:textFill>
                    </w:rPr>
                  </w:pPr>
                  <w: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t>危废暂存间</w:t>
                  </w:r>
                  <w:r>
                    <w:rPr>
                      <w:rFonts w:hint="eastAsia" w:cs="Times New Roman"/>
                      <w:color w:val="000000" w:themeColor="text1"/>
                      <w:kern w:val="0"/>
                      <w:szCs w:val="21"/>
                      <w:highlight w:val="none"/>
                      <w:lang w:val="en-US" w:eastAsia="zh-CN"/>
                      <w14:textFill>
                        <w14:solidFill>
                          <w14:schemeClr w14:val="tx1"/>
                        </w14:solidFill>
                      </w14:textFill>
                    </w:rPr>
                    <w:t>2（暂存酸性废物）</w:t>
                  </w:r>
                </w:p>
              </w:tc>
              <w:tc>
                <w:tcPr>
                  <w:tcW w:w="1095" w:type="dxa"/>
                  <w:noWrap w:val="0"/>
                  <w:vAlign w:val="center"/>
                </w:tcPr>
                <w:p w14:paraId="1538DAFF">
                  <w:pPr>
                    <w:jc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14:textFill>
                        <w14:solidFill>
                          <w14:schemeClr w14:val="tx1"/>
                        </w14:solidFill>
                      </w14:textFill>
                    </w:rPr>
                    <w:t>污水处理站污泥</w:t>
                  </w:r>
                </w:p>
              </w:tc>
              <w:tc>
                <w:tcPr>
                  <w:tcW w:w="780" w:type="dxa"/>
                  <w:noWrap w:val="0"/>
                  <w:vAlign w:val="center"/>
                </w:tcPr>
                <w:p w14:paraId="56B43D07">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t>HW17</w:t>
                  </w:r>
                </w:p>
              </w:tc>
              <w:tc>
                <w:tcPr>
                  <w:tcW w:w="1102" w:type="dxa"/>
                  <w:noWrap w:val="0"/>
                  <w:vAlign w:val="center"/>
                </w:tcPr>
                <w:p w14:paraId="058E28EA">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t>336-064-17</w:t>
                  </w:r>
                </w:p>
              </w:tc>
              <w:tc>
                <w:tcPr>
                  <w:tcW w:w="826" w:type="dxa"/>
                  <w:vMerge w:val="restart"/>
                  <w:noWrap w:val="0"/>
                  <w:vAlign w:val="center"/>
                </w:tcPr>
                <w:p w14:paraId="4343D1CD">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t>厂房</w:t>
                  </w:r>
                  <w:r>
                    <w:rPr>
                      <w:rFonts w:hint="eastAsia" w:cs="Times New Roman"/>
                      <w:color w:val="000000" w:themeColor="text1"/>
                      <w:kern w:val="0"/>
                      <w:szCs w:val="21"/>
                      <w:highlight w:val="none"/>
                      <w:lang w:val="en-US" w:eastAsia="zh-CN"/>
                      <w14:textFill>
                        <w14:solidFill>
                          <w14:schemeClr w14:val="tx1"/>
                        </w14:solidFill>
                      </w14:textFill>
                    </w:rPr>
                    <w:t>南侧</w:t>
                  </w:r>
                </w:p>
              </w:tc>
              <w:tc>
                <w:tcPr>
                  <w:tcW w:w="767" w:type="dxa"/>
                  <w:vMerge w:val="restart"/>
                  <w:noWrap w:val="0"/>
                  <w:vAlign w:val="center"/>
                </w:tcPr>
                <w:p w14:paraId="21E8367F">
                  <w:pPr>
                    <w:topLinePunct/>
                    <w:adjustRightInd w:val="0"/>
                    <w:snapToGrid w:val="0"/>
                    <w:jc w:val="center"/>
                    <w:rPr>
                      <w:rFonts w:hint="default" w:ascii="Times New Roman" w:hAnsi="Times New Roman" w:eastAsia="宋体" w:cs="Times New Roman"/>
                      <w:color w:val="000000" w:themeColor="text1"/>
                      <w:kern w:val="0"/>
                      <w:szCs w:val="21"/>
                      <w:highlight w:val="none"/>
                      <w:lang w:val="en-US" w:eastAsia="zh-CN"/>
                      <w14:textFill>
                        <w14:solidFill>
                          <w14:schemeClr w14:val="tx1"/>
                        </w14:solidFill>
                      </w14:textFill>
                    </w:rPr>
                  </w:pPr>
                  <w:r>
                    <w:rPr>
                      <w:rFonts w:hint="eastAsia" w:cs="Times New Roman"/>
                      <w:color w:val="000000" w:themeColor="text1"/>
                      <w:kern w:val="0"/>
                      <w:szCs w:val="21"/>
                      <w:highlight w:val="none"/>
                      <w:lang w:val="en-US" w:eastAsia="zh-CN"/>
                      <w14:textFill>
                        <w14:solidFill>
                          <w14:schemeClr w14:val="tx1"/>
                        </w14:solidFill>
                      </w14:textFill>
                    </w:rPr>
                    <w:t>14</w:t>
                  </w:r>
                  <w: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kern w:val="0"/>
                      <w:szCs w:val="21"/>
                      <w:highlight w:val="none"/>
                      <w:vertAlign w:val="superscript"/>
                      <w:lang w:val="en-US" w:eastAsia="zh-CN"/>
                      <w14:textFill>
                        <w14:solidFill>
                          <w14:schemeClr w14:val="tx1"/>
                        </w14:solidFill>
                      </w14:textFill>
                    </w:rPr>
                    <w:t>2</w:t>
                  </w:r>
                </w:p>
              </w:tc>
              <w:tc>
                <w:tcPr>
                  <w:tcW w:w="693" w:type="dxa"/>
                  <w:noWrap w:val="0"/>
                  <w:vAlign w:val="center"/>
                </w:tcPr>
                <w:p w14:paraId="4900D197">
                  <w:pPr>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袋装</w:t>
                  </w:r>
                </w:p>
              </w:tc>
              <w:tc>
                <w:tcPr>
                  <w:tcW w:w="693" w:type="dxa"/>
                  <w:vMerge w:val="restart"/>
                  <w:noWrap w:val="0"/>
                  <w:vAlign w:val="center"/>
                </w:tcPr>
                <w:p w14:paraId="23B5B1FB">
                  <w:pPr>
                    <w:topLinePunct/>
                    <w:adjustRightInd w:val="0"/>
                    <w:snapToGrid w:val="0"/>
                    <w:jc w:val="center"/>
                    <w:rPr>
                      <w:rFonts w:hint="default" w:ascii="Times New Roman" w:hAnsi="Times New Roman" w:eastAsia="宋体" w:cs="Times New Roman"/>
                      <w:color w:val="000000" w:themeColor="text1"/>
                      <w:kern w:val="0"/>
                      <w:szCs w:val="21"/>
                      <w:highlight w:val="none"/>
                      <w:lang w:val="en-US" w:eastAsia="zh-CN"/>
                      <w14:textFill>
                        <w14:solidFill>
                          <w14:schemeClr w14:val="tx1"/>
                        </w14:solidFill>
                      </w14:textFill>
                    </w:rPr>
                  </w:pPr>
                  <w:r>
                    <w:rPr>
                      <w:rFonts w:hint="eastAsia" w:cs="Times New Roman"/>
                      <w:color w:val="000000" w:themeColor="text1"/>
                      <w:kern w:val="0"/>
                      <w:szCs w:val="21"/>
                      <w:highlight w:val="none"/>
                      <w:lang w:val="en-US" w:eastAsia="zh-CN"/>
                      <w14:textFill>
                        <w14:solidFill>
                          <w14:schemeClr w14:val="tx1"/>
                        </w14:solidFill>
                      </w14:textFill>
                    </w:rPr>
                    <w:t>21</w:t>
                  </w:r>
                  <w: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t>t</w:t>
                  </w:r>
                </w:p>
              </w:tc>
              <w:tc>
                <w:tcPr>
                  <w:tcW w:w="756" w:type="dxa"/>
                  <w:vMerge w:val="restart"/>
                  <w:noWrap w:val="0"/>
                  <w:vAlign w:val="center"/>
                </w:tcPr>
                <w:p w14:paraId="69D772A6">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eastAsia" w:cs="Times New Roman"/>
                      <w:color w:val="000000" w:themeColor="text1"/>
                      <w:kern w:val="0"/>
                      <w:szCs w:val="21"/>
                      <w:highlight w:val="none"/>
                      <w:lang w:val="en-US" w:eastAsia="zh-CN"/>
                      <w14:textFill>
                        <w14:solidFill>
                          <w14:schemeClr w14:val="tx1"/>
                        </w14:solidFill>
                      </w14:textFill>
                    </w:rPr>
                    <w:t>3个月</w:t>
                  </w:r>
                </w:p>
              </w:tc>
            </w:tr>
            <w:tr w14:paraId="27D7A4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3" w:hRule="atLeast"/>
              </w:trPr>
              <w:tc>
                <w:tcPr>
                  <w:tcW w:w="479" w:type="dxa"/>
                  <w:vMerge w:val="continue"/>
                  <w:noWrap w:val="0"/>
                  <w:vAlign w:val="center"/>
                </w:tcPr>
                <w:p w14:paraId="5B0A2DEF">
                  <w:pPr>
                    <w:topLinePunct/>
                    <w:adjustRightInd w:val="0"/>
                    <w:snapToGrid w:val="0"/>
                    <w:jc w:val="center"/>
                    <w:rPr>
                      <w:rFonts w:hint="eastAsia" w:cs="Times New Roman"/>
                      <w:color w:val="000000" w:themeColor="text1"/>
                      <w:kern w:val="0"/>
                      <w:szCs w:val="21"/>
                      <w:highlight w:val="none"/>
                      <w:lang w:val="en-US" w:eastAsia="zh-CN"/>
                      <w14:textFill>
                        <w14:solidFill>
                          <w14:schemeClr w14:val="tx1"/>
                        </w14:solidFill>
                      </w14:textFill>
                    </w:rPr>
                  </w:pPr>
                </w:p>
              </w:tc>
              <w:tc>
                <w:tcPr>
                  <w:tcW w:w="919" w:type="dxa"/>
                  <w:vMerge w:val="continue"/>
                  <w:noWrap w:val="0"/>
                  <w:vAlign w:val="center"/>
                </w:tcPr>
                <w:p w14:paraId="7E5C9FE0">
                  <w:pPr>
                    <w:topLinePunct/>
                    <w:adjustRightInd w:val="0"/>
                    <w:snapToGrid w:val="0"/>
                    <w:jc w:val="cente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pPr>
                </w:p>
              </w:tc>
              <w:tc>
                <w:tcPr>
                  <w:tcW w:w="1095" w:type="dxa"/>
                  <w:noWrap w:val="0"/>
                  <w:vAlign w:val="center"/>
                </w:tcPr>
                <w:p w14:paraId="4D15FA5E">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14:textFill>
                        <w14:solidFill>
                          <w14:schemeClr w14:val="tx1"/>
                        </w14:solidFill>
                      </w14:textFill>
                    </w:rPr>
                    <w:t>金属刻蚀废液</w:t>
                  </w:r>
                </w:p>
              </w:tc>
              <w:tc>
                <w:tcPr>
                  <w:tcW w:w="780" w:type="dxa"/>
                  <w:noWrap w:val="0"/>
                  <w:vAlign w:val="center"/>
                </w:tcPr>
                <w:p w14:paraId="1E4F8DBB">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t>HW34</w:t>
                  </w:r>
                </w:p>
              </w:tc>
              <w:tc>
                <w:tcPr>
                  <w:tcW w:w="1102" w:type="dxa"/>
                  <w:noWrap w:val="0"/>
                  <w:vAlign w:val="center"/>
                </w:tcPr>
                <w:p w14:paraId="39447646">
                  <w:pPr>
                    <w:jc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t>900-300-34</w:t>
                  </w:r>
                </w:p>
              </w:tc>
              <w:tc>
                <w:tcPr>
                  <w:tcW w:w="826" w:type="dxa"/>
                  <w:vMerge w:val="continue"/>
                  <w:noWrap w:val="0"/>
                  <w:vAlign w:val="center"/>
                </w:tcPr>
                <w:p w14:paraId="6AFF5715">
                  <w:pPr>
                    <w:topLinePunct/>
                    <w:adjustRightInd w:val="0"/>
                    <w:snapToGrid w:val="0"/>
                    <w:jc w:val="cente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pPr>
                </w:p>
              </w:tc>
              <w:tc>
                <w:tcPr>
                  <w:tcW w:w="767" w:type="dxa"/>
                  <w:vMerge w:val="continue"/>
                  <w:noWrap w:val="0"/>
                  <w:vAlign w:val="center"/>
                </w:tcPr>
                <w:p w14:paraId="088AB7B6">
                  <w:pPr>
                    <w:topLinePunct/>
                    <w:adjustRightInd w:val="0"/>
                    <w:snapToGrid w:val="0"/>
                    <w:jc w:val="center"/>
                    <w:rPr>
                      <w:rFonts w:hint="eastAsia" w:cs="Times New Roman"/>
                      <w:color w:val="000000" w:themeColor="text1"/>
                      <w:kern w:val="0"/>
                      <w:szCs w:val="21"/>
                      <w:highlight w:val="none"/>
                      <w:lang w:val="en-US" w:eastAsia="zh-CN"/>
                      <w14:textFill>
                        <w14:solidFill>
                          <w14:schemeClr w14:val="tx1"/>
                        </w14:solidFill>
                      </w14:textFill>
                    </w:rPr>
                  </w:pPr>
                </w:p>
              </w:tc>
              <w:tc>
                <w:tcPr>
                  <w:tcW w:w="693" w:type="dxa"/>
                  <w:noWrap w:val="0"/>
                  <w:vAlign w:val="center"/>
                </w:tcPr>
                <w:p w14:paraId="642077E8">
                  <w:pPr>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桶装</w:t>
                  </w:r>
                </w:p>
              </w:tc>
              <w:tc>
                <w:tcPr>
                  <w:tcW w:w="693" w:type="dxa"/>
                  <w:vMerge w:val="continue"/>
                  <w:noWrap w:val="0"/>
                  <w:vAlign w:val="center"/>
                </w:tcPr>
                <w:p w14:paraId="01AE27AC">
                  <w:pPr>
                    <w:topLinePunct/>
                    <w:adjustRightInd w:val="0"/>
                    <w:snapToGrid w:val="0"/>
                    <w:jc w:val="center"/>
                    <w:rPr>
                      <w:rFonts w:hint="eastAsia" w:cs="Times New Roman"/>
                      <w:color w:val="000000" w:themeColor="text1"/>
                      <w:kern w:val="0"/>
                      <w:szCs w:val="21"/>
                      <w:highlight w:val="none"/>
                      <w:lang w:val="en-US" w:eastAsia="zh-CN"/>
                      <w14:textFill>
                        <w14:solidFill>
                          <w14:schemeClr w14:val="tx1"/>
                        </w14:solidFill>
                      </w14:textFill>
                    </w:rPr>
                  </w:pPr>
                </w:p>
              </w:tc>
              <w:tc>
                <w:tcPr>
                  <w:tcW w:w="756" w:type="dxa"/>
                  <w:vMerge w:val="continue"/>
                  <w:noWrap w:val="0"/>
                  <w:vAlign w:val="center"/>
                </w:tcPr>
                <w:p w14:paraId="41952F29">
                  <w:pPr>
                    <w:topLinePunct/>
                    <w:adjustRightInd w:val="0"/>
                    <w:snapToGrid w:val="0"/>
                    <w:jc w:val="center"/>
                    <w:rPr>
                      <w:rFonts w:hint="eastAsia" w:cs="Times New Roman"/>
                      <w:color w:val="000000" w:themeColor="text1"/>
                      <w:kern w:val="0"/>
                      <w:szCs w:val="21"/>
                      <w:highlight w:val="none"/>
                      <w:lang w:val="en-US" w:eastAsia="zh-CN"/>
                      <w14:textFill>
                        <w14:solidFill>
                          <w14:schemeClr w14:val="tx1"/>
                        </w14:solidFill>
                      </w14:textFill>
                    </w:rPr>
                  </w:pPr>
                </w:p>
              </w:tc>
            </w:tr>
            <w:tr w14:paraId="3910E0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3" w:hRule="atLeast"/>
              </w:trPr>
              <w:tc>
                <w:tcPr>
                  <w:tcW w:w="479" w:type="dxa"/>
                  <w:noWrap w:val="0"/>
                  <w:vAlign w:val="center"/>
                </w:tcPr>
                <w:p w14:paraId="2AF9B9FF">
                  <w:pPr>
                    <w:topLinePunct/>
                    <w:adjustRightInd w:val="0"/>
                    <w:snapToGrid w:val="0"/>
                    <w:jc w:val="cente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pPr>
                  <w:r>
                    <w:rPr>
                      <w:rFonts w:hint="eastAsia" w:cs="Times New Roman"/>
                      <w:color w:val="000000" w:themeColor="text1"/>
                      <w:kern w:val="0"/>
                      <w:szCs w:val="21"/>
                      <w:highlight w:val="none"/>
                      <w:lang w:val="en-US" w:eastAsia="zh-CN"/>
                      <w14:textFill>
                        <w14:solidFill>
                          <w14:schemeClr w14:val="tx1"/>
                        </w14:solidFill>
                      </w14:textFill>
                    </w:rPr>
                    <w:t>3</w:t>
                  </w:r>
                </w:p>
              </w:tc>
              <w:tc>
                <w:tcPr>
                  <w:tcW w:w="919" w:type="dxa"/>
                  <w:noWrap w:val="0"/>
                  <w:vAlign w:val="center"/>
                </w:tcPr>
                <w:p w14:paraId="126E3134">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t>危废暂存间</w:t>
                  </w:r>
                  <w:r>
                    <w:rPr>
                      <w:rFonts w:hint="eastAsia" w:cs="Times New Roman"/>
                      <w:color w:val="000000" w:themeColor="text1"/>
                      <w:kern w:val="0"/>
                      <w:szCs w:val="21"/>
                      <w:highlight w:val="none"/>
                      <w:lang w:val="en-US" w:eastAsia="zh-CN"/>
                      <w14:textFill>
                        <w14:solidFill>
                          <w14:schemeClr w14:val="tx1"/>
                        </w14:solidFill>
                      </w14:textFill>
                    </w:rPr>
                    <w:t>3（暂存碱性废物）</w:t>
                  </w:r>
                </w:p>
              </w:tc>
              <w:tc>
                <w:tcPr>
                  <w:tcW w:w="1095" w:type="dxa"/>
                  <w:noWrap w:val="0"/>
                  <w:vAlign w:val="center"/>
                </w:tcPr>
                <w:p w14:paraId="3C4E457F">
                  <w:pPr>
                    <w:jc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cs="宋体"/>
                      <w:color w:val="000000" w:themeColor="text1"/>
                      <w:sz w:val="21"/>
                      <w:szCs w:val="21"/>
                      <w:highlight w:val="none"/>
                      <w:lang w:val="en-US" w:eastAsia="zh-CN"/>
                      <w14:textFill>
                        <w14:solidFill>
                          <w14:schemeClr w14:val="tx1"/>
                        </w14:solidFill>
                      </w14:textFill>
                    </w:rPr>
                    <w:t>废活性炭</w:t>
                  </w:r>
                </w:p>
              </w:tc>
              <w:tc>
                <w:tcPr>
                  <w:tcW w:w="780" w:type="dxa"/>
                  <w:noWrap w:val="0"/>
                  <w:vAlign w:val="center"/>
                </w:tcPr>
                <w:p w14:paraId="77B9BC60">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HW</w:t>
                  </w:r>
                  <w:r>
                    <w:rPr>
                      <w:rFonts w:hint="eastAsia"/>
                      <w:color w:val="000000" w:themeColor="text1"/>
                      <w:sz w:val="21"/>
                      <w:szCs w:val="21"/>
                      <w:highlight w:val="none"/>
                      <w14:textFill>
                        <w14:solidFill>
                          <w14:schemeClr w14:val="tx1"/>
                        </w14:solidFill>
                      </w14:textFill>
                    </w:rPr>
                    <w:t>49</w:t>
                  </w:r>
                </w:p>
              </w:tc>
              <w:tc>
                <w:tcPr>
                  <w:tcW w:w="1102" w:type="dxa"/>
                  <w:noWrap w:val="0"/>
                  <w:vAlign w:val="center"/>
                </w:tcPr>
                <w:p w14:paraId="6CBA5F4E">
                  <w:pPr>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olor w:val="000000" w:themeColor="text1"/>
                      <w:sz w:val="21"/>
                      <w:szCs w:val="21"/>
                      <w:highlight w:val="none"/>
                      <w14:textFill>
                        <w14:solidFill>
                          <w14:schemeClr w14:val="tx1"/>
                        </w14:solidFill>
                      </w14:textFill>
                    </w:rPr>
                    <w:t>900-0</w:t>
                  </w:r>
                  <w:r>
                    <w:rPr>
                      <w:rFonts w:hint="eastAsia"/>
                      <w:color w:val="000000" w:themeColor="text1"/>
                      <w:sz w:val="21"/>
                      <w:szCs w:val="21"/>
                      <w:highlight w:val="none"/>
                      <w:lang w:val="en-US" w:eastAsia="zh-CN"/>
                      <w14:textFill>
                        <w14:solidFill>
                          <w14:schemeClr w14:val="tx1"/>
                        </w14:solidFill>
                      </w14:textFill>
                    </w:rPr>
                    <w:t>39</w:t>
                  </w:r>
                  <w:r>
                    <w:rPr>
                      <w:rFonts w:hint="eastAsia"/>
                      <w:color w:val="000000" w:themeColor="text1"/>
                      <w:sz w:val="21"/>
                      <w:szCs w:val="21"/>
                      <w:highlight w:val="none"/>
                      <w14:textFill>
                        <w14:solidFill>
                          <w14:schemeClr w14:val="tx1"/>
                        </w14:solidFill>
                      </w14:textFill>
                    </w:rPr>
                    <w:t>-49</w:t>
                  </w:r>
                </w:p>
              </w:tc>
              <w:tc>
                <w:tcPr>
                  <w:tcW w:w="826" w:type="dxa"/>
                  <w:noWrap w:val="0"/>
                  <w:vAlign w:val="center"/>
                </w:tcPr>
                <w:p w14:paraId="3D04BF43">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t>厂房</w:t>
                  </w:r>
                  <w:r>
                    <w:rPr>
                      <w:rFonts w:hint="eastAsia" w:cs="Times New Roman"/>
                      <w:color w:val="000000" w:themeColor="text1"/>
                      <w:kern w:val="0"/>
                      <w:szCs w:val="21"/>
                      <w:highlight w:val="none"/>
                      <w:lang w:val="en-US" w:eastAsia="zh-CN"/>
                      <w14:textFill>
                        <w14:solidFill>
                          <w14:schemeClr w14:val="tx1"/>
                        </w14:solidFill>
                      </w14:textFill>
                    </w:rPr>
                    <w:t>南侧</w:t>
                  </w:r>
                </w:p>
              </w:tc>
              <w:tc>
                <w:tcPr>
                  <w:tcW w:w="767" w:type="dxa"/>
                  <w:noWrap w:val="0"/>
                  <w:vAlign w:val="center"/>
                </w:tcPr>
                <w:p w14:paraId="72B80096">
                  <w:pPr>
                    <w:topLinePunct/>
                    <w:adjustRightInd w:val="0"/>
                    <w:snapToGrid w:val="0"/>
                    <w:jc w:val="center"/>
                    <w:rPr>
                      <w:rFonts w:hint="default" w:ascii="Times New Roman" w:hAnsi="Times New Roman" w:eastAsia="宋体" w:cs="Times New Roman"/>
                      <w:color w:val="000000" w:themeColor="text1"/>
                      <w:kern w:val="0"/>
                      <w:szCs w:val="21"/>
                      <w:highlight w:val="none"/>
                      <w:lang w:val="en-US" w:eastAsia="zh-CN"/>
                      <w14:textFill>
                        <w14:solidFill>
                          <w14:schemeClr w14:val="tx1"/>
                        </w14:solidFill>
                      </w14:textFill>
                    </w:rPr>
                  </w:pPr>
                  <w:r>
                    <w:rPr>
                      <w:rFonts w:hint="eastAsia" w:cs="Times New Roman"/>
                      <w:color w:val="000000" w:themeColor="text1"/>
                      <w:kern w:val="0"/>
                      <w:szCs w:val="21"/>
                      <w:highlight w:val="none"/>
                      <w:lang w:val="en-US" w:eastAsia="zh-CN"/>
                      <w14:textFill>
                        <w14:solidFill>
                          <w14:schemeClr w14:val="tx1"/>
                        </w14:solidFill>
                      </w14:textFill>
                    </w:rPr>
                    <w:t>10</w:t>
                  </w:r>
                  <w: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kern w:val="0"/>
                      <w:szCs w:val="21"/>
                      <w:highlight w:val="none"/>
                      <w:vertAlign w:val="superscript"/>
                      <w:lang w:val="en-US" w:eastAsia="zh-CN"/>
                      <w14:textFill>
                        <w14:solidFill>
                          <w14:schemeClr w14:val="tx1"/>
                        </w14:solidFill>
                      </w14:textFill>
                    </w:rPr>
                    <w:t>2</w:t>
                  </w:r>
                </w:p>
              </w:tc>
              <w:tc>
                <w:tcPr>
                  <w:tcW w:w="693" w:type="dxa"/>
                  <w:noWrap w:val="0"/>
                  <w:vAlign w:val="center"/>
                </w:tcPr>
                <w:p w14:paraId="6749F544">
                  <w:pPr>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袋装</w:t>
                  </w:r>
                </w:p>
              </w:tc>
              <w:tc>
                <w:tcPr>
                  <w:tcW w:w="693" w:type="dxa"/>
                  <w:noWrap w:val="0"/>
                  <w:vAlign w:val="center"/>
                </w:tcPr>
                <w:p w14:paraId="0E54B097">
                  <w:pPr>
                    <w:topLinePunct/>
                    <w:adjustRightInd w:val="0"/>
                    <w:snapToGrid w:val="0"/>
                    <w:jc w:val="center"/>
                    <w:rPr>
                      <w:rFonts w:hint="default" w:ascii="Times New Roman" w:hAnsi="Times New Roman" w:eastAsia="宋体" w:cs="Times New Roman"/>
                      <w:color w:val="000000" w:themeColor="text1"/>
                      <w:kern w:val="0"/>
                      <w:szCs w:val="21"/>
                      <w:highlight w:val="none"/>
                      <w:lang w:val="en-US" w:eastAsia="zh-CN"/>
                      <w14:textFill>
                        <w14:solidFill>
                          <w14:schemeClr w14:val="tx1"/>
                        </w14:solidFill>
                      </w14:textFill>
                    </w:rPr>
                  </w:pPr>
                  <w:r>
                    <w:rPr>
                      <w:rFonts w:hint="eastAsia" w:cs="Times New Roman"/>
                      <w:color w:val="000000" w:themeColor="text1"/>
                      <w:kern w:val="0"/>
                      <w:szCs w:val="21"/>
                      <w:highlight w:val="none"/>
                      <w:lang w:val="en-US" w:eastAsia="zh-CN"/>
                      <w14:textFill>
                        <w14:solidFill>
                          <w14:schemeClr w14:val="tx1"/>
                        </w14:solidFill>
                      </w14:textFill>
                    </w:rPr>
                    <w:t>15</w:t>
                  </w:r>
                  <w: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t>t</w:t>
                  </w:r>
                </w:p>
              </w:tc>
              <w:tc>
                <w:tcPr>
                  <w:tcW w:w="756" w:type="dxa"/>
                  <w:noWrap w:val="0"/>
                  <w:vAlign w:val="center"/>
                </w:tcPr>
                <w:p w14:paraId="1ABEA73B">
                  <w:pPr>
                    <w:topLinePunct/>
                    <w:adjustRightInd w:val="0"/>
                    <w:snapToGrid w:val="0"/>
                    <w:jc w:val="center"/>
                    <w:rPr>
                      <w:rFonts w:hint="default" w:ascii="Times New Roman" w:hAnsi="Times New Roman" w:eastAsia="宋体" w:cs="Times New Roman"/>
                      <w:color w:val="000000" w:themeColor="text1"/>
                      <w:kern w:val="0"/>
                      <w:szCs w:val="21"/>
                      <w:highlight w:val="none"/>
                      <w:lang w:val="en-US" w:eastAsia="zh-CN"/>
                      <w14:textFill>
                        <w14:solidFill>
                          <w14:schemeClr w14:val="tx1"/>
                        </w14:solidFill>
                      </w14:textFill>
                    </w:rPr>
                  </w:pPr>
                  <w:r>
                    <w:rPr>
                      <w:rFonts w:hint="eastAsia" w:cs="Times New Roman"/>
                      <w:color w:val="000000" w:themeColor="text1"/>
                      <w:kern w:val="0"/>
                      <w:szCs w:val="21"/>
                      <w:highlight w:val="none"/>
                      <w:lang w:val="en-US" w:eastAsia="zh-CN"/>
                      <w14:textFill>
                        <w14:solidFill>
                          <w14:schemeClr w14:val="tx1"/>
                        </w14:solidFill>
                      </w14:textFill>
                    </w:rPr>
                    <w:t>3个月</w:t>
                  </w:r>
                </w:p>
              </w:tc>
            </w:tr>
            <w:tr w14:paraId="3103CE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3" w:hRule="atLeast"/>
              </w:trPr>
              <w:tc>
                <w:tcPr>
                  <w:tcW w:w="479" w:type="dxa"/>
                  <w:noWrap w:val="0"/>
                  <w:vAlign w:val="center"/>
                </w:tcPr>
                <w:p w14:paraId="7C737E68">
                  <w:pPr>
                    <w:topLinePunct/>
                    <w:adjustRightInd w:val="0"/>
                    <w:snapToGrid w:val="0"/>
                    <w:jc w:val="cente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pPr>
                  <w:r>
                    <w:rPr>
                      <w:rFonts w:hint="eastAsia" w:cs="Times New Roman"/>
                      <w:color w:val="000000" w:themeColor="text1"/>
                      <w:kern w:val="0"/>
                      <w:szCs w:val="21"/>
                      <w:highlight w:val="none"/>
                      <w:lang w:val="en-US" w:eastAsia="zh-CN"/>
                      <w14:textFill>
                        <w14:solidFill>
                          <w14:schemeClr w14:val="tx1"/>
                        </w14:solidFill>
                      </w14:textFill>
                    </w:rPr>
                    <w:t>2</w:t>
                  </w:r>
                </w:p>
              </w:tc>
              <w:tc>
                <w:tcPr>
                  <w:tcW w:w="919" w:type="dxa"/>
                  <w:noWrap w:val="0"/>
                  <w:vAlign w:val="center"/>
                </w:tcPr>
                <w:p w14:paraId="54D45EA1">
                  <w:pPr>
                    <w:topLinePunct/>
                    <w:adjustRightInd w:val="0"/>
                    <w:snapToGrid w:val="0"/>
                    <w:jc w:val="center"/>
                    <w:rPr>
                      <w:rFonts w:hint="default" w:ascii="Times New Roman" w:hAnsi="Times New Roman" w:eastAsia="宋体" w:cs="Times New Roman"/>
                      <w:color w:val="000000" w:themeColor="text1"/>
                      <w:kern w:val="0"/>
                      <w:szCs w:val="21"/>
                      <w:highlight w:val="none"/>
                      <w:lang w:val="en-US" w:eastAsia="zh-CN"/>
                      <w14:textFill>
                        <w14:solidFill>
                          <w14:schemeClr w14:val="tx1"/>
                        </w14:solidFill>
                      </w14:textFill>
                    </w:rPr>
                  </w:pPr>
                  <w:r>
                    <w:rPr>
                      <w:rFonts w:hint="eastAsia" w:cs="Times New Roman"/>
                      <w:color w:val="000000" w:themeColor="text1"/>
                      <w:kern w:val="0"/>
                      <w:szCs w:val="21"/>
                      <w:highlight w:val="none"/>
                      <w:lang w:val="en-US" w:eastAsia="zh-CN"/>
                      <w14:textFill>
                        <w14:solidFill>
                          <w14:schemeClr w14:val="tx1"/>
                        </w14:solidFill>
                      </w14:textFill>
                    </w:rPr>
                    <w:t>危废暂存间2（暂存废液）</w:t>
                  </w:r>
                </w:p>
              </w:tc>
              <w:tc>
                <w:tcPr>
                  <w:tcW w:w="1095" w:type="dxa"/>
                  <w:noWrap w:val="0"/>
                  <w:vAlign w:val="center"/>
                </w:tcPr>
                <w:p w14:paraId="4CEC3B3D">
                  <w:pPr>
                    <w:jc w:val="center"/>
                    <w:rPr>
                      <w:rFonts w:hint="eastAsia"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14:textFill>
                        <w14:solidFill>
                          <w14:schemeClr w14:val="tx1"/>
                        </w14:solidFill>
                      </w14:textFill>
                    </w:rPr>
                    <w:t>金属刻蚀废液</w:t>
                  </w:r>
                </w:p>
              </w:tc>
              <w:tc>
                <w:tcPr>
                  <w:tcW w:w="780" w:type="dxa"/>
                  <w:noWrap w:val="0"/>
                  <w:vAlign w:val="center"/>
                </w:tcPr>
                <w:p w14:paraId="6147FEBC">
                  <w:pPr>
                    <w:jc w:val="center"/>
                    <w:rPr>
                      <w:rFonts w:hint="eastAsia"/>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t>HW34</w:t>
                  </w:r>
                </w:p>
              </w:tc>
              <w:tc>
                <w:tcPr>
                  <w:tcW w:w="1102" w:type="dxa"/>
                  <w:noWrap w:val="0"/>
                  <w:vAlign w:val="center"/>
                </w:tcPr>
                <w:p w14:paraId="6512D6E9">
                  <w:pPr>
                    <w:jc w:val="center"/>
                    <w:rPr>
                      <w:rFonts w:hint="eastAsia"/>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t>900-300-34</w:t>
                  </w:r>
                </w:p>
              </w:tc>
              <w:tc>
                <w:tcPr>
                  <w:tcW w:w="826" w:type="dxa"/>
                  <w:noWrap w:val="0"/>
                  <w:vAlign w:val="center"/>
                </w:tcPr>
                <w:p w14:paraId="582CD743">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t>厂房</w:t>
                  </w:r>
                  <w:r>
                    <w:rPr>
                      <w:rFonts w:hint="eastAsia" w:cs="Times New Roman"/>
                      <w:color w:val="000000" w:themeColor="text1"/>
                      <w:kern w:val="0"/>
                      <w:szCs w:val="21"/>
                      <w:highlight w:val="none"/>
                      <w:lang w:val="en-US" w:eastAsia="zh-CN"/>
                      <w14:textFill>
                        <w14:solidFill>
                          <w14:schemeClr w14:val="tx1"/>
                        </w14:solidFill>
                      </w14:textFill>
                    </w:rPr>
                    <w:t>南侧</w:t>
                  </w:r>
                </w:p>
              </w:tc>
              <w:tc>
                <w:tcPr>
                  <w:tcW w:w="767" w:type="dxa"/>
                  <w:noWrap w:val="0"/>
                  <w:vAlign w:val="center"/>
                </w:tcPr>
                <w:p w14:paraId="0D47E4AE">
                  <w:pPr>
                    <w:topLinePunct/>
                    <w:adjustRightInd w:val="0"/>
                    <w:snapToGrid w:val="0"/>
                    <w:jc w:val="center"/>
                    <w:rPr>
                      <w:rFonts w:hint="default" w:ascii="Times New Roman" w:hAnsi="Times New Roman" w:eastAsia="宋体" w:cs="Times New Roman"/>
                      <w:color w:val="000000" w:themeColor="text1"/>
                      <w:kern w:val="0"/>
                      <w:szCs w:val="21"/>
                      <w:highlight w:val="none"/>
                      <w14:textFill>
                        <w14:solidFill>
                          <w14:schemeClr w14:val="tx1"/>
                        </w14:solidFill>
                      </w14:textFill>
                    </w:rPr>
                  </w:pPr>
                  <w:r>
                    <w:rPr>
                      <w:rFonts w:hint="eastAsia" w:cs="Times New Roman"/>
                      <w:color w:val="000000" w:themeColor="text1"/>
                      <w:kern w:val="0"/>
                      <w:szCs w:val="21"/>
                      <w:highlight w:val="none"/>
                      <w:lang w:val="en-US" w:eastAsia="zh-CN"/>
                      <w14:textFill>
                        <w14:solidFill>
                          <w14:schemeClr w14:val="tx1"/>
                        </w14:solidFill>
                      </w14:textFill>
                    </w:rPr>
                    <w:t>24</w:t>
                  </w:r>
                  <w:r>
                    <w:rPr>
                      <w:rFonts w:hint="eastAsia" w:ascii="Times New Roman" w:hAnsi="Times New Roman" w:eastAsia="宋体" w:cs="Times New Roman"/>
                      <w:color w:val="000000" w:themeColor="text1"/>
                      <w:kern w:val="0"/>
                      <w:szCs w:val="21"/>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kern w:val="0"/>
                      <w:szCs w:val="21"/>
                      <w:highlight w:val="none"/>
                      <w:vertAlign w:val="superscript"/>
                      <w:lang w:val="en-US" w:eastAsia="zh-CN"/>
                      <w14:textFill>
                        <w14:solidFill>
                          <w14:schemeClr w14:val="tx1"/>
                        </w14:solidFill>
                      </w14:textFill>
                    </w:rPr>
                    <w:t>2</w:t>
                  </w:r>
                </w:p>
              </w:tc>
              <w:tc>
                <w:tcPr>
                  <w:tcW w:w="693" w:type="dxa"/>
                  <w:noWrap w:val="0"/>
                  <w:vAlign w:val="center"/>
                </w:tcPr>
                <w:p w14:paraId="5A86DFC5">
                  <w:pPr>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桶装</w:t>
                  </w:r>
                </w:p>
              </w:tc>
              <w:tc>
                <w:tcPr>
                  <w:tcW w:w="693" w:type="dxa"/>
                  <w:noWrap w:val="0"/>
                  <w:vAlign w:val="center"/>
                </w:tcPr>
                <w:p w14:paraId="0ED1D46A">
                  <w:pPr>
                    <w:topLinePunct/>
                    <w:adjustRightInd w:val="0"/>
                    <w:snapToGrid w:val="0"/>
                    <w:jc w:val="center"/>
                    <w:rPr>
                      <w:rFonts w:hint="default" w:ascii="Times New Roman" w:hAnsi="Times New Roman" w:eastAsia="宋体" w:cs="Times New Roman"/>
                      <w:color w:val="000000" w:themeColor="text1"/>
                      <w:kern w:val="0"/>
                      <w:szCs w:val="21"/>
                      <w:highlight w:val="none"/>
                      <w:lang w:val="en-US" w:eastAsia="zh-CN"/>
                      <w14:textFill>
                        <w14:solidFill>
                          <w14:schemeClr w14:val="tx1"/>
                        </w14:solidFill>
                      </w14:textFill>
                    </w:rPr>
                  </w:pPr>
                  <w:r>
                    <w:rPr>
                      <w:rFonts w:hint="eastAsia" w:cs="Times New Roman"/>
                      <w:color w:val="000000" w:themeColor="text1"/>
                      <w:kern w:val="0"/>
                      <w:szCs w:val="21"/>
                      <w:highlight w:val="none"/>
                      <w:lang w:val="en-US" w:eastAsia="zh-CN"/>
                      <w14:textFill>
                        <w14:solidFill>
                          <w14:schemeClr w14:val="tx1"/>
                        </w14:solidFill>
                      </w14:textFill>
                    </w:rPr>
                    <w:t>36t</w:t>
                  </w:r>
                </w:p>
              </w:tc>
              <w:tc>
                <w:tcPr>
                  <w:tcW w:w="756" w:type="dxa"/>
                  <w:noWrap w:val="0"/>
                  <w:vAlign w:val="center"/>
                </w:tcPr>
                <w:p w14:paraId="54099B13">
                  <w:pPr>
                    <w:topLinePunct/>
                    <w:adjustRightInd w:val="0"/>
                    <w:snapToGrid w:val="0"/>
                    <w:jc w:val="center"/>
                    <w:rPr>
                      <w:rFonts w:hint="default" w:ascii="Times New Roman" w:hAnsi="Times New Roman" w:eastAsia="宋体" w:cs="Times New Roman"/>
                      <w:color w:val="000000" w:themeColor="text1"/>
                      <w:kern w:val="0"/>
                      <w:szCs w:val="21"/>
                      <w:highlight w:val="none"/>
                      <w:lang w:val="en-US"/>
                      <w14:textFill>
                        <w14:solidFill>
                          <w14:schemeClr w14:val="tx1"/>
                        </w14:solidFill>
                      </w14:textFill>
                    </w:rPr>
                  </w:pPr>
                  <w:r>
                    <w:rPr>
                      <w:rFonts w:hint="eastAsia" w:cs="Times New Roman"/>
                      <w:color w:val="000000" w:themeColor="text1"/>
                      <w:kern w:val="0"/>
                      <w:szCs w:val="21"/>
                      <w:highlight w:val="none"/>
                      <w:lang w:val="en-US" w:eastAsia="zh-CN"/>
                      <w14:textFill>
                        <w14:solidFill>
                          <w14:schemeClr w14:val="tx1"/>
                        </w14:solidFill>
                      </w14:textFill>
                    </w:rPr>
                    <w:t>5天</w:t>
                  </w:r>
                </w:p>
              </w:tc>
            </w:tr>
          </w:tbl>
          <w:p w14:paraId="38C5C52B">
            <w:pPr>
              <w:pStyle w:val="66"/>
              <w:ind w:firstLine="420"/>
              <w:rPr>
                <w:rFonts w:hint="default" w:ascii="Times New Roman" w:hAnsi="Times New Roman" w:cs="Times New Roman"/>
                <w:color w:val="000000" w:themeColor="text1"/>
                <w:sz w:val="24"/>
                <w:szCs w:val="32"/>
                <w:highlight w:val="none"/>
                <w:lang w:val="en-US" w:eastAsia="zh-CN"/>
                <w14:textFill>
                  <w14:solidFill>
                    <w14:schemeClr w14:val="tx1"/>
                  </w14:solidFill>
                </w14:textFill>
              </w:rPr>
            </w:pPr>
            <w:r>
              <w:rPr>
                <w:rFonts w:hint="eastAsia" w:cs="Times New Roman"/>
                <w:color w:val="000000" w:themeColor="text1"/>
                <w:sz w:val="24"/>
                <w:szCs w:val="32"/>
                <w:highlight w:val="none"/>
                <w:lang w:val="en-US" w:eastAsia="zh-CN"/>
                <w14:textFill>
                  <w14:solidFill>
                    <w14:schemeClr w14:val="tx1"/>
                  </w14:solidFill>
                </w14:textFill>
              </w:rPr>
              <w:t>（一）</w:t>
            </w:r>
            <w:r>
              <w:rPr>
                <w:rFonts w:hint="eastAsia" w:ascii="Times New Roman" w:hAnsi="Times New Roman" w:cs="Times New Roman"/>
                <w:color w:val="000000" w:themeColor="text1"/>
                <w:sz w:val="24"/>
                <w:szCs w:val="32"/>
                <w:highlight w:val="none"/>
                <w:lang w:val="en-US" w:eastAsia="zh-CN"/>
                <w14:textFill>
                  <w14:solidFill>
                    <w14:schemeClr w14:val="tx1"/>
                  </w14:solidFill>
                </w14:textFill>
              </w:rPr>
              <w:t>危险废物贮存库</w:t>
            </w:r>
            <w:r>
              <w:rPr>
                <w:rFonts w:hint="eastAsia" w:cs="Times New Roman"/>
                <w:color w:val="000000" w:themeColor="text1"/>
                <w:sz w:val="24"/>
                <w:szCs w:val="32"/>
                <w:highlight w:val="none"/>
                <w:lang w:val="en-US" w:eastAsia="zh-CN"/>
                <w14:textFill>
                  <w14:solidFill>
                    <w14:schemeClr w14:val="tx1"/>
                  </w14:solidFill>
                </w14:textFill>
              </w:rPr>
              <w:t>规范化建设要求</w:t>
            </w:r>
          </w:p>
          <w:p w14:paraId="5CD4EEA7">
            <w:pPr>
              <w:pStyle w:val="66"/>
              <w:ind w:firstLine="420"/>
              <w:rPr>
                <w:rFonts w:hint="default" w:ascii="Times New Roman" w:hAnsi="Times New Roman" w:cs="Times New Roman"/>
                <w:color w:val="000000" w:themeColor="text1"/>
                <w:sz w:val="24"/>
                <w:szCs w:val="32"/>
                <w:highlight w:val="none"/>
                <w:lang w:val="en-US" w:eastAsia="zh-CN"/>
                <w14:textFill>
                  <w14:solidFill>
                    <w14:schemeClr w14:val="tx1"/>
                  </w14:solidFill>
                </w14:textFill>
              </w:rPr>
            </w:pPr>
            <w:r>
              <w:rPr>
                <w:rFonts w:hint="eastAsia" w:cs="Times New Roman"/>
                <w:color w:val="000000" w:themeColor="text1"/>
                <w:sz w:val="24"/>
                <w:szCs w:val="32"/>
                <w:highlight w:val="none"/>
                <w:lang w:val="en-US" w:eastAsia="zh-CN"/>
                <w14:textFill>
                  <w14:solidFill>
                    <w14:schemeClr w14:val="tx1"/>
                  </w14:solidFill>
                </w14:textFill>
              </w:rPr>
              <w:t>（1）通用建设要求</w:t>
            </w:r>
          </w:p>
          <w:p w14:paraId="086414B2">
            <w:pPr>
              <w:pStyle w:val="66"/>
              <w:ind w:firstLine="420"/>
              <w:rPr>
                <w:rFonts w:hint="eastAsia" w:ascii="Times New Roman" w:hAnsi="Times New Roman" w:cs="Times New Roman"/>
                <w:color w:val="000000" w:themeColor="text1"/>
                <w:sz w:val="24"/>
                <w:szCs w:val="32"/>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①</w:t>
            </w:r>
            <w:r>
              <w:rPr>
                <w:rFonts w:hint="eastAsia" w:ascii="Times New Roman" w:hAnsi="Times New Roman" w:cs="Times New Roman"/>
                <w:color w:val="000000" w:themeColor="text1"/>
                <w:sz w:val="24"/>
                <w:szCs w:val="32"/>
                <w:highlight w:val="none"/>
                <w:lang w:val="en-US" w:eastAsia="zh-CN"/>
                <w14:textFill>
                  <w14:solidFill>
                    <w14:schemeClr w14:val="tx1"/>
                  </w14:solidFill>
                </w14:textFill>
              </w:rPr>
              <w:t>暂存间为全密闭砖混结构，墙体采用耐酸碱防腐涂料涂刷，屋面及墙体满足防风、防雨、防晒、防渗漏要求；</w:t>
            </w:r>
          </w:p>
          <w:p w14:paraId="1A5B1358">
            <w:pPr>
              <w:pStyle w:val="66"/>
              <w:ind w:firstLine="420"/>
              <w:rPr>
                <w:rFonts w:hint="eastAsia" w:ascii="Times New Roman" w:hAnsi="Times New Roman" w:cs="Times New Roman"/>
                <w:color w:val="000000" w:themeColor="text1"/>
                <w:sz w:val="24"/>
                <w:szCs w:val="32"/>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②</w:t>
            </w:r>
            <w:r>
              <w:rPr>
                <w:rFonts w:hint="eastAsia" w:ascii="Times New Roman" w:hAnsi="Times New Roman" w:cs="Times New Roman"/>
                <w:color w:val="000000" w:themeColor="text1"/>
                <w:sz w:val="24"/>
                <w:szCs w:val="32"/>
                <w:highlight w:val="none"/>
                <w:lang w:val="en-US" w:eastAsia="zh-CN"/>
                <w14:textFill>
                  <w14:solidFill>
                    <w14:schemeClr w14:val="tx1"/>
                  </w14:solidFill>
                </w14:textFill>
              </w:rPr>
              <w:t>按《危险废物识别标志设置技术规范》（HJ1276-2022）设置危险废物警告标志、分区标识牌、成分标签，明确危废名称、类别、危险特性；</w:t>
            </w:r>
          </w:p>
          <w:p w14:paraId="7E89DD0E">
            <w:pPr>
              <w:pStyle w:val="66"/>
              <w:ind w:firstLine="420"/>
              <w:rPr>
                <w:rFonts w:hint="eastAsia" w:ascii="Times New Roman" w:hAnsi="Times New Roman" w:cs="Times New Roman"/>
                <w:color w:val="000000" w:themeColor="text1"/>
                <w:sz w:val="24"/>
                <w:szCs w:val="32"/>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③</w:t>
            </w:r>
            <w:r>
              <w:rPr>
                <w:rFonts w:hint="eastAsia" w:ascii="Times New Roman" w:hAnsi="Times New Roman" w:cs="Times New Roman"/>
                <w:color w:val="000000" w:themeColor="text1"/>
                <w:sz w:val="24"/>
                <w:szCs w:val="32"/>
                <w:highlight w:val="none"/>
                <w:lang w:val="en-US" w:eastAsia="zh-CN"/>
                <w14:textFill>
                  <w14:solidFill>
                    <w14:schemeClr w14:val="tx1"/>
                  </w14:solidFill>
                </w14:textFill>
              </w:rPr>
              <w:t>配套泄漏应急物资（吸附棉、沙土、防漏托盘、应急收集桶）、干粉灭火器，有机类暂存间增设防爆照明、防爆开关及通风设施。</w:t>
            </w:r>
          </w:p>
          <w:p w14:paraId="5BB0B68C">
            <w:pPr>
              <w:pStyle w:val="66"/>
              <w:ind w:firstLine="420"/>
              <w:rPr>
                <w:rFonts w:hint="default" w:ascii="Times New Roman" w:hAnsi="Times New Roman" w:cs="Times New Roman"/>
                <w:color w:val="000000" w:themeColor="text1"/>
                <w:sz w:val="24"/>
                <w:szCs w:val="32"/>
                <w:highlight w:val="none"/>
                <w:lang w:val="en-US" w:eastAsia="zh-CN"/>
                <w14:textFill>
                  <w14:solidFill>
                    <w14:schemeClr w14:val="tx1"/>
                  </w14:solidFill>
                </w14:textFill>
              </w:rPr>
            </w:pPr>
            <w:r>
              <w:rPr>
                <w:rFonts w:hint="eastAsia" w:cs="Times New Roman"/>
                <w:color w:val="000000" w:themeColor="text1"/>
                <w:sz w:val="24"/>
                <w:szCs w:val="32"/>
                <w:highlight w:val="none"/>
                <w:lang w:val="en-US" w:eastAsia="zh-CN"/>
                <w14:textFill>
                  <w14:solidFill>
                    <w14:schemeClr w14:val="tx1"/>
                  </w14:solidFill>
                </w14:textFill>
              </w:rPr>
              <w:t>（2）防渗建设要求</w:t>
            </w:r>
          </w:p>
          <w:p w14:paraId="4017EF9A">
            <w:pPr>
              <w:pStyle w:val="66"/>
              <w:ind w:firstLine="420"/>
              <w:rPr>
                <w:rFonts w:hint="default" w:cs="Times New Roman"/>
                <w:color w:val="000000" w:themeColor="text1"/>
                <w:sz w:val="24"/>
                <w:szCs w:val="32"/>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32"/>
                <w:highlight w:val="none"/>
                <w:lang w:val="en-US" w:eastAsia="zh-CN"/>
                <w14:textFill>
                  <w14:solidFill>
                    <w14:schemeClr w14:val="tx1"/>
                  </w14:solidFill>
                </w14:textFill>
              </w:rPr>
              <w:t>危险废物贮存库</w:t>
            </w:r>
            <w:r>
              <w:rPr>
                <w:rFonts w:hint="default" w:cs="Times New Roman"/>
                <w:color w:val="000000" w:themeColor="text1"/>
                <w:sz w:val="24"/>
                <w:szCs w:val="32"/>
                <w:highlight w:val="none"/>
                <w:lang w:val="en-US" w:eastAsia="zh-CN"/>
                <w14:textFill>
                  <w14:solidFill>
                    <w14:schemeClr w14:val="tx1"/>
                  </w14:solidFill>
                </w14:textFill>
              </w:rPr>
              <w:t>依托现有厂房混凝土地面改建，防渗系统采用</w:t>
            </w:r>
            <w:r>
              <w:rPr>
                <w:rFonts w:hint="eastAsia" w:cs="Times New Roman"/>
                <w:color w:val="000000" w:themeColor="text1"/>
                <w:sz w:val="24"/>
                <w:szCs w:val="32"/>
                <w:highlight w:val="none"/>
                <w:lang w:val="en-US" w:eastAsia="zh-CN"/>
                <w14:textFill>
                  <w14:solidFill>
                    <w14:schemeClr w14:val="tx1"/>
                  </w14:solidFill>
                </w14:textFill>
              </w:rPr>
              <w:t>“</w:t>
            </w:r>
            <w:r>
              <w:rPr>
                <w:rFonts w:hint="default" w:cs="Times New Roman"/>
                <w:color w:val="000000" w:themeColor="text1"/>
                <w:sz w:val="24"/>
                <w:szCs w:val="32"/>
                <w:highlight w:val="none"/>
                <w:lang w:val="en-US" w:eastAsia="zh-CN"/>
                <w14:textFill>
                  <w14:solidFill>
                    <w14:schemeClr w14:val="tx1"/>
                  </w14:solidFill>
                </w14:textFill>
              </w:rPr>
              <w:t>基层处理+刚性防渗+柔性防渗+防腐面层”一体化施工，满足GB18597-2023中渗透系数的强制要求，具体施工工艺：</w:t>
            </w:r>
          </w:p>
          <w:p w14:paraId="31678EF5">
            <w:pPr>
              <w:pStyle w:val="66"/>
              <w:ind w:firstLine="420"/>
              <w:rPr>
                <w:rFonts w:hint="default" w:cs="Times New Roman"/>
                <w:color w:val="000000" w:themeColor="text1"/>
                <w:sz w:val="24"/>
                <w:szCs w:val="32"/>
                <w:highlight w:val="none"/>
                <w:lang w:val="en-US" w:eastAsia="zh-CN"/>
                <w14:textFill>
                  <w14:solidFill>
                    <w14:schemeClr w14:val="tx1"/>
                  </w14:solidFill>
                </w14:textFill>
              </w:rPr>
            </w:pPr>
            <w:r>
              <w:rPr>
                <w:rFonts w:hint="default" w:cs="Times New Roman"/>
                <w:color w:val="000000" w:themeColor="text1"/>
                <w:sz w:val="24"/>
                <w:szCs w:val="32"/>
                <w:highlight w:val="none"/>
                <w:lang w:val="en-US" w:eastAsia="zh-CN"/>
                <w14:textFill>
                  <w14:solidFill>
                    <w14:schemeClr w14:val="tx1"/>
                  </w14:solidFill>
                </w14:textFill>
              </w:rPr>
              <w:t>①基层处理：铲除原地面浮浆、油污、裂缝，采用环氧砂浆修补找平，保证地面平整度误差≤3mm，彻底干燥除杂；</w:t>
            </w:r>
          </w:p>
          <w:p w14:paraId="597EEB39">
            <w:pPr>
              <w:pStyle w:val="66"/>
              <w:ind w:firstLine="420"/>
              <w:rPr>
                <w:rFonts w:hint="default" w:cs="Times New Roman"/>
                <w:color w:val="000000" w:themeColor="text1"/>
                <w:sz w:val="24"/>
                <w:szCs w:val="32"/>
                <w:highlight w:val="none"/>
                <w:lang w:val="en-US" w:eastAsia="zh-CN"/>
                <w14:textFill>
                  <w14:solidFill>
                    <w14:schemeClr w14:val="tx1"/>
                  </w14:solidFill>
                </w14:textFill>
              </w:rPr>
            </w:pPr>
            <w:r>
              <w:rPr>
                <w:rFonts w:hint="default" w:cs="Times New Roman"/>
                <w:color w:val="000000" w:themeColor="text1"/>
                <w:sz w:val="24"/>
                <w:szCs w:val="32"/>
                <w:highlight w:val="none"/>
                <w:lang w:val="en-US" w:eastAsia="zh-CN"/>
                <w14:textFill>
                  <w14:solidFill>
                    <w14:schemeClr w14:val="tx1"/>
                  </w14:solidFill>
                </w14:textFill>
              </w:rPr>
              <w:t>②刚性防渗层：浇筑C30抗渗混凝土，厚度≥150mm，配置双向钢筋网，掺加高效抗渗剂，抗渗等级≥P8，形成刚性防渗基底；</w:t>
            </w:r>
          </w:p>
          <w:p w14:paraId="1CF63361">
            <w:pPr>
              <w:pStyle w:val="66"/>
              <w:ind w:firstLine="420"/>
              <w:rPr>
                <w:rFonts w:hint="default" w:cs="Times New Roman"/>
                <w:color w:val="000000" w:themeColor="text1"/>
                <w:sz w:val="24"/>
                <w:szCs w:val="32"/>
                <w:highlight w:val="none"/>
                <w:lang w:val="en-US" w:eastAsia="zh-CN"/>
                <w14:textFill>
                  <w14:solidFill>
                    <w14:schemeClr w14:val="tx1"/>
                  </w14:solidFill>
                </w14:textFill>
              </w:rPr>
            </w:pPr>
            <w:r>
              <w:rPr>
                <w:rFonts w:hint="default" w:cs="Times New Roman"/>
                <w:color w:val="000000" w:themeColor="text1"/>
                <w:sz w:val="24"/>
                <w:szCs w:val="32"/>
                <w:highlight w:val="none"/>
                <w:lang w:val="en-US" w:eastAsia="zh-CN"/>
                <w14:textFill>
                  <w14:solidFill>
                    <w14:schemeClr w14:val="tx1"/>
                  </w14:solidFill>
                </w14:textFill>
              </w:rPr>
              <w:t>③柔性防渗主层：满铺2mm厚高密度聚乙烯（HDPE）防渗膜，膜间搭接宽度≥100mm，采用热熔焊接密封，焊接处做气密性检测，确保无破损、无渗漏；</w:t>
            </w:r>
          </w:p>
          <w:p w14:paraId="6611C990">
            <w:pPr>
              <w:pStyle w:val="66"/>
              <w:ind w:firstLine="420"/>
              <w:rPr>
                <w:rFonts w:hint="default" w:cs="Times New Roman"/>
                <w:color w:val="000000" w:themeColor="text1"/>
                <w:sz w:val="24"/>
                <w:szCs w:val="32"/>
                <w:highlight w:val="none"/>
                <w:lang w:val="en-US" w:eastAsia="zh-CN"/>
                <w14:textFill>
                  <w14:solidFill>
                    <w14:schemeClr w14:val="tx1"/>
                  </w14:solidFill>
                </w14:textFill>
              </w:rPr>
            </w:pPr>
            <w:r>
              <w:rPr>
                <w:rFonts w:hint="eastAsia" w:ascii="宋体" w:hAnsi="宋体" w:eastAsia="宋体" w:cs="宋体"/>
                <w:color w:val="000000" w:themeColor="text1"/>
                <w:sz w:val="24"/>
                <w:szCs w:val="32"/>
                <w:highlight w:val="none"/>
                <w:lang w:val="en-US" w:eastAsia="zh-CN"/>
                <w14:textFill>
                  <w14:solidFill>
                    <w14:schemeClr w14:val="tx1"/>
                  </w14:solidFill>
                </w14:textFill>
              </w:rPr>
              <w:t>④</w:t>
            </w:r>
            <w:r>
              <w:rPr>
                <w:rFonts w:hint="default" w:cs="Times New Roman"/>
                <w:color w:val="000000" w:themeColor="text1"/>
                <w:sz w:val="24"/>
                <w:szCs w:val="32"/>
                <w:highlight w:val="none"/>
                <w:lang w:val="en-US" w:eastAsia="zh-CN"/>
                <w14:textFill>
                  <w14:solidFill>
                    <w14:schemeClr w14:val="tx1"/>
                  </w14:solidFill>
                </w14:textFill>
              </w:rPr>
              <w:t>防腐防护面层：防渗膜上方涂刷3遍环氧防腐地坪漆，耐酸碱、耐有机溶剂磨损，提升防渗层耐久性；</w:t>
            </w:r>
          </w:p>
          <w:p w14:paraId="57966D8E">
            <w:pPr>
              <w:pStyle w:val="66"/>
              <w:ind w:firstLine="420"/>
              <w:rPr>
                <w:rFonts w:hint="default" w:cs="Times New Roman"/>
                <w:color w:val="000000" w:themeColor="text1"/>
                <w:sz w:val="24"/>
                <w:szCs w:val="32"/>
                <w:highlight w:val="none"/>
                <w:lang w:val="en-US" w:eastAsia="zh-CN"/>
                <w14:textFill>
                  <w14:solidFill>
                    <w14:schemeClr w14:val="tx1"/>
                  </w14:solidFill>
                </w14:textFill>
              </w:rPr>
            </w:pPr>
            <w:r>
              <w:rPr>
                <w:rFonts w:hint="eastAsia" w:ascii="宋体" w:hAnsi="宋体" w:eastAsia="宋体" w:cs="宋体"/>
                <w:color w:val="000000" w:themeColor="text1"/>
                <w:sz w:val="24"/>
                <w:szCs w:val="32"/>
                <w:highlight w:val="none"/>
                <w:lang w:val="en-US" w:eastAsia="zh-CN"/>
                <w14:textFill>
                  <w14:solidFill>
                    <w14:schemeClr w14:val="tx1"/>
                  </w14:solidFill>
                </w14:textFill>
              </w:rPr>
              <w:t>⑤</w:t>
            </w:r>
            <w:r>
              <w:rPr>
                <w:rFonts w:hint="default" w:cs="Times New Roman"/>
                <w:color w:val="000000" w:themeColor="text1"/>
                <w:sz w:val="24"/>
                <w:szCs w:val="32"/>
                <w:highlight w:val="none"/>
                <w:lang w:val="en-US" w:eastAsia="zh-CN"/>
                <w14:textFill>
                  <w14:solidFill>
                    <w14:schemeClr w14:val="tx1"/>
                  </w14:solidFill>
                </w14:textFill>
              </w:rPr>
              <w:t>泄漏收集系统：暂存间四周设置150mm高一体化防渗围堰，地面按2‰坡度坡向集液槽，配套1m</w:t>
            </w:r>
            <w:r>
              <w:rPr>
                <w:rFonts w:hint="eastAsia" w:cs="Times New Roman"/>
                <w:color w:val="000000" w:themeColor="text1"/>
                <w:sz w:val="24"/>
                <w:szCs w:val="32"/>
                <w:highlight w:val="none"/>
                <w:vertAlign w:val="superscript"/>
                <w:lang w:val="en-US" w:eastAsia="zh-CN"/>
                <w14:textFill>
                  <w14:solidFill>
                    <w14:schemeClr w14:val="tx1"/>
                  </w14:solidFill>
                </w14:textFill>
              </w:rPr>
              <w:t>3</w:t>
            </w:r>
            <w:r>
              <w:rPr>
                <w:rFonts w:hint="default" w:cs="Times New Roman"/>
                <w:color w:val="000000" w:themeColor="text1"/>
                <w:sz w:val="24"/>
                <w:szCs w:val="32"/>
                <w:highlight w:val="none"/>
                <w:lang w:val="en-US" w:eastAsia="zh-CN"/>
                <w14:textFill>
                  <w14:solidFill>
                    <w14:schemeClr w14:val="tx1"/>
                  </w14:solidFill>
                </w14:textFill>
              </w:rPr>
              <w:t>防渗集液池，实现泄漏废液全收集、不外流。</w:t>
            </w:r>
          </w:p>
          <w:p w14:paraId="73055C38">
            <w:pPr>
              <w:pStyle w:val="66"/>
              <w:ind w:firstLine="420"/>
              <w:rPr>
                <w:rFonts w:hint="default" w:cs="Times New Roman"/>
                <w:color w:val="000000" w:themeColor="text1"/>
                <w:sz w:val="24"/>
                <w:szCs w:val="32"/>
                <w:highlight w:val="none"/>
                <w:lang w:val="en-US" w:eastAsia="zh-CN"/>
                <w14:textFill>
                  <w14:solidFill>
                    <w14:schemeClr w14:val="tx1"/>
                  </w14:solidFill>
                </w14:textFill>
              </w:rPr>
            </w:pPr>
            <w:r>
              <w:rPr>
                <w:rFonts w:hint="eastAsia" w:cs="Times New Roman"/>
                <w:color w:val="000000" w:themeColor="text1"/>
                <w:sz w:val="24"/>
                <w:szCs w:val="32"/>
                <w:highlight w:val="none"/>
                <w:lang w:val="en-US" w:eastAsia="zh-CN"/>
                <w14:textFill>
                  <w14:solidFill>
                    <w14:schemeClr w14:val="tx1"/>
                  </w14:solidFill>
                </w14:textFill>
              </w:rPr>
              <w:t>（3）贮存管理要求</w:t>
            </w:r>
          </w:p>
          <w:p w14:paraId="2C27E659">
            <w:pPr>
              <w:pStyle w:val="66"/>
              <w:ind w:firstLine="420"/>
              <w:rPr>
                <w:rFonts w:hint="eastAsia" w:cs="Times New Roman"/>
                <w:color w:val="000000" w:themeColor="text1"/>
                <w:sz w:val="24"/>
                <w:szCs w:val="32"/>
                <w:highlight w:val="none"/>
                <w:lang w:val="en-US" w:eastAsia="zh-CN"/>
                <w14:textFill>
                  <w14:solidFill>
                    <w14:schemeClr w14:val="tx1"/>
                  </w14:solidFill>
                </w14:textFill>
              </w:rPr>
            </w:pPr>
            <w:r>
              <w:rPr>
                <w:rFonts w:hint="default" w:cs="Times New Roman"/>
                <w:color w:val="000000" w:themeColor="text1"/>
                <w:sz w:val="24"/>
                <w:szCs w:val="32"/>
                <w:highlight w:val="none"/>
                <w:lang w:val="en-US" w:eastAsia="zh-CN"/>
                <w14:textFill>
                  <w14:solidFill>
                    <w14:schemeClr w14:val="tx1"/>
                  </w14:solidFill>
                </w14:textFill>
              </w:rPr>
              <w:t>①</w:t>
            </w:r>
            <w:r>
              <w:rPr>
                <w:rFonts w:hint="eastAsia" w:cs="Times New Roman"/>
                <w:color w:val="000000" w:themeColor="text1"/>
                <w:sz w:val="24"/>
                <w:szCs w:val="32"/>
                <w:highlight w:val="none"/>
                <w:lang w:val="en-US" w:eastAsia="zh-CN"/>
                <w14:textFill>
                  <w14:solidFill>
                    <w14:schemeClr w14:val="tx1"/>
                  </w14:solidFill>
                </w14:textFill>
              </w:rPr>
              <w:t>危废按类别分区堆放，液态危废放置于防漏托盘内，固态危废离地150mm堆放，严禁混存不相容危废；</w:t>
            </w:r>
          </w:p>
          <w:p w14:paraId="782AC574">
            <w:pPr>
              <w:pStyle w:val="66"/>
              <w:ind w:firstLine="420"/>
              <w:rPr>
                <w:rFonts w:hint="eastAsia" w:cs="Times New Roman"/>
                <w:color w:val="000000" w:themeColor="text1"/>
                <w:sz w:val="24"/>
                <w:szCs w:val="32"/>
                <w:highlight w:val="none"/>
                <w:lang w:val="en-US" w:eastAsia="zh-CN"/>
                <w14:textFill>
                  <w14:solidFill>
                    <w14:schemeClr w14:val="tx1"/>
                  </w14:solidFill>
                </w14:textFill>
              </w:rPr>
            </w:pPr>
            <w:r>
              <w:rPr>
                <w:rFonts w:hint="default" w:cs="Times New Roman"/>
                <w:color w:val="000000" w:themeColor="text1"/>
                <w:sz w:val="24"/>
                <w:szCs w:val="32"/>
                <w:highlight w:val="none"/>
                <w:lang w:val="en-US" w:eastAsia="zh-CN"/>
                <w14:textFill>
                  <w14:solidFill>
                    <w14:schemeClr w14:val="tx1"/>
                  </w14:solidFill>
                </w14:textFill>
              </w:rPr>
              <w:t>②</w:t>
            </w:r>
            <w:r>
              <w:rPr>
                <w:rFonts w:hint="eastAsia" w:cs="Times New Roman"/>
                <w:color w:val="000000" w:themeColor="text1"/>
                <w:sz w:val="24"/>
                <w:szCs w:val="32"/>
                <w:highlight w:val="none"/>
                <w:lang w:val="en-US" w:eastAsia="zh-CN"/>
                <w14:textFill>
                  <w14:solidFill>
                    <w14:schemeClr w14:val="tx1"/>
                  </w14:solidFill>
                </w14:textFill>
              </w:rPr>
              <w:t>各危险废物按照要求的转运周期，定期委托有资质单位处置；</w:t>
            </w:r>
          </w:p>
          <w:p w14:paraId="02413338">
            <w:pPr>
              <w:pStyle w:val="66"/>
              <w:ind w:firstLine="420"/>
              <w:rPr>
                <w:rFonts w:hint="eastAsia" w:cs="Times New Roman"/>
                <w:color w:val="000000" w:themeColor="text1"/>
                <w:sz w:val="24"/>
                <w:szCs w:val="32"/>
                <w:highlight w:val="none"/>
                <w:lang w:val="en-US" w:eastAsia="zh-CN"/>
                <w14:textFill>
                  <w14:solidFill>
                    <w14:schemeClr w14:val="tx1"/>
                  </w14:solidFill>
                </w14:textFill>
              </w:rPr>
            </w:pPr>
            <w:r>
              <w:rPr>
                <w:rFonts w:hint="default" w:cs="Times New Roman"/>
                <w:color w:val="000000" w:themeColor="text1"/>
                <w:sz w:val="24"/>
                <w:szCs w:val="32"/>
                <w:highlight w:val="none"/>
                <w:lang w:val="en-US" w:eastAsia="zh-CN"/>
                <w14:textFill>
                  <w14:solidFill>
                    <w14:schemeClr w14:val="tx1"/>
                  </w14:solidFill>
                </w14:textFill>
              </w:rPr>
              <w:t>③</w:t>
            </w:r>
            <w:r>
              <w:rPr>
                <w:rFonts w:hint="eastAsia" w:cs="Times New Roman"/>
                <w:color w:val="000000" w:themeColor="text1"/>
                <w:sz w:val="24"/>
                <w:szCs w:val="32"/>
                <w:highlight w:val="none"/>
                <w:lang w:val="en-US" w:eastAsia="zh-CN"/>
                <w14:textFill>
                  <w14:solidFill>
                    <w14:schemeClr w14:val="tx1"/>
                  </w14:solidFill>
                </w14:textFill>
              </w:rPr>
              <w:t>建立危废产生、贮存、转移电子+纸质台账，保存期限≥5年，严格执行危险废物转移联单制度；</w:t>
            </w:r>
          </w:p>
          <w:p w14:paraId="28BAFF67">
            <w:pPr>
              <w:pStyle w:val="66"/>
              <w:ind w:firstLine="420"/>
              <w:rPr>
                <w:rFonts w:hint="eastAsia" w:cs="Times New Roman"/>
                <w:color w:val="000000" w:themeColor="text1"/>
                <w:sz w:val="24"/>
                <w:szCs w:val="32"/>
                <w:highlight w:val="none"/>
                <w:lang w:val="en-US" w:eastAsia="zh-CN"/>
                <w14:textFill>
                  <w14:solidFill>
                    <w14:schemeClr w14:val="tx1"/>
                  </w14:solidFill>
                </w14:textFill>
              </w:rPr>
            </w:pPr>
            <w:r>
              <w:rPr>
                <w:rFonts w:hint="eastAsia" w:ascii="宋体" w:hAnsi="宋体" w:eastAsia="宋体" w:cs="宋体"/>
                <w:color w:val="000000" w:themeColor="text1"/>
                <w:sz w:val="24"/>
                <w:szCs w:val="32"/>
                <w:highlight w:val="none"/>
                <w:lang w:val="en-US" w:eastAsia="zh-CN"/>
                <w14:textFill>
                  <w14:solidFill>
                    <w14:schemeClr w14:val="tx1"/>
                  </w14:solidFill>
                </w14:textFill>
              </w:rPr>
              <w:t>④</w:t>
            </w:r>
            <w:r>
              <w:rPr>
                <w:rFonts w:hint="eastAsia" w:cs="Times New Roman"/>
                <w:color w:val="000000" w:themeColor="text1"/>
                <w:sz w:val="24"/>
                <w:szCs w:val="32"/>
                <w:highlight w:val="none"/>
                <w:lang w:val="en-US" w:eastAsia="zh-CN"/>
                <w14:textFill>
                  <w14:solidFill>
                    <w14:schemeClr w14:val="tx1"/>
                  </w14:solidFill>
                </w14:textFill>
              </w:rPr>
              <w:t>每季度对防渗地面、围堰、废气设施进行检查维护，发现破损立即修补，杜绝二次污染。</w:t>
            </w:r>
          </w:p>
          <w:p w14:paraId="674115AF">
            <w:pPr>
              <w:pStyle w:val="66"/>
              <w:ind w:firstLine="420"/>
              <w:rPr>
                <w:rFonts w:hint="eastAsia" w:cs="Times New Roman"/>
                <w:color w:val="000000" w:themeColor="text1"/>
                <w:sz w:val="24"/>
                <w:szCs w:val="32"/>
                <w:highlight w:val="none"/>
                <w:lang w:val="en-US" w:eastAsia="zh-CN"/>
                <w14:textFill>
                  <w14:solidFill>
                    <w14:schemeClr w14:val="tx1"/>
                  </w14:solidFill>
                </w14:textFill>
              </w:rPr>
            </w:pPr>
            <w:r>
              <w:rPr>
                <w:rFonts w:hint="eastAsia" w:cs="Times New Roman"/>
                <w:color w:val="000000" w:themeColor="text1"/>
                <w:sz w:val="24"/>
                <w:szCs w:val="32"/>
                <w:highlight w:val="none"/>
                <w:lang w:val="en-US" w:eastAsia="zh-CN"/>
                <w14:textFill>
                  <w14:solidFill>
                    <w14:schemeClr w14:val="tx1"/>
                  </w14:solidFill>
                </w14:textFill>
              </w:rPr>
              <w:t>（二）</w:t>
            </w:r>
            <w:r>
              <w:rPr>
                <w:rFonts w:hint="eastAsia" w:ascii="Times New Roman" w:hAnsi="Times New Roman" w:cs="Times New Roman"/>
                <w:color w:val="000000" w:themeColor="text1"/>
                <w:sz w:val="24"/>
                <w:szCs w:val="32"/>
                <w:highlight w:val="none"/>
                <w:lang w:val="en-US" w:eastAsia="zh-CN"/>
                <w14:textFill>
                  <w14:solidFill>
                    <w14:schemeClr w14:val="tx1"/>
                  </w14:solidFill>
                </w14:textFill>
              </w:rPr>
              <w:t>危险废物贮存库</w:t>
            </w:r>
            <w:r>
              <w:rPr>
                <w:rFonts w:hint="eastAsia" w:cs="Times New Roman"/>
                <w:color w:val="000000" w:themeColor="text1"/>
                <w:sz w:val="24"/>
                <w:szCs w:val="32"/>
                <w:highlight w:val="none"/>
                <w:lang w:val="en-US" w:eastAsia="zh-CN"/>
                <w14:textFill>
                  <w14:solidFill>
                    <w14:schemeClr w14:val="tx1"/>
                  </w14:solidFill>
                </w14:textFill>
              </w:rPr>
              <w:t>废气收集处理要求</w:t>
            </w:r>
          </w:p>
          <w:p w14:paraId="6DC5090A">
            <w:pPr>
              <w:pStyle w:val="66"/>
              <w:ind w:firstLine="420"/>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pPr>
            <w:r>
              <w:rPr>
                <w:rFonts w:hint="default" w:cs="Times New Roman"/>
                <w:color w:val="000000" w:themeColor="text1"/>
                <w:sz w:val="24"/>
                <w:szCs w:val="32"/>
                <w:highlight w:val="none"/>
                <w:lang w:val="en-US" w:eastAsia="zh-CN"/>
                <w14:textFill>
                  <w14:solidFill>
                    <w14:schemeClr w14:val="tx1"/>
                  </w14:solidFill>
                </w14:textFill>
              </w:rPr>
              <w:t>项目危废暂存间会挥发非甲烷总烃、酸性气体等</w:t>
            </w:r>
            <w:r>
              <w:rPr>
                <w:rFonts w:hint="eastAsia" w:cs="Times New Roman"/>
                <w:color w:val="000000" w:themeColor="text1"/>
                <w:sz w:val="24"/>
                <w:szCs w:val="32"/>
                <w:highlight w:val="none"/>
                <w:lang w:val="en-US" w:eastAsia="zh-CN"/>
                <w14:textFill>
                  <w14:solidFill>
                    <w14:schemeClr w14:val="tx1"/>
                  </w14:solidFill>
                </w14:textFill>
              </w:rPr>
              <w:t>废气</w:t>
            </w:r>
            <w:r>
              <w:rPr>
                <w:rFonts w:hint="default" w:cs="Times New Roman"/>
                <w:color w:val="000000" w:themeColor="text1"/>
                <w:sz w:val="24"/>
                <w:szCs w:val="32"/>
                <w:highlight w:val="none"/>
                <w:lang w:val="en-US" w:eastAsia="zh-CN"/>
                <w14:textFill>
                  <w14:solidFill>
                    <w14:schemeClr w14:val="tx1"/>
                  </w14:solidFill>
                </w14:textFill>
              </w:rPr>
              <w:t>，</w:t>
            </w:r>
            <w:r>
              <w:rPr>
                <w:rFonts w:hint="eastAsia" w:cs="Times New Roman"/>
                <w:color w:val="000000" w:themeColor="text1"/>
                <w:sz w:val="24"/>
                <w:szCs w:val="32"/>
                <w:highlight w:val="none"/>
                <w:lang w:val="en-US" w:eastAsia="zh-CN"/>
                <w14:textFill>
                  <w14:solidFill>
                    <w14:schemeClr w14:val="tx1"/>
                  </w14:solidFill>
                </w14:textFill>
              </w:rPr>
              <w:t>可</w:t>
            </w:r>
            <w:r>
              <w:rPr>
                <w:rFonts w:hint="default" w:cs="Times New Roman"/>
                <w:color w:val="000000" w:themeColor="text1"/>
                <w:sz w:val="24"/>
                <w:szCs w:val="32"/>
                <w:highlight w:val="none"/>
                <w:lang w:val="en-US" w:eastAsia="zh-CN"/>
                <w14:textFill>
                  <w14:solidFill>
                    <w14:schemeClr w14:val="tx1"/>
                  </w14:solidFill>
                </w14:textFill>
              </w:rPr>
              <w:t>配套全密闭微负压废气收集</w:t>
            </w:r>
            <w:r>
              <w:rPr>
                <w:rFonts w:hint="eastAsia" w:cs="Times New Roman"/>
                <w:color w:val="000000" w:themeColor="text1"/>
                <w:sz w:val="24"/>
                <w:szCs w:val="32"/>
                <w:highlight w:val="none"/>
                <w:lang w:val="en-US" w:eastAsia="zh-CN"/>
                <w14:textFill>
                  <w14:solidFill>
                    <w14:schemeClr w14:val="tx1"/>
                  </w14:solidFill>
                </w14:textFill>
              </w:rPr>
              <w:t>设施，</w:t>
            </w:r>
            <w:r>
              <w:rPr>
                <w:rFonts w:hint="default" w:cs="Times New Roman"/>
                <w:color w:val="000000" w:themeColor="text1"/>
                <w:sz w:val="24"/>
                <w:szCs w:val="32"/>
                <w:highlight w:val="none"/>
                <w:lang w:val="en-US" w:eastAsia="zh-CN"/>
                <w14:textFill>
                  <w14:solidFill>
                    <w14:schemeClr w14:val="tx1"/>
                  </w14:solidFill>
                </w14:textFill>
              </w:rPr>
              <w:t>顶部设置集气总管全覆盖危废堆放区域，与生产车间完全隔断，杜绝废气无组织逸散</w:t>
            </w:r>
            <w:r>
              <w:rPr>
                <w:rFonts w:hint="eastAsia" w:cs="Times New Roman"/>
                <w:color w:val="000000" w:themeColor="text1"/>
                <w:sz w:val="24"/>
                <w:szCs w:val="32"/>
                <w:highlight w:val="none"/>
                <w:lang w:val="en-US" w:eastAsia="zh-CN"/>
                <w14:textFill>
                  <w14:solidFill>
                    <w14:schemeClr w14:val="tx1"/>
                  </w14:solidFill>
                </w14:textFill>
              </w:rPr>
              <w:t>；接入本次项目有机废气、酸性废气处理系统进行处理。</w:t>
            </w:r>
            <w:r>
              <w:rPr>
                <w:rFonts w:hint="default" w:cs="Times New Roman"/>
                <w:color w:val="000000" w:themeColor="text1"/>
                <w:sz w:val="24"/>
                <w:szCs w:val="32"/>
                <w:highlight w:val="none"/>
                <w:lang w:val="en-US" w:eastAsia="zh-CN"/>
                <w14:textFill>
                  <w14:solidFill>
                    <w14:schemeClr w14:val="tx1"/>
                  </w14:solidFill>
                </w14:textFill>
              </w:rPr>
              <w:t>废气处理设施与暂存间24小时联动运行，建立设施运行、维护、监测台账。</w:t>
            </w:r>
          </w:p>
          <w:p w14:paraId="26B4BDA5">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4.4.3危险废物环境影响分析</w:t>
            </w:r>
          </w:p>
          <w:p w14:paraId="20CFEBF4">
            <w:pPr>
              <w:pStyle w:val="66"/>
              <w:ind w:firstLine="420"/>
              <w:rPr>
                <w:rFonts w:hint="default" w:ascii="Times New Roman" w:hAnsi="Times New Roman" w:cs="Times New Roman"/>
                <w:color w:val="000000" w:themeColor="text1"/>
                <w:sz w:val="24"/>
                <w:szCs w:val="32"/>
                <w:highlight w:val="none"/>
                <w:lang w:eastAsia="zh-CN"/>
                <w14:textFill>
                  <w14:solidFill>
                    <w14:schemeClr w14:val="tx1"/>
                  </w14:solidFill>
                </w14:textFill>
              </w:rPr>
            </w:pPr>
            <w:r>
              <w:rPr>
                <w:rFonts w:hint="eastAsia" w:ascii="Times New Roman" w:hAnsi="Times New Roman" w:cs="Times New Roman"/>
                <w:color w:val="000000" w:themeColor="text1"/>
                <w:sz w:val="24"/>
                <w:szCs w:val="32"/>
                <w:highlight w:val="none"/>
                <w:lang w:val="en-US" w:eastAsia="zh-CN"/>
                <w14:textFill>
                  <w14:solidFill>
                    <w14:schemeClr w14:val="tx1"/>
                  </w14:solidFill>
                </w14:textFill>
              </w:rPr>
              <w:t>1.</w:t>
            </w:r>
            <w:r>
              <w:rPr>
                <w:rFonts w:hint="default" w:ascii="Times New Roman" w:hAnsi="Times New Roman" w:cs="Times New Roman"/>
                <w:color w:val="000000" w:themeColor="text1"/>
                <w:sz w:val="24"/>
                <w:szCs w:val="32"/>
                <w:highlight w:val="none"/>
                <w:lang w:eastAsia="zh-CN"/>
                <w14:textFill>
                  <w14:solidFill>
                    <w14:schemeClr w14:val="tx1"/>
                  </w14:solidFill>
                </w14:textFill>
              </w:rPr>
              <w:t>危险废物产生环节及特性分析</w:t>
            </w:r>
          </w:p>
          <w:p w14:paraId="3328CA61">
            <w:pPr>
              <w:pStyle w:val="66"/>
              <w:ind w:firstLine="420"/>
              <w:rPr>
                <w:rFonts w:hint="default" w:ascii="Times New Roman" w:hAnsi="Times New Roman" w:cs="Times New Roman"/>
                <w:color w:val="000000" w:themeColor="text1"/>
                <w:sz w:val="24"/>
                <w:szCs w:val="32"/>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32"/>
                <w:highlight w:val="none"/>
                <w:lang w:eastAsia="zh-CN"/>
                <w14:textFill>
                  <w14:solidFill>
                    <w14:schemeClr w14:val="tx1"/>
                  </w14:solidFill>
                </w14:textFill>
              </w:rPr>
              <w:t>根据项目生产工艺，危险废物主要包括</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废润滑油、废油桶、废活性炭等</w:t>
            </w:r>
            <w:r>
              <w:rPr>
                <w:rFonts w:hint="default" w:ascii="Times New Roman" w:hAnsi="Times New Roman" w:cs="Times New Roman"/>
                <w:color w:val="000000" w:themeColor="text1"/>
                <w:sz w:val="24"/>
                <w:szCs w:val="32"/>
                <w:highlight w:val="none"/>
                <w:lang w:eastAsia="zh-CN"/>
                <w14:textFill>
                  <w14:solidFill>
                    <w14:schemeClr w14:val="tx1"/>
                  </w14:solidFill>
                </w14:textFill>
              </w:rPr>
              <w:t>。</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产生工序及装置、产生量及危险特性见表</w:t>
            </w:r>
            <w:r>
              <w:rPr>
                <w:rFonts w:hint="eastAsia" w:cs="Times New Roman"/>
                <w:color w:val="000000" w:themeColor="text1"/>
                <w:sz w:val="24"/>
                <w:szCs w:val="32"/>
                <w:highlight w:val="none"/>
                <w:lang w:val="en-US" w:eastAsia="zh-CN"/>
                <w14:textFill>
                  <w14:solidFill>
                    <w14:schemeClr w14:val="tx1"/>
                  </w14:solidFill>
                </w14:textFill>
              </w:rPr>
              <w:t>4.4-2</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w:t>
            </w:r>
          </w:p>
          <w:p w14:paraId="572C613B">
            <w:pPr>
              <w:pStyle w:val="66"/>
              <w:ind w:firstLine="420"/>
              <w:rPr>
                <w:rFonts w:hint="default" w:ascii="Times New Roman" w:hAnsi="Times New Roman" w:cs="Times New Roman"/>
                <w:color w:val="000000" w:themeColor="text1"/>
                <w:sz w:val="24"/>
                <w:szCs w:val="32"/>
                <w:highlight w:val="none"/>
                <w:lang w:eastAsia="zh-CN"/>
                <w14:textFill>
                  <w14:solidFill>
                    <w14:schemeClr w14:val="tx1"/>
                  </w14:solidFill>
                </w14:textFill>
              </w:rPr>
            </w:pPr>
            <w:r>
              <w:rPr>
                <w:rFonts w:hint="default" w:ascii="Times New Roman" w:hAnsi="Times New Roman" w:cs="Times New Roman"/>
                <w:color w:val="000000" w:themeColor="text1"/>
                <w:sz w:val="24"/>
                <w:szCs w:val="32"/>
                <w:highlight w:val="none"/>
                <w:lang w:eastAsia="zh-CN"/>
                <w14:textFill>
                  <w14:solidFill>
                    <w14:schemeClr w14:val="tx1"/>
                  </w14:solidFill>
                </w14:textFill>
              </w:rPr>
              <w:t>2.危险废物污染防治措施</w:t>
            </w:r>
          </w:p>
          <w:p w14:paraId="242115E1">
            <w:pPr>
              <w:pStyle w:val="66"/>
              <w:ind w:firstLine="420"/>
              <w:rPr>
                <w:rFonts w:hint="default" w:ascii="Times New Roman" w:hAnsi="Times New Roman" w:cs="Times New Roman"/>
                <w:color w:val="000000" w:themeColor="text1"/>
                <w:sz w:val="24"/>
                <w:szCs w:val="32"/>
                <w:highlight w:val="none"/>
                <w:lang w:eastAsia="zh-CN"/>
                <w14:textFill>
                  <w14:solidFill>
                    <w14:schemeClr w14:val="tx1"/>
                  </w14:solidFill>
                </w14:textFill>
              </w:rPr>
            </w:pPr>
            <w:r>
              <w:rPr>
                <w:rFonts w:hint="default" w:ascii="Times New Roman" w:hAnsi="Times New Roman" w:cs="Times New Roman"/>
                <w:color w:val="000000" w:themeColor="text1"/>
                <w:sz w:val="24"/>
                <w:szCs w:val="32"/>
                <w:highlight w:val="none"/>
                <w:lang w:eastAsia="zh-CN"/>
                <w14:textFill>
                  <w14:solidFill>
                    <w14:schemeClr w14:val="tx1"/>
                  </w14:solidFill>
                </w14:textFill>
              </w:rPr>
              <w:t>（1）包装要求</w:t>
            </w:r>
          </w:p>
          <w:p w14:paraId="2BA27461">
            <w:pPr>
              <w:pStyle w:val="66"/>
              <w:ind w:firstLine="420"/>
              <w:rPr>
                <w:rFonts w:hint="default" w:ascii="Times New Roman" w:hAnsi="Times New Roman" w:cs="Times New Roman"/>
                <w:color w:val="000000" w:themeColor="text1"/>
                <w:sz w:val="24"/>
                <w:szCs w:val="32"/>
                <w:highlight w:val="none"/>
                <w:lang w:eastAsia="zh-CN"/>
                <w14:textFill>
                  <w14:solidFill>
                    <w14:schemeClr w14:val="tx1"/>
                  </w14:solidFill>
                </w14:textFill>
              </w:rPr>
            </w:pPr>
            <w:r>
              <w:rPr>
                <w:rFonts w:hint="default" w:ascii="Times New Roman" w:hAnsi="Times New Roman" w:cs="Times New Roman"/>
                <w:color w:val="000000" w:themeColor="text1"/>
                <w:sz w:val="24"/>
                <w:szCs w:val="32"/>
                <w:highlight w:val="none"/>
                <w:lang w:eastAsia="zh-CN"/>
                <w14:textFill>
                  <w14:solidFill>
                    <w14:schemeClr w14:val="tx1"/>
                  </w14:solidFill>
                </w14:textFill>
              </w:rPr>
              <w:t>废润滑油：采用密闭防漏的铁桶包装，桶体标注危险废物标识和成分信息。</w:t>
            </w:r>
          </w:p>
          <w:p w14:paraId="7FD934E5">
            <w:pPr>
              <w:pStyle w:val="66"/>
              <w:ind w:firstLine="420"/>
              <w:rPr>
                <w:rFonts w:hint="default" w:ascii="Times New Roman" w:hAnsi="Times New Roman" w:cs="Times New Roman"/>
                <w:color w:val="000000" w:themeColor="text1"/>
                <w:sz w:val="24"/>
                <w:szCs w:val="32"/>
                <w:highlight w:val="none"/>
                <w:lang w:eastAsia="zh-CN"/>
                <w14:textFill>
                  <w14:solidFill>
                    <w14:schemeClr w14:val="tx1"/>
                  </w14:solidFill>
                </w14:textFill>
              </w:rPr>
            </w:pPr>
            <w:r>
              <w:rPr>
                <w:rFonts w:hint="default" w:ascii="Times New Roman" w:hAnsi="Times New Roman" w:cs="Times New Roman"/>
                <w:color w:val="000000" w:themeColor="text1"/>
                <w:sz w:val="24"/>
                <w:szCs w:val="32"/>
                <w:highlight w:val="none"/>
                <w:lang w:eastAsia="zh-CN"/>
                <w14:textFill>
                  <w14:solidFill>
                    <w14:schemeClr w14:val="tx1"/>
                  </w14:solidFill>
                </w14:textFill>
              </w:rPr>
              <w:t>废油桶：保持原包装密闭，破损桶需重新封装并标注标识。</w:t>
            </w:r>
          </w:p>
          <w:p w14:paraId="2B32650D">
            <w:pPr>
              <w:pStyle w:val="66"/>
              <w:ind w:firstLine="420"/>
              <w:rPr>
                <w:rFonts w:hint="default" w:ascii="Times New Roman" w:hAnsi="Times New Roman" w:cs="Times New Roman"/>
                <w:color w:val="000000" w:themeColor="text1"/>
                <w:sz w:val="24"/>
                <w:szCs w:val="32"/>
                <w:highlight w:val="none"/>
                <w:lang w:eastAsia="zh-CN"/>
                <w14:textFill>
                  <w14:solidFill>
                    <w14:schemeClr w14:val="tx1"/>
                  </w14:solidFill>
                </w14:textFill>
              </w:rPr>
            </w:pPr>
            <w:r>
              <w:rPr>
                <w:rFonts w:hint="default" w:ascii="Times New Roman" w:hAnsi="Times New Roman" w:cs="Times New Roman"/>
                <w:color w:val="000000" w:themeColor="text1"/>
                <w:sz w:val="24"/>
                <w:szCs w:val="32"/>
                <w:highlight w:val="none"/>
                <w:lang w:eastAsia="zh-CN"/>
                <w14:textFill>
                  <w14:solidFill>
                    <w14:schemeClr w14:val="tx1"/>
                  </w14:solidFill>
                </w14:textFill>
              </w:rPr>
              <w:t>废活性炭：使用防渗漏编织袋包装，袋口扎紧并贴危险废物标签。</w:t>
            </w:r>
          </w:p>
          <w:p w14:paraId="70192A1A">
            <w:pPr>
              <w:pStyle w:val="66"/>
              <w:ind w:firstLine="420"/>
              <w:rPr>
                <w:rFonts w:hint="default" w:ascii="Times New Roman" w:hAnsi="Times New Roman" w:cs="Times New Roman"/>
                <w:color w:val="000000" w:themeColor="text1"/>
                <w:sz w:val="24"/>
                <w:szCs w:val="32"/>
                <w:highlight w:val="none"/>
                <w:lang w:eastAsia="zh-CN"/>
                <w14:textFill>
                  <w14:solidFill>
                    <w14:schemeClr w14:val="tx1"/>
                  </w14:solidFill>
                </w14:textFill>
              </w:rPr>
            </w:pPr>
            <w:r>
              <w:rPr>
                <w:rFonts w:hint="default" w:ascii="Times New Roman" w:hAnsi="Times New Roman" w:cs="Times New Roman"/>
                <w:color w:val="000000" w:themeColor="text1"/>
                <w:sz w:val="24"/>
                <w:szCs w:val="32"/>
                <w:highlight w:val="none"/>
                <w:lang w:eastAsia="zh-CN"/>
                <w14:textFill>
                  <w14:solidFill>
                    <w14:schemeClr w14:val="tx1"/>
                  </w14:solidFill>
                </w14:textFill>
              </w:rPr>
              <w:t>（2）贮存设施</w:t>
            </w:r>
          </w:p>
          <w:p w14:paraId="0264728E">
            <w:pPr>
              <w:pStyle w:val="66"/>
              <w:ind w:firstLine="420"/>
              <w:rPr>
                <w:rFonts w:hint="default" w:ascii="Times New Roman" w:hAnsi="Times New Roman" w:cs="Times New Roman"/>
                <w:color w:val="000000" w:themeColor="text1"/>
                <w:sz w:val="24"/>
                <w:szCs w:val="32"/>
                <w:highlight w:val="none"/>
                <w:lang w:eastAsia="zh-CN"/>
                <w14:textFill>
                  <w14:solidFill>
                    <w14:schemeClr w14:val="tx1"/>
                  </w14:solidFill>
                </w14:textFill>
              </w:rPr>
            </w:pPr>
            <w:r>
              <w:rPr>
                <w:rFonts w:hint="default" w:ascii="Times New Roman" w:hAnsi="Times New Roman" w:cs="Times New Roman"/>
                <w:color w:val="000000" w:themeColor="text1"/>
                <w:sz w:val="24"/>
                <w:szCs w:val="32"/>
                <w:highlight w:val="none"/>
                <w:lang w:eastAsia="zh-CN"/>
                <w14:textFill>
                  <w14:solidFill>
                    <w14:schemeClr w14:val="tx1"/>
                  </w14:solidFill>
                </w14:textFill>
              </w:rPr>
              <w:t>危废暂存间需满足以下要求：</w:t>
            </w:r>
          </w:p>
          <w:p w14:paraId="420AD038">
            <w:pPr>
              <w:pStyle w:val="66"/>
              <w:ind w:firstLine="420"/>
              <w:rPr>
                <w:rFonts w:hint="default" w:ascii="Times New Roman" w:hAnsi="Times New Roman" w:cs="Times New Roman"/>
                <w:color w:val="000000" w:themeColor="text1"/>
                <w:sz w:val="24"/>
                <w:szCs w:val="32"/>
                <w:highlight w:val="none"/>
                <w:lang w:eastAsia="zh-CN"/>
                <w14:textFill>
                  <w14:solidFill>
                    <w14:schemeClr w14:val="tx1"/>
                  </w14:solidFill>
                </w14:textFill>
              </w:rPr>
            </w:pPr>
            <w:r>
              <w:rPr>
                <w:rFonts w:hint="default" w:ascii="Times New Roman" w:hAnsi="Times New Roman" w:cs="Times New Roman"/>
                <w:color w:val="000000" w:themeColor="text1"/>
                <w:sz w:val="24"/>
                <w:szCs w:val="32"/>
                <w:highlight w:val="none"/>
                <w:lang w:eastAsia="zh-CN"/>
                <w14:textFill>
                  <w14:solidFill>
                    <w14:schemeClr w14:val="tx1"/>
                  </w14:solidFill>
                </w14:textFill>
              </w:rPr>
              <w:t>防渗：</w:t>
            </w: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等效黏土防渗层</w:t>
            </w:r>
            <w:r>
              <w:rPr>
                <w:rFonts w:hint="eastAsia" w:cs="Times New Roman"/>
                <w:bCs/>
                <w:color w:val="000000" w:themeColor="text1"/>
                <w:kern w:val="2"/>
                <w:sz w:val="24"/>
                <w:szCs w:val="32"/>
                <w:highlight w:val="none"/>
                <w:lang w:val="en-US" w:eastAsia="zh-CN" w:bidi="ar-SA"/>
                <w14:textFill>
                  <w14:solidFill>
                    <w14:schemeClr w14:val="tx1"/>
                  </w14:solidFill>
                </w14:textFill>
              </w:rPr>
              <w:t>≥1.0</w:t>
            </w: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m，渗透系数</w:t>
            </w:r>
            <w:r>
              <w:rPr>
                <w:rFonts w:hint="eastAsia" w:cs="Times New Roman"/>
                <w:bCs/>
                <w:color w:val="000000" w:themeColor="text1"/>
                <w:kern w:val="2"/>
                <w:sz w:val="24"/>
                <w:szCs w:val="32"/>
                <w:highlight w:val="none"/>
                <w:lang w:val="en-US" w:eastAsia="zh-CN" w:bidi="ar-SA"/>
                <w14:textFill>
                  <w14:solidFill>
                    <w14:schemeClr w14:val="tx1"/>
                  </w14:solidFill>
                </w14:textFill>
              </w:rPr>
              <w:t>≤</w:t>
            </w: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1.0</w:t>
            </w:r>
            <w:r>
              <w:rPr>
                <w:rFonts w:hint="eastAsia" w:cs="Times New Roman"/>
                <w:bCs/>
                <w:color w:val="000000" w:themeColor="text1"/>
                <w:kern w:val="2"/>
                <w:sz w:val="24"/>
                <w:szCs w:val="32"/>
                <w:highlight w:val="none"/>
                <w:lang w:val="en-US" w:eastAsia="zh-CN" w:bidi="ar-SA"/>
                <w14:textFill>
                  <w14:solidFill>
                    <w14:schemeClr w14:val="tx1"/>
                  </w14:solidFill>
                </w14:textFill>
              </w:rPr>
              <w:t>×</w:t>
            </w: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10</w:t>
            </w:r>
            <w:r>
              <w:rPr>
                <w:rFonts w:hint="eastAsia" w:cs="Times New Roman"/>
                <w:bCs/>
                <w:color w:val="000000" w:themeColor="text1"/>
                <w:kern w:val="2"/>
                <w:sz w:val="24"/>
                <w:szCs w:val="32"/>
                <w:highlight w:val="none"/>
                <w:vertAlign w:val="superscript"/>
                <w:lang w:val="en-US" w:eastAsia="zh-CN" w:bidi="ar-SA"/>
                <w14:textFill>
                  <w14:solidFill>
                    <w14:schemeClr w14:val="tx1"/>
                  </w14:solidFill>
                </w14:textFill>
              </w:rPr>
              <w:t>-7</w:t>
            </w: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cm</w:t>
            </w:r>
            <w:r>
              <w:rPr>
                <w:rFonts w:hint="eastAsia" w:cs="Times New Roman"/>
                <w:bCs/>
                <w:color w:val="000000" w:themeColor="text1"/>
                <w:kern w:val="2"/>
                <w:sz w:val="24"/>
                <w:szCs w:val="32"/>
                <w:highlight w:val="none"/>
                <w:lang w:val="en-US" w:eastAsia="zh-CN" w:bidi="ar-SA"/>
                <w14:textFill>
                  <w14:solidFill>
                    <w14:schemeClr w14:val="tx1"/>
                  </w14:solidFill>
                </w14:textFill>
              </w:rPr>
              <w:t>/</w:t>
            </w: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s</w:t>
            </w:r>
            <w:r>
              <w:rPr>
                <w:rFonts w:hint="default" w:ascii="Times New Roman" w:hAnsi="Times New Roman" w:cs="Times New Roman"/>
                <w:color w:val="000000" w:themeColor="text1"/>
                <w:sz w:val="24"/>
                <w:szCs w:val="32"/>
                <w:highlight w:val="none"/>
                <w:lang w:eastAsia="zh-CN"/>
                <w14:textFill>
                  <w14:solidFill>
                    <w14:schemeClr w14:val="tx1"/>
                  </w14:solidFill>
                </w14:textFill>
              </w:rPr>
              <w:t>。</w:t>
            </w:r>
          </w:p>
          <w:p w14:paraId="1B8D08A6">
            <w:pPr>
              <w:pStyle w:val="66"/>
              <w:ind w:firstLine="420"/>
              <w:rPr>
                <w:rFonts w:hint="default" w:ascii="Times New Roman" w:hAnsi="Times New Roman" w:cs="Times New Roman"/>
                <w:color w:val="000000" w:themeColor="text1"/>
                <w:sz w:val="24"/>
                <w:szCs w:val="32"/>
                <w:highlight w:val="none"/>
                <w:lang w:eastAsia="zh-CN"/>
                <w14:textFill>
                  <w14:solidFill>
                    <w14:schemeClr w14:val="tx1"/>
                  </w14:solidFill>
                </w14:textFill>
              </w:rPr>
            </w:pPr>
            <w:r>
              <w:rPr>
                <w:rFonts w:hint="default" w:ascii="Times New Roman" w:hAnsi="Times New Roman" w:cs="Times New Roman"/>
                <w:color w:val="000000" w:themeColor="text1"/>
                <w:sz w:val="24"/>
                <w:szCs w:val="32"/>
                <w:highlight w:val="none"/>
                <w:lang w:eastAsia="zh-CN"/>
                <w14:textFill>
                  <w14:solidFill>
                    <w14:schemeClr w14:val="tx1"/>
                  </w14:solidFill>
                </w14:textFill>
              </w:rPr>
              <w:t>防风防雨：顶部加盖，墙体密闭。</w:t>
            </w:r>
          </w:p>
          <w:p w14:paraId="72EA0B12">
            <w:pPr>
              <w:pStyle w:val="66"/>
              <w:ind w:firstLine="420"/>
              <w:rPr>
                <w:rFonts w:hint="default" w:ascii="Times New Roman" w:hAnsi="Times New Roman" w:cs="Times New Roman"/>
                <w:color w:val="000000" w:themeColor="text1"/>
                <w:sz w:val="24"/>
                <w:szCs w:val="32"/>
                <w:highlight w:val="none"/>
                <w:lang w:eastAsia="zh-CN"/>
                <w14:textFill>
                  <w14:solidFill>
                    <w14:schemeClr w14:val="tx1"/>
                  </w14:solidFill>
                </w14:textFill>
              </w:rPr>
            </w:pPr>
            <w:r>
              <w:rPr>
                <w:rFonts w:hint="default" w:ascii="Times New Roman" w:hAnsi="Times New Roman" w:cs="Times New Roman"/>
                <w:color w:val="000000" w:themeColor="text1"/>
                <w:sz w:val="24"/>
                <w:szCs w:val="32"/>
                <w:highlight w:val="none"/>
                <w:lang w:eastAsia="zh-CN"/>
                <w14:textFill>
                  <w14:solidFill>
                    <w14:schemeClr w14:val="tx1"/>
                  </w14:solidFill>
                </w14:textFill>
              </w:rPr>
              <w:t>标识：设置危险废物警告标志和台账记录板。</w:t>
            </w:r>
          </w:p>
          <w:p w14:paraId="66564337">
            <w:pPr>
              <w:pStyle w:val="66"/>
              <w:ind w:firstLine="420"/>
              <w:rPr>
                <w:rFonts w:hint="default" w:ascii="Times New Roman" w:hAnsi="Times New Roman" w:cs="Times New Roman"/>
                <w:color w:val="000000" w:themeColor="text1"/>
                <w:sz w:val="24"/>
                <w:szCs w:val="32"/>
                <w:highlight w:val="none"/>
                <w:lang w:eastAsia="zh-CN"/>
                <w14:textFill>
                  <w14:solidFill>
                    <w14:schemeClr w14:val="tx1"/>
                  </w14:solidFill>
                </w14:textFill>
              </w:rPr>
            </w:pPr>
            <w:r>
              <w:rPr>
                <w:rFonts w:hint="default" w:ascii="Times New Roman" w:hAnsi="Times New Roman" w:cs="Times New Roman"/>
                <w:color w:val="000000" w:themeColor="text1"/>
                <w:sz w:val="24"/>
                <w:szCs w:val="32"/>
                <w:highlight w:val="none"/>
                <w:lang w:eastAsia="zh-CN"/>
                <w14:textFill>
                  <w14:solidFill>
                    <w14:schemeClr w14:val="tx1"/>
                  </w14:solidFill>
                </w14:textFill>
              </w:rPr>
              <w:t>安全：配备灭火器、防爆照明及通风设施。</w:t>
            </w:r>
          </w:p>
          <w:p w14:paraId="19FE51D1">
            <w:pPr>
              <w:pStyle w:val="66"/>
              <w:ind w:firstLine="420"/>
              <w:rPr>
                <w:rFonts w:hint="default" w:ascii="Times New Roman" w:hAnsi="Times New Roman" w:cs="Times New Roman"/>
                <w:color w:val="000000" w:themeColor="text1"/>
                <w:sz w:val="24"/>
                <w:szCs w:val="32"/>
                <w:highlight w:val="none"/>
                <w:lang w:eastAsia="zh-CN"/>
                <w14:textFill>
                  <w14:solidFill>
                    <w14:schemeClr w14:val="tx1"/>
                  </w14:solidFill>
                </w14:textFill>
              </w:rPr>
            </w:pPr>
            <w:r>
              <w:rPr>
                <w:rFonts w:hint="default" w:ascii="Times New Roman" w:hAnsi="Times New Roman" w:cs="Times New Roman"/>
                <w:color w:val="000000" w:themeColor="text1"/>
                <w:sz w:val="24"/>
                <w:szCs w:val="32"/>
                <w:highlight w:val="none"/>
                <w:lang w:eastAsia="zh-CN"/>
                <w14:textFill>
                  <w14:solidFill>
                    <w14:schemeClr w14:val="tx1"/>
                  </w14:solidFill>
                </w14:textFill>
              </w:rPr>
              <w:t>（3）运输管理</w:t>
            </w:r>
          </w:p>
          <w:p w14:paraId="57590235">
            <w:pPr>
              <w:pStyle w:val="66"/>
              <w:ind w:firstLine="420"/>
              <w:rPr>
                <w:rFonts w:hint="default" w:ascii="Times New Roman" w:hAnsi="Times New Roman" w:cs="Times New Roman"/>
                <w:color w:val="000000" w:themeColor="text1"/>
                <w:sz w:val="24"/>
                <w:szCs w:val="32"/>
                <w:highlight w:val="none"/>
                <w:lang w:eastAsia="zh-CN"/>
                <w14:textFill>
                  <w14:solidFill>
                    <w14:schemeClr w14:val="tx1"/>
                  </w14:solidFill>
                </w14:textFill>
              </w:rPr>
            </w:pPr>
            <w:r>
              <w:rPr>
                <w:rFonts w:hint="default" w:ascii="Times New Roman" w:hAnsi="Times New Roman" w:cs="Times New Roman"/>
                <w:color w:val="000000" w:themeColor="text1"/>
                <w:sz w:val="24"/>
                <w:szCs w:val="32"/>
                <w:highlight w:val="none"/>
                <w:lang w:eastAsia="zh-CN"/>
                <w14:textFill>
                  <w14:solidFill>
                    <w14:schemeClr w14:val="tx1"/>
                  </w14:solidFill>
                </w14:textFill>
              </w:rPr>
              <w:t>委托持有《危险废物经营许可证》的单位运输，车辆</w:t>
            </w:r>
            <w:r>
              <w:rPr>
                <w:rFonts w:hint="eastAsia" w:cs="Times New Roman"/>
                <w:color w:val="000000" w:themeColor="text1"/>
                <w:sz w:val="24"/>
                <w:szCs w:val="32"/>
                <w:highlight w:val="none"/>
                <w:lang w:eastAsia="zh-CN"/>
                <w14:textFill>
                  <w14:solidFill>
                    <w14:schemeClr w14:val="tx1"/>
                  </w14:solidFill>
                </w14:textFill>
              </w:rPr>
              <w:t>须具备</w:t>
            </w:r>
            <w:r>
              <w:rPr>
                <w:rFonts w:hint="default" w:ascii="Times New Roman" w:hAnsi="Times New Roman" w:cs="Times New Roman"/>
                <w:color w:val="000000" w:themeColor="text1"/>
                <w:sz w:val="24"/>
                <w:szCs w:val="32"/>
                <w:highlight w:val="none"/>
                <w:lang w:eastAsia="zh-CN"/>
                <w14:textFill>
                  <w14:solidFill>
                    <w14:schemeClr w14:val="tx1"/>
                  </w14:solidFill>
                </w14:textFill>
              </w:rPr>
              <w:t>防泄漏装置。</w:t>
            </w:r>
          </w:p>
          <w:p w14:paraId="78E42B6C">
            <w:pPr>
              <w:pStyle w:val="66"/>
              <w:ind w:firstLine="420"/>
              <w:rPr>
                <w:rFonts w:hint="default" w:ascii="Times New Roman" w:hAnsi="Times New Roman" w:cs="Times New Roman"/>
                <w:color w:val="000000" w:themeColor="text1"/>
                <w:sz w:val="24"/>
                <w:szCs w:val="32"/>
                <w:highlight w:val="none"/>
                <w:lang w:eastAsia="zh-CN"/>
                <w14:textFill>
                  <w14:solidFill>
                    <w14:schemeClr w14:val="tx1"/>
                  </w14:solidFill>
                </w14:textFill>
              </w:rPr>
            </w:pPr>
            <w:r>
              <w:rPr>
                <w:rFonts w:hint="default" w:ascii="Times New Roman" w:hAnsi="Times New Roman" w:cs="Times New Roman"/>
                <w:color w:val="000000" w:themeColor="text1"/>
                <w:sz w:val="24"/>
                <w:szCs w:val="32"/>
                <w:highlight w:val="none"/>
                <w:lang w:eastAsia="zh-CN"/>
                <w14:textFill>
                  <w14:solidFill>
                    <w14:schemeClr w14:val="tx1"/>
                  </w14:solidFill>
                </w14:textFill>
              </w:rPr>
              <w:t>运输前检查包装密封性，填写危险废物转移联单，路线避开敏感区域。</w:t>
            </w:r>
          </w:p>
          <w:p w14:paraId="01AD0850">
            <w:pPr>
              <w:pStyle w:val="66"/>
              <w:ind w:firstLine="420"/>
              <w:rPr>
                <w:rFonts w:hint="default" w:ascii="Times New Roman" w:hAnsi="Times New Roman" w:cs="Times New Roman"/>
                <w:color w:val="000000" w:themeColor="text1"/>
                <w:sz w:val="24"/>
                <w:szCs w:val="32"/>
                <w:highlight w:val="none"/>
                <w:lang w:eastAsia="zh-CN"/>
                <w14:textFill>
                  <w14:solidFill>
                    <w14:schemeClr w14:val="tx1"/>
                  </w14:solidFill>
                </w14:textFill>
              </w:rPr>
            </w:pPr>
            <w:r>
              <w:rPr>
                <w:rFonts w:hint="default" w:ascii="Times New Roman" w:hAnsi="Times New Roman" w:cs="Times New Roman"/>
                <w:color w:val="000000" w:themeColor="text1"/>
                <w:sz w:val="24"/>
                <w:szCs w:val="32"/>
                <w:highlight w:val="none"/>
                <w:lang w:eastAsia="zh-CN"/>
                <w14:textFill>
                  <w14:solidFill>
                    <w14:schemeClr w14:val="tx1"/>
                  </w14:solidFill>
                </w14:textFill>
              </w:rPr>
              <w:t>（4）处置要求</w:t>
            </w:r>
          </w:p>
          <w:p w14:paraId="55219C20">
            <w:pPr>
              <w:pStyle w:val="66"/>
              <w:ind w:firstLine="420"/>
              <w:rPr>
                <w:rFonts w:hint="default" w:ascii="Times New Roman" w:hAnsi="Times New Roman" w:cs="Times New Roman"/>
                <w:color w:val="000000" w:themeColor="text1"/>
                <w:sz w:val="24"/>
                <w:szCs w:val="32"/>
                <w:highlight w:val="none"/>
                <w:lang w:eastAsia="zh-CN"/>
                <w14:textFill>
                  <w14:solidFill>
                    <w14:schemeClr w14:val="tx1"/>
                  </w14:solidFill>
                </w14:textFill>
              </w:rPr>
            </w:pPr>
            <w:r>
              <w:rPr>
                <w:rFonts w:hint="default" w:ascii="Times New Roman" w:hAnsi="Times New Roman" w:cs="Times New Roman"/>
                <w:color w:val="000000" w:themeColor="text1"/>
                <w:sz w:val="24"/>
                <w:szCs w:val="32"/>
                <w:highlight w:val="none"/>
                <w:lang w:eastAsia="zh-CN"/>
                <w14:textFill>
                  <w14:solidFill>
                    <w14:schemeClr w14:val="tx1"/>
                  </w14:solidFill>
                </w14:textFill>
              </w:rPr>
              <w:t>交由有资质的单位进行处置。</w:t>
            </w:r>
          </w:p>
          <w:p w14:paraId="1D965912">
            <w:pPr>
              <w:pStyle w:val="66"/>
              <w:ind w:firstLine="420"/>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14:textFill>
                  <w14:solidFill>
                    <w14:schemeClr w14:val="tx1"/>
                  </w14:solidFill>
                </w14:textFill>
              </w:rPr>
              <w:t>3.环境管理要求</w:t>
            </w:r>
          </w:p>
          <w:p w14:paraId="287D432A">
            <w:pPr>
              <w:pStyle w:val="66"/>
              <w:ind w:firstLine="420"/>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14:textFill>
                  <w14:solidFill>
                    <w14:schemeClr w14:val="tx1"/>
                  </w14:solidFill>
                </w14:textFill>
              </w:rPr>
              <w:t>（1）台账制度</w:t>
            </w:r>
          </w:p>
          <w:p w14:paraId="33C1E602">
            <w:pPr>
              <w:pStyle w:val="66"/>
              <w:ind w:firstLine="420"/>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14:textFill>
                  <w14:solidFill>
                    <w14:schemeClr w14:val="tx1"/>
                  </w14:solidFill>
                </w14:textFill>
              </w:rPr>
              <w:t>建立危险废物产生、贮存、转移电子台账，记录种类、数量、去向等信息，保存至少5年。</w:t>
            </w:r>
          </w:p>
          <w:p w14:paraId="5A0B7E67">
            <w:pPr>
              <w:pStyle w:val="66"/>
              <w:ind w:firstLine="420"/>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14:textFill>
                  <w14:solidFill>
                    <w14:schemeClr w14:val="tx1"/>
                  </w14:solidFill>
                </w14:textFill>
              </w:rPr>
              <w:t>（2）转移联单</w:t>
            </w:r>
          </w:p>
          <w:p w14:paraId="05F18D51">
            <w:pPr>
              <w:pStyle w:val="66"/>
              <w:ind w:firstLine="420"/>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14:textFill>
                  <w14:solidFill>
                    <w14:schemeClr w14:val="tx1"/>
                  </w14:solidFill>
                </w14:textFill>
              </w:rPr>
              <w:t>严格执行《危险废物转移联单管理办法》，联单随货同行，副本存档备查。</w:t>
            </w:r>
          </w:p>
          <w:p w14:paraId="63F4F218">
            <w:pPr>
              <w:pStyle w:val="66"/>
              <w:ind w:firstLine="420"/>
              <w:rPr>
                <w:rFonts w:ascii="宋体" w:hAnsi="宋体"/>
                <w:color w:val="000000" w:themeColor="text1"/>
                <w:sz w:val="24"/>
                <w:szCs w:val="32"/>
                <w:highlight w:val="none"/>
                <w14:textFill>
                  <w14:solidFill>
                    <w14:schemeClr w14:val="tx1"/>
                  </w14:solidFill>
                </w14:textFill>
              </w:rPr>
            </w:pPr>
            <w:r>
              <w:rPr>
                <w:rFonts w:ascii="宋体" w:hAnsi="宋体"/>
                <w:color w:val="000000" w:themeColor="text1"/>
                <w:sz w:val="24"/>
                <w:szCs w:val="32"/>
                <w:highlight w:val="none"/>
                <w14:textFill>
                  <w14:solidFill>
                    <w14:schemeClr w14:val="tx1"/>
                  </w14:solidFill>
                </w14:textFill>
              </w:rPr>
              <w:t>总体上分析，只要建设单位认真落实本环评提出的各项固体废物处置措施，并按照固体废物的相关管理要求，加强各类固体废物的收集、分类储存、转移和处置管理，本工程建成后产生的固体废物不会造成二次污染，因此对环境的影响很小。</w:t>
            </w:r>
          </w:p>
          <w:p w14:paraId="57145F45">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4.4.4</w:t>
            </w:r>
            <w:r>
              <w:rPr>
                <w:rFonts w:hint="eastAsia" w:cs="宋体"/>
                <w:color w:val="000000" w:themeColor="text1"/>
                <w:sz w:val="24"/>
                <w:szCs w:val="32"/>
                <w:highlight w:val="none"/>
                <w14:textFill>
                  <w14:solidFill>
                    <w14:schemeClr w14:val="tx1"/>
                  </w14:solidFill>
                </w14:textFill>
              </w:rPr>
              <w:t>环境管理要求</w:t>
            </w:r>
          </w:p>
          <w:p w14:paraId="5B0389C0">
            <w:pPr>
              <w:spacing w:line="360" w:lineRule="auto"/>
              <w:ind w:firstLine="480" w:firstLineChars="200"/>
              <w:rPr>
                <w:rFonts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①一般工业固体废物</w:t>
            </w:r>
          </w:p>
          <w:p w14:paraId="2D45AA07">
            <w:pPr>
              <w:spacing w:line="360" w:lineRule="auto"/>
              <w:ind w:firstLine="480" w:firstLineChars="200"/>
              <w:rPr>
                <w:rFonts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本项目一般工业固体废物主要为</w:t>
            </w:r>
            <w:r>
              <w:rPr>
                <w:rFonts w:hint="eastAsia" w:cs="宋体"/>
                <w:color w:val="000000" w:themeColor="text1"/>
                <w:sz w:val="24"/>
                <w:szCs w:val="32"/>
                <w:highlight w:val="none"/>
                <w:lang w:val="en-US" w:eastAsia="zh-CN"/>
                <w14:textFill>
                  <w14:solidFill>
                    <w14:schemeClr w14:val="tx1"/>
                  </w14:solidFill>
                </w14:textFill>
              </w:rPr>
              <w:t>废边角料</w:t>
            </w:r>
            <w:r>
              <w:rPr>
                <w:rFonts w:hint="eastAsia" w:cs="宋体"/>
                <w:color w:val="000000" w:themeColor="text1"/>
                <w:sz w:val="24"/>
                <w:szCs w:val="32"/>
                <w:highlight w:val="none"/>
                <w14:textFill>
                  <w14:solidFill>
                    <w14:schemeClr w14:val="tx1"/>
                  </w14:solidFill>
                </w14:textFill>
              </w:rPr>
              <w:t>等。</w:t>
            </w:r>
          </w:p>
          <w:p w14:paraId="38A0E43D">
            <w:pPr>
              <w:spacing w:line="360" w:lineRule="auto"/>
              <w:ind w:firstLine="480" w:firstLineChars="200"/>
              <w:rPr>
                <w:rFonts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a.</w:t>
            </w:r>
            <w:r>
              <w:rPr>
                <w:rFonts w:hint="eastAsia" w:cs="宋体"/>
                <w:color w:val="000000" w:themeColor="text1"/>
                <w:sz w:val="24"/>
                <w:szCs w:val="32"/>
                <w:highlight w:val="none"/>
                <w14:textFill>
                  <w14:solidFill>
                    <w14:schemeClr w14:val="tx1"/>
                  </w14:solidFill>
                </w14:textFill>
              </w:rPr>
              <w:t>一般工业固体废物产生后，应按不同类别和相应要求及时放置到临时存放场所。并按《环境保护图形标志—固体废物贮存（处置）场》（GB 15562.2-1995）修改单设置环境保护图形标志。</w:t>
            </w:r>
          </w:p>
          <w:p w14:paraId="70ED7B47">
            <w:pPr>
              <w:spacing w:line="360" w:lineRule="auto"/>
              <w:ind w:firstLine="480" w:firstLineChars="200"/>
              <w:rPr>
                <w:rFonts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b.</w:t>
            </w:r>
            <w:r>
              <w:rPr>
                <w:rFonts w:hint="eastAsia" w:cs="宋体"/>
                <w:color w:val="000000" w:themeColor="text1"/>
                <w:sz w:val="24"/>
                <w:szCs w:val="32"/>
                <w:highlight w:val="none"/>
                <w14:textFill>
                  <w14:solidFill>
                    <w14:schemeClr w14:val="tx1"/>
                  </w14:solidFill>
                </w14:textFill>
              </w:rPr>
              <w:t>一般工业固体废物储存场，禁止将危险废物和生活垃圾混入。</w:t>
            </w:r>
          </w:p>
          <w:p w14:paraId="13E32F1D">
            <w:pPr>
              <w:spacing w:line="360" w:lineRule="auto"/>
              <w:ind w:firstLine="480" w:firstLineChars="200"/>
              <w:rPr>
                <w:rFonts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c.</w:t>
            </w:r>
            <w:r>
              <w:rPr>
                <w:rFonts w:hint="eastAsia" w:cs="宋体"/>
                <w:color w:val="000000" w:themeColor="text1"/>
                <w:sz w:val="24"/>
                <w:szCs w:val="32"/>
                <w:highlight w:val="none"/>
                <w14:textFill>
                  <w14:solidFill>
                    <w14:schemeClr w14:val="tx1"/>
                  </w14:solidFill>
                </w14:textFill>
              </w:rPr>
              <w:t>各类固体废物在厂内临时堆放期间加强管理，外运过</w:t>
            </w:r>
            <w:r>
              <w:rPr>
                <w:rFonts w:hint="eastAsia" w:cs="宋体"/>
                <w:color w:val="000000" w:themeColor="text1"/>
                <w:sz w:val="24"/>
                <w:szCs w:val="32"/>
                <w:highlight w:val="none"/>
                <w:lang w:eastAsia="zh-CN"/>
                <w14:textFill>
                  <w14:solidFill>
                    <w14:schemeClr w14:val="tx1"/>
                  </w14:solidFill>
                </w14:textFill>
              </w:rPr>
              <w:t>程中</w:t>
            </w:r>
            <w:r>
              <w:rPr>
                <w:rFonts w:hint="eastAsia" w:cs="宋体"/>
                <w:color w:val="000000" w:themeColor="text1"/>
                <w:sz w:val="24"/>
                <w:szCs w:val="32"/>
                <w:highlight w:val="none"/>
                <w14:textFill>
                  <w14:solidFill>
                    <w14:schemeClr w14:val="tx1"/>
                  </w14:solidFill>
                </w14:textFill>
              </w:rPr>
              <w:t>要防止</w:t>
            </w:r>
            <w:r>
              <w:rPr>
                <w:rFonts w:hint="eastAsia" w:cs="宋体"/>
                <w:color w:val="000000" w:themeColor="text1"/>
                <w:sz w:val="24"/>
                <w:szCs w:val="32"/>
                <w:highlight w:val="none"/>
                <w:lang w:eastAsia="zh-CN"/>
                <w14:textFill>
                  <w14:solidFill>
                    <w14:schemeClr w14:val="tx1"/>
                  </w14:solidFill>
                </w14:textFill>
              </w:rPr>
              <w:t>抛洒泄漏</w:t>
            </w:r>
            <w:r>
              <w:rPr>
                <w:rFonts w:hint="eastAsia" w:cs="宋体"/>
                <w:color w:val="000000" w:themeColor="text1"/>
                <w:sz w:val="24"/>
                <w:szCs w:val="32"/>
                <w:highlight w:val="none"/>
                <w14:textFill>
                  <w14:solidFill>
                    <w14:schemeClr w14:val="tx1"/>
                  </w14:solidFill>
                </w14:textFill>
              </w:rPr>
              <w:t>。</w:t>
            </w:r>
          </w:p>
          <w:p w14:paraId="4BC4E260">
            <w:pPr>
              <w:spacing w:line="360" w:lineRule="auto"/>
              <w:ind w:firstLine="480" w:firstLineChars="200"/>
              <w:rPr>
                <w:rFonts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lang w:eastAsia="zh-CN"/>
                <w14:textFill>
                  <w14:solidFill>
                    <w14:schemeClr w14:val="tx1"/>
                  </w14:solidFill>
                </w14:textFill>
              </w:rPr>
              <w:t>d.</w:t>
            </w:r>
            <w:r>
              <w:rPr>
                <w:rFonts w:hint="eastAsia" w:cs="宋体"/>
                <w:color w:val="000000" w:themeColor="text1"/>
                <w:sz w:val="24"/>
                <w:szCs w:val="32"/>
                <w:highlight w:val="none"/>
                <w14:textFill>
                  <w14:solidFill>
                    <w14:schemeClr w14:val="tx1"/>
                  </w14:solidFill>
                </w14:textFill>
              </w:rPr>
              <w:t>加强企业内部对固体废物的管理，建立固体废物产生、外运、处置及最终去向的详细台账。</w:t>
            </w:r>
          </w:p>
          <w:p w14:paraId="6C1CC112">
            <w:pPr>
              <w:spacing w:line="360" w:lineRule="auto"/>
              <w:ind w:firstLine="480" w:firstLineChars="200"/>
              <w:rPr>
                <w:rFonts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②危险废物</w:t>
            </w:r>
          </w:p>
          <w:p w14:paraId="576E754E">
            <w:pPr>
              <w:spacing w:line="360" w:lineRule="auto"/>
              <w:ind w:firstLine="480" w:firstLineChars="200"/>
              <w:rPr>
                <w:rFonts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本项目危险废物主要为</w:t>
            </w:r>
            <w:r>
              <w:rPr>
                <w:rFonts w:hint="eastAsia" w:cs="宋体"/>
                <w:color w:val="000000" w:themeColor="text1"/>
                <w:sz w:val="24"/>
                <w:szCs w:val="32"/>
                <w:highlight w:val="none"/>
                <w:lang w:val="en-US" w:eastAsia="zh-CN"/>
                <w14:textFill>
                  <w14:solidFill>
                    <w14:schemeClr w14:val="tx1"/>
                  </w14:solidFill>
                </w14:textFill>
              </w:rPr>
              <w:t>废润滑油、废油桶、废活性炭</w:t>
            </w:r>
            <w:r>
              <w:rPr>
                <w:rFonts w:hint="eastAsia" w:ascii="宋体" w:hAnsi="宋体"/>
                <w:color w:val="000000" w:themeColor="text1"/>
                <w:sz w:val="24"/>
                <w:szCs w:val="32"/>
                <w:highlight w:val="none"/>
                <w14:textFill>
                  <w14:solidFill>
                    <w14:schemeClr w14:val="tx1"/>
                  </w14:solidFill>
                </w14:textFill>
              </w:rPr>
              <w:t>等</w:t>
            </w:r>
            <w:r>
              <w:rPr>
                <w:rFonts w:hint="eastAsia" w:cs="宋体"/>
                <w:color w:val="000000" w:themeColor="text1"/>
                <w:sz w:val="24"/>
                <w:szCs w:val="32"/>
                <w:highlight w:val="none"/>
                <w14:textFill>
                  <w14:solidFill>
                    <w14:schemeClr w14:val="tx1"/>
                  </w14:solidFill>
                </w14:textFill>
              </w:rPr>
              <w:t>。厂区设置一个临时暂存间，危废间需根据要求做好防渗措施。危废</w:t>
            </w:r>
            <w:r>
              <w:rPr>
                <w:rFonts w:hint="eastAsia" w:cs="宋体"/>
                <w:color w:val="000000" w:themeColor="text1"/>
                <w:sz w:val="24"/>
                <w:szCs w:val="32"/>
                <w:highlight w:val="none"/>
                <w:lang w:val="en-US" w:eastAsia="zh-CN"/>
                <w14:textFill>
                  <w14:solidFill>
                    <w14:schemeClr w14:val="tx1"/>
                  </w14:solidFill>
                </w14:textFill>
              </w:rPr>
              <w:t>收集</w:t>
            </w:r>
            <w:r>
              <w:rPr>
                <w:rFonts w:hint="eastAsia" w:cs="宋体"/>
                <w:color w:val="000000" w:themeColor="text1"/>
                <w:sz w:val="24"/>
                <w:szCs w:val="32"/>
                <w:highlight w:val="none"/>
                <w14:textFill>
                  <w14:solidFill>
                    <w14:schemeClr w14:val="tx1"/>
                  </w14:solidFill>
                </w14:textFill>
              </w:rPr>
              <w:t>统一委托有资质单位进行处置。</w:t>
            </w:r>
          </w:p>
          <w:p w14:paraId="3E8AD94A">
            <w:pPr>
              <w:spacing w:line="360" w:lineRule="auto"/>
              <w:ind w:firstLine="480" w:firstLineChars="200"/>
              <w:rPr>
                <w:rFonts w:cs="宋体"/>
                <w:color w:val="000000" w:themeColor="text1"/>
                <w:sz w:val="32"/>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为消除危险废物存在的环境污染隐患，建设单位应设置危险废物专门管理机构，加强对危险废物分类收集、贮存、转移的管理，确保危险废物得到合理</w:t>
            </w:r>
            <w:r>
              <w:rPr>
                <w:rFonts w:hint="eastAsia" w:cs="宋体"/>
                <w:color w:val="000000" w:themeColor="text1"/>
                <w:sz w:val="24"/>
                <w:szCs w:val="32"/>
                <w:highlight w:val="none"/>
                <w:lang w:val="en-US" w:eastAsia="zh-CN"/>
                <w14:textFill>
                  <w14:solidFill>
                    <w14:schemeClr w14:val="tx1"/>
                  </w14:solidFill>
                </w14:textFill>
              </w:rPr>
              <w:t>处置。</w:t>
            </w:r>
          </w:p>
          <w:p w14:paraId="20966658">
            <w:pPr>
              <w:spacing w:line="360" w:lineRule="auto"/>
              <w:ind w:firstLine="480" w:firstLineChars="200"/>
              <w:rPr>
                <w:rFonts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a.应设置专人对危险废物进行分类管理，严格按照《危险废物贮存污染控制标准》（</w:t>
            </w:r>
            <w:r>
              <w:rPr>
                <w:color w:val="000000" w:themeColor="text1"/>
                <w:sz w:val="24"/>
                <w:szCs w:val="32"/>
                <w:highlight w:val="none"/>
                <w14:textFill>
                  <w14:solidFill>
                    <w14:schemeClr w14:val="tx1"/>
                  </w14:solidFill>
                </w14:textFill>
              </w:rPr>
              <w:t>GB18597-20</w:t>
            </w:r>
            <w:r>
              <w:rPr>
                <w:rFonts w:hint="eastAsia"/>
                <w:color w:val="000000" w:themeColor="text1"/>
                <w:sz w:val="24"/>
                <w:szCs w:val="32"/>
                <w:highlight w:val="none"/>
                <w14:textFill>
                  <w14:solidFill>
                    <w14:schemeClr w14:val="tx1"/>
                  </w14:solidFill>
                </w14:textFill>
              </w:rPr>
              <w:t>23</w:t>
            </w:r>
            <w:r>
              <w:rPr>
                <w:rFonts w:hint="eastAsia" w:cs="宋体"/>
                <w:color w:val="000000" w:themeColor="text1"/>
                <w:sz w:val="24"/>
                <w:szCs w:val="32"/>
                <w:highlight w:val="none"/>
                <w14:textFill>
                  <w14:solidFill>
                    <w14:schemeClr w14:val="tx1"/>
                  </w14:solidFill>
                </w14:textFill>
              </w:rPr>
              <w:t>），建造合格的临时贮存场所，并根据危险废物识别标志设置技术规范（HJ1276—2022）设置明显的标志和围护，以免造成二次污染。</w:t>
            </w:r>
          </w:p>
          <w:p w14:paraId="004ECDD2">
            <w:pPr>
              <w:spacing w:line="360" w:lineRule="auto"/>
              <w:ind w:firstLine="480" w:firstLineChars="200"/>
              <w:rPr>
                <w:rFonts w:cs="宋体"/>
                <w:color w:val="000000" w:themeColor="text1"/>
                <w:sz w:val="32"/>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b.建立废物转移联单制度。</w:t>
            </w:r>
            <w:r>
              <w:rPr>
                <w:rFonts w:hint="eastAsia" w:cs="宋体"/>
                <w:color w:val="000000" w:themeColor="text1"/>
                <w:sz w:val="24"/>
                <w:szCs w:val="32"/>
                <w:highlight w:val="none"/>
                <w:lang w:val="en-US" w:eastAsia="zh-CN"/>
                <w14:textFill>
                  <w14:solidFill>
                    <w14:schemeClr w14:val="tx1"/>
                  </w14:solidFill>
                </w14:textFill>
              </w:rPr>
              <w:t>该</w:t>
            </w:r>
            <w:r>
              <w:rPr>
                <w:rFonts w:hint="eastAsia" w:cs="宋体"/>
                <w:color w:val="000000" w:themeColor="text1"/>
                <w:sz w:val="24"/>
                <w:szCs w:val="32"/>
                <w:highlight w:val="none"/>
                <w14:textFill>
                  <w14:solidFill>
                    <w14:schemeClr w14:val="tx1"/>
                  </w14:solidFill>
                </w14:textFill>
              </w:rPr>
              <w:t>制度是对废物从产生、处理到处置排放实行全过程监督的有效手段。主要内容有：废物合理产生的估量；废物流向和分配及监测记录；废物处理和转化；废物有效排放和废物总量衡算；废物从产生到处置的全过程评估。危险废物转移应按照《危险废物转移管理办法》要求执行。</w:t>
            </w:r>
          </w:p>
          <w:p w14:paraId="0CAB8E29">
            <w:pPr>
              <w:spacing w:line="360" w:lineRule="auto"/>
              <w:ind w:firstLine="480" w:firstLineChars="200"/>
              <w:rPr>
                <w:rFonts w:hint="eastAsia" w:cs="宋体"/>
                <w:color w:val="000000" w:themeColor="text1"/>
                <w:sz w:val="24"/>
                <w:szCs w:val="32"/>
                <w:highlight w:val="none"/>
                <w14:textFill>
                  <w14:solidFill>
                    <w14:schemeClr w14:val="tx1"/>
                  </w14:solidFill>
                </w14:textFill>
              </w:rPr>
            </w:pPr>
            <w:r>
              <w:rPr>
                <w:rFonts w:hint="eastAsia" w:cs="宋体"/>
                <w:color w:val="000000" w:themeColor="text1"/>
                <w:sz w:val="24"/>
                <w:szCs w:val="32"/>
                <w:highlight w:val="none"/>
                <w14:textFill>
                  <w14:solidFill>
                    <w14:schemeClr w14:val="tx1"/>
                  </w14:solidFill>
                </w14:textFill>
              </w:rPr>
              <w:t>c.实行全过程管理。对危险废物的产生、收集、运输、贮存、加工处理直至最终处置</w:t>
            </w:r>
            <w:r>
              <w:rPr>
                <w:rFonts w:hint="eastAsia" w:cs="宋体"/>
                <w:color w:val="000000" w:themeColor="text1"/>
                <w:sz w:val="24"/>
                <w:szCs w:val="32"/>
                <w:highlight w:val="none"/>
                <w:lang w:eastAsia="zh-CN"/>
                <w14:textFill>
                  <w14:solidFill>
                    <w14:schemeClr w14:val="tx1"/>
                  </w14:solidFill>
                </w14:textFill>
              </w:rPr>
              <w:t>承担</w:t>
            </w:r>
            <w:r>
              <w:rPr>
                <w:rFonts w:hint="eastAsia" w:cs="宋体"/>
                <w:color w:val="000000" w:themeColor="text1"/>
                <w:sz w:val="24"/>
                <w:szCs w:val="32"/>
                <w:highlight w:val="none"/>
                <w14:textFill>
                  <w14:solidFill>
                    <w14:schemeClr w14:val="tx1"/>
                  </w14:solidFill>
                </w14:textFill>
              </w:rPr>
              <w:t>责任。并应向生态环境主管部门进行申报、登记，并接受管理部门的监督和指导。</w:t>
            </w:r>
          </w:p>
          <w:p w14:paraId="4D4331D4">
            <w:pPr>
              <w:pStyle w:val="37"/>
              <w:rPr>
                <w:rFonts w:hint="default" w:eastAsia="黑体"/>
                <w:color w:val="000000" w:themeColor="text1"/>
                <w:sz w:val="24"/>
                <w:szCs w:val="21"/>
                <w:highlight w:val="none"/>
                <w:lang w:val="en-US" w:eastAsia="zh-CN"/>
                <w14:textFill>
                  <w14:solidFill>
                    <w14:schemeClr w14:val="tx1"/>
                  </w14:solidFill>
                </w14:textFill>
              </w:rPr>
            </w:pPr>
            <w:r>
              <w:rPr>
                <w:color w:val="000000" w:themeColor="text1"/>
                <w:sz w:val="24"/>
                <w:szCs w:val="21"/>
                <w:highlight w:val="none"/>
                <w14:textFill>
                  <w14:solidFill>
                    <w14:schemeClr w14:val="tx1"/>
                  </w14:solidFill>
                </w14:textFill>
              </w:rPr>
              <w:t>4.</w:t>
            </w:r>
            <w:r>
              <w:rPr>
                <w:rFonts w:hint="eastAsia"/>
                <w:color w:val="000000" w:themeColor="text1"/>
                <w:sz w:val="24"/>
                <w:szCs w:val="21"/>
                <w:highlight w:val="none"/>
                <w:lang w:val="en-US" w:eastAsia="zh-CN"/>
                <w14:textFill>
                  <w14:solidFill>
                    <w14:schemeClr w14:val="tx1"/>
                  </w14:solidFill>
                </w14:textFill>
              </w:rPr>
              <w:t>5</w:t>
            </w:r>
            <w:r>
              <w:rPr>
                <w:color w:val="000000" w:themeColor="text1"/>
                <w:sz w:val="24"/>
                <w:szCs w:val="21"/>
                <w:highlight w:val="none"/>
                <w14:textFill>
                  <w14:solidFill>
                    <w14:schemeClr w14:val="tx1"/>
                  </w14:solidFill>
                </w14:textFill>
              </w:rPr>
              <w:t xml:space="preserve"> </w:t>
            </w:r>
            <w:r>
              <w:rPr>
                <w:rFonts w:hint="eastAsia"/>
                <w:color w:val="000000" w:themeColor="text1"/>
                <w:sz w:val="24"/>
                <w:szCs w:val="21"/>
                <w:highlight w:val="none"/>
                <w14:textFill>
                  <w14:solidFill>
                    <w14:schemeClr w14:val="tx1"/>
                  </w14:solidFill>
                </w14:textFill>
              </w:rPr>
              <w:t>运营期地下水</w:t>
            </w:r>
            <w:r>
              <w:rPr>
                <w:rFonts w:hint="eastAsia"/>
                <w:color w:val="000000" w:themeColor="text1"/>
                <w:sz w:val="24"/>
                <w:szCs w:val="21"/>
                <w:highlight w:val="none"/>
                <w:lang w:eastAsia="zh-CN"/>
                <w14:textFill>
                  <w14:solidFill>
                    <w14:schemeClr w14:val="tx1"/>
                  </w14:solidFill>
                </w14:textFill>
              </w:rPr>
              <w:t>、</w:t>
            </w:r>
            <w:r>
              <w:rPr>
                <w:rFonts w:hint="eastAsia"/>
                <w:color w:val="000000" w:themeColor="text1"/>
                <w:sz w:val="24"/>
                <w:szCs w:val="21"/>
                <w:highlight w:val="none"/>
                <w:lang w:val="en-US" w:eastAsia="zh-CN"/>
                <w14:textFill>
                  <w14:solidFill>
                    <w14:schemeClr w14:val="tx1"/>
                  </w14:solidFill>
                </w14:textFill>
              </w:rPr>
              <w:t>土壤环境影响分析和保护措施</w:t>
            </w:r>
          </w:p>
          <w:p w14:paraId="3DFC733C">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4.5.1</w:t>
            </w:r>
            <w:r>
              <w:rPr>
                <w:rFonts w:hint="eastAsia"/>
                <w:color w:val="000000" w:themeColor="text1"/>
                <w:sz w:val="24"/>
                <w:szCs w:val="21"/>
                <w:highlight w:val="none"/>
                <w14:textFill>
                  <w14:solidFill>
                    <w14:schemeClr w14:val="tx1"/>
                  </w14:solidFill>
                </w14:textFill>
              </w:rPr>
              <w:t>地下水</w:t>
            </w:r>
            <w:r>
              <w:rPr>
                <w:rFonts w:hint="eastAsia"/>
                <w:color w:val="000000" w:themeColor="text1"/>
                <w:sz w:val="24"/>
                <w:szCs w:val="21"/>
                <w:highlight w:val="none"/>
                <w:lang w:eastAsia="zh-CN"/>
                <w14:textFill>
                  <w14:solidFill>
                    <w14:schemeClr w14:val="tx1"/>
                  </w14:solidFill>
                </w14:textFill>
              </w:rPr>
              <w:t>、</w:t>
            </w:r>
            <w:r>
              <w:rPr>
                <w:rFonts w:hint="eastAsia"/>
                <w:color w:val="000000" w:themeColor="text1"/>
                <w:sz w:val="24"/>
                <w:szCs w:val="21"/>
                <w:highlight w:val="none"/>
                <w:lang w:val="en-US" w:eastAsia="zh-CN"/>
                <w14:textFill>
                  <w14:solidFill>
                    <w14:schemeClr w14:val="tx1"/>
                  </w14:solidFill>
                </w14:textFill>
              </w:rPr>
              <w:t>土壤环境影响分析</w:t>
            </w:r>
          </w:p>
          <w:p w14:paraId="0EF6906C">
            <w:pPr>
              <w:spacing w:line="360" w:lineRule="auto"/>
              <w:ind w:firstLine="480" w:firstLineChars="200"/>
              <w:rPr>
                <w:rFonts w:hint="default"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pPr>
            <w:r>
              <w:rPr>
                <w:rFonts w:hint="eastAsia" w:cs="Times New Roman"/>
                <w:bCs/>
                <w:color w:val="000000" w:themeColor="text1"/>
                <w:kern w:val="2"/>
                <w:sz w:val="24"/>
                <w:szCs w:val="32"/>
                <w:highlight w:val="none"/>
                <w:lang w:val="en-US" w:eastAsia="zh-CN" w:bidi="ar-SA"/>
                <w14:textFill>
                  <w14:solidFill>
                    <w14:schemeClr w14:val="tx1"/>
                  </w14:solidFill>
                </w14:textFill>
              </w:rPr>
              <w:t>（1）地下水环境</w:t>
            </w:r>
          </w:p>
          <w:p w14:paraId="151E66AD">
            <w:pPr>
              <w:spacing w:line="360" w:lineRule="auto"/>
              <w:ind w:firstLine="480" w:firstLineChars="200"/>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项目生活污水经处理达标后排入市政污水管网，送往</w:t>
            </w:r>
            <w:r>
              <w:rPr>
                <w:rFonts w:hint="eastAsia" w:cs="Times New Roman"/>
                <w:bCs/>
                <w:color w:val="000000" w:themeColor="text1"/>
                <w:kern w:val="2"/>
                <w:sz w:val="24"/>
                <w:szCs w:val="32"/>
                <w:highlight w:val="none"/>
                <w:lang w:val="en-US" w:eastAsia="zh-CN" w:bidi="ar-SA"/>
                <w14:textFill>
                  <w14:solidFill>
                    <w14:schemeClr w14:val="tx1"/>
                  </w14:solidFill>
                </w14:textFill>
              </w:rPr>
              <w:t>福州大学城污水处理厂</w:t>
            </w: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集中处理，项目</w:t>
            </w:r>
            <w:r>
              <w:rPr>
                <w:rFonts w:hint="eastAsia" w:cs="Times New Roman"/>
                <w:bCs/>
                <w:color w:val="000000" w:themeColor="text1"/>
                <w:kern w:val="2"/>
                <w:sz w:val="24"/>
                <w:szCs w:val="32"/>
                <w:highlight w:val="none"/>
                <w:lang w:val="en-US" w:eastAsia="zh-CN" w:bidi="ar-SA"/>
                <w14:textFill>
                  <w14:solidFill>
                    <w14:schemeClr w14:val="tx1"/>
                  </w14:solidFill>
                </w14:textFill>
              </w:rPr>
              <w:t>生活污水不会</w:t>
            </w: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渗漏和进入地下水</w:t>
            </w:r>
            <w:r>
              <w:rPr>
                <w:rFonts w:hint="eastAsia" w:cs="Times New Roman"/>
                <w:bCs/>
                <w:color w:val="000000" w:themeColor="text1"/>
                <w:kern w:val="2"/>
                <w:sz w:val="24"/>
                <w:szCs w:val="32"/>
                <w:highlight w:val="none"/>
                <w:lang w:val="en-US" w:eastAsia="zh-CN" w:bidi="ar-SA"/>
                <w14:textFill>
                  <w14:solidFill>
                    <w14:schemeClr w14:val="tx1"/>
                  </w14:solidFill>
                </w14:textFill>
              </w:rPr>
              <w:t>。</w:t>
            </w:r>
          </w:p>
          <w:p w14:paraId="42D159EA">
            <w:pPr>
              <w:spacing w:line="360" w:lineRule="auto"/>
              <w:ind w:firstLine="480" w:firstLineChars="200"/>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项目一般工业固废暂存场所及危险废物暂存间严格按照《一般工业固体废物贮存、处置场污染控制标准》（GB18599-2020）</w:t>
            </w:r>
            <w:r>
              <w:rPr>
                <w:rFonts w:hint="eastAsia" w:cs="Times New Roman"/>
                <w:bCs/>
                <w:color w:val="000000" w:themeColor="text1"/>
                <w:kern w:val="2"/>
                <w:sz w:val="24"/>
                <w:szCs w:val="32"/>
                <w:highlight w:val="none"/>
                <w:lang w:val="en-US" w:eastAsia="zh-CN" w:bidi="ar-SA"/>
                <w14:textFill>
                  <w14:solidFill>
                    <w14:schemeClr w14:val="tx1"/>
                  </w14:solidFill>
                </w14:textFill>
              </w:rPr>
              <w:t>中</w:t>
            </w: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固废临时贮存场所的要求及《危险废物贮存污染控制标准》（GB18597-2023）的要求进行建设，具备防风、防雨、防晒、防渗漏等要求。在正常工况，不会对评价区地下水产生明显影响，其影响程度是可接受的。</w:t>
            </w:r>
          </w:p>
          <w:p w14:paraId="285169FE">
            <w:pPr>
              <w:spacing w:line="360" w:lineRule="auto"/>
              <w:ind w:firstLine="480" w:firstLineChars="200"/>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pPr>
            <w:r>
              <w:rPr>
                <w:rFonts w:hint="eastAsia" w:cs="Times New Roman"/>
                <w:bCs/>
                <w:color w:val="000000" w:themeColor="text1"/>
                <w:kern w:val="2"/>
                <w:sz w:val="24"/>
                <w:szCs w:val="32"/>
                <w:highlight w:val="none"/>
                <w:lang w:val="en-US" w:eastAsia="zh-CN" w:bidi="ar-SA"/>
                <w14:textFill>
                  <w14:solidFill>
                    <w14:schemeClr w14:val="tx1"/>
                  </w14:solidFill>
                </w14:textFill>
              </w:rPr>
              <w:t>综上所述</w:t>
            </w: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，项目在正常运行工况下，项目对地下水影响不大。</w:t>
            </w:r>
            <w:r>
              <w:rPr>
                <w:rFonts w:hint="eastAsia" w:cs="Times New Roman"/>
                <w:bCs/>
                <w:color w:val="000000" w:themeColor="text1"/>
                <w:kern w:val="2"/>
                <w:sz w:val="24"/>
                <w:szCs w:val="32"/>
                <w:highlight w:val="none"/>
                <w:lang w:val="en-US" w:eastAsia="zh-CN" w:bidi="ar-SA"/>
                <w14:textFill>
                  <w14:solidFill>
                    <w14:schemeClr w14:val="tx1"/>
                  </w14:solidFill>
                </w14:textFill>
              </w:rPr>
              <w:t>企业</w:t>
            </w: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应加强管理，杜绝</w:t>
            </w:r>
            <w:r>
              <w:rPr>
                <w:rFonts w:hint="eastAsia" w:cs="Times New Roman"/>
                <w:bCs/>
                <w:color w:val="000000" w:themeColor="text1"/>
                <w:kern w:val="2"/>
                <w:sz w:val="24"/>
                <w:szCs w:val="32"/>
                <w:highlight w:val="none"/>
                <w:lang w:val="en-US" w:eastAsia="zh-CN" w:bidi="ar-SA"/>
                <w14:textFill>
                  <w14:solidFill>
                    <w14:schemeClr w14:val="tx1"/>
                  </w14:solidFill>
                </w14:textFill>
              </w:rPr>
              <w:t>生活污水管</w:t>
            </w: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破裂等事故影响</w:t>
            </w:r>
            <w:r>
              <w:rPr>
                <w:rFonts w:hint="eastAsia" w:cs="Times New Roman"/>
                <w:bCs/>
                <w:color w:val="000000" w:themeColor="text1"/>
                <w:kern w:val="2"/>
                <w:sz w:val="24"/>
                <w:szCs w:val="32"/>
                <w:highlight w:val="none"/>
                <w:lang w:val="en-US" w:eastAsia="zh-CN" w:bidi="ar-SA"/>
                <w14:textFill>
                  <w14:solidFill>
                    <w14:schemeClr w14:val="tx1"/>
                  </w14:solidFill>
                </w14:textFill>
              </w:rPr>
              <w:t>。</w:t>
            </w:r>
          </w:p>
          <w:p w14:paraId="21CE3BB3">
            <w:pPr>
              <w:spacing w:line="360" w:lineRule="auto"/>
              <w:ind w:firstLine="480" w:firstLineChars="200"/>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(2)土壤环境</w:t>
            </w:r>
          </w:p>
          <w:p w14:paraId="25D38598">
            <w:pPr>
              <w:spacing w:line="360" w:lineRule="auto"/>
              <w:ind w:firstLine="480" w:firstLineChars="200"/>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土壤污染与大气、水体污染有所不同，大气、水体污染比较直观，严重时通过人的感官即能发现，而土壤污染往往是以食物链方式通过粮食、蔬菜、水果、茶叶及草食性动物(如家禽家畜)乃至肉食性动物等最后进入人体而影响人群健康。因此，这是一个逐步累积的过程，具有隐蔽性和潜伏性。</w:t>
            </w:r>
          </w:p>
          <w:p w14:paraId="220B7590">
            <w:pPr>
              <w:spacing w:line="360" w:lineRule="auto"/>
              <w:ind w:firstLine="480" w:firstLineChars="200"/>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根据土壤污染物的来源不同</w:t>
            </w:r>
            <w:r>
              <w:rPr>
                <w:rFonts w:hint="eastAsia" w:cs="Times New Roman"/>
                <w:bCs/>
                <w:color w:val="000000" w:themeColor="text1"/>
                <w:kern w:val="2"/>
                <w:sz w:val="24"/>
                <w:szCs w:val="32"/>
                <w:highlight w:val="none"/>
                <w:lang w:val="en-US" w:eastAsia="zh-CN" w:bidi="ar-SA"/>
                <w14:textFill>
                  <w14:solidFill>
                    <w14:schemeClr w14:val="tx1"/>
                  </w14:solidFill>
                </w14:textFill>
              </w:rPr>
              <w:t>，</w:t>
            </w: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可将土壤污染分为废水污染型、废气污染型</w:t>
            </w:r>
            <w:r>
              <w:rPr>
                <w:rFonts w:hint="eastAsia" w:cs="Times New Roman"/>
                <w:bCs/>
                <w:color w:val="000000" w:themeColor="text1"/>
                <w:kern w:val="2"/>
                <w:sz w:val="24"/>
                <w:szCs w:val="32"/>
                <w:highlight w:val="none"/>
                <w:lang w:val="en-US" w:eastAsia="zh-CN" w:bidi="ar-SA"/>
                <w14:textFill>
                  <w14:solidFill>
                    <w14:schemeClr w14:val="tx1"/>
                  </w14:solidFill>
                </w14:textFill>
              </w:rPr>
              <w:t>、</w:t>
            </w: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固体废物污染型、农业污染型和生物污染型。该项目土壤污染将以废水、固废污染型为主。</w:t>
            </w:r>
          </w:p>
          <w:p w14:paraId="659865C5">
            <w:pPr>
              <w:spacing w:line="360" w:lineRule="auto"/>
              <w:ind w:firstLine="480" w:firstLineChars="200"/>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项目生产废气均可达标排放，对区域环境空气贡献值较小，对土壤环境的影响很小。</w:t>
            </w:r>
          </w:p>
          <w:p w14:paraId="4A49748B">
            <w:pPr>
              <w:spacing w:line="360" w:lineRule="auto"/>
              <w:ind w:firstLine="480" w:firstLineChars="200"/>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项目生活污水排入市政污水管网。正常情况下，项目运营期</w:t>
            </w:r>
            <w:r>
              <w:rPr>
                <w:rFonts w:hint="eastAsia" w:cs="Times New Roman"/>
                <w:bCs/>
                <w:color w:val="000000" w:themeColor="text1"/>
                <w:kern w:val="2"/>
                <w:sz w:val="24"/>
                <w:szCs w:val="32"/>
                <w:highlight w:val="none"/>
                <w:lang w:val="en-US" w:eastAsia="zh-CN" w:bidi="ar-SA"/>
                <w14:textFill>
                  <w14:solidFill>
                    <w14:schemeClr w14:val="tx1"/>
                  </w14:solidFill>
                </w14:textFill>
              </w:rPr>
              <w:t>生活污水</w:t>
            </w: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对土壤环境的影响不大。</w:t>
            </w:r>
          </w:p>
          <w:p w14:paraId="755A4E1B">
            <w:pPr>
              <w:spacing w:line="360" w:lineRule="auto"/>
              <w:ind w:firstLine="480" w:firstLineChars="200"/>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项目产生的危险废物暂存在危险废物间内，危险废物暂存间防渗要求按《危险废物贮存污染控制标准》(GB18597-2023)进行设计，且具有防雨、防渗、防风、防日晒的功能。采取以上措施后，项目危险废物对土壤环境的影响不大。</w:t>
            </w:r>
          </w:p>
          <w:p w14:paraId="178F4CA4">
            <w:pPr>
              <w:spacing w:line="360" w:lineRule="auto"/>
              <w:ind w:firstLine="480" w:firstLineChars="200"/>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综上所述，运营</w:t>
            </w:r>
            <w:r>
              <w:rPr>
                <w:rFonts w:hint="eastAsia" w:cs="Times New Roman"/>
                <w:bCs/>
                <w:color w:val="000000" w:themeColor="text1"/>
                <w:kern w:val="2"/>
                <w:sz w:val="24"/>
                <w:szCs w:val="32"/>
                <w:highlight w:val="none"/>
                <w:lang w:val="en-US" w:eastAsia="zh-CN" w:bidi="ar-SA"/>
                <w14:textFill>
                  <w14:solidFill>
                    <w14:schemeClr w14:val="tx1"/>
                  </w14:solidFill>
                </w14:textFill>
              </w:rPr>
              <w:t>期</w:t>
            </w: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排放的污染物对厂址周围的</w:t>
            </w:r>
            <w:r>
              <w:rPr>
                <w:rFonts w:hint="eastAsia" w:cs="Times New Roman"/>
                <w:bCs/>
                <w:color w:val="000000" w:themeColor="text1"/>
                <w:kern w:val="2"/>
                <w:sz w:val="24"/>
                <w:szCs w:val="32"/>
                <w:highlight w:val="none"/>
                <w:lang w:val="en-US" w:eastAsia="zh-CN" w:bidi="ar-SA"/>
                <w14:textFill>
                  <w14:solidFill>
                    <w14:schemeClr w14:val="tx1"/>
                  </w14:solidFill>
                </w14:textFill>
              </w:rPr>
              <w:t>土壤环境</w:t>
            </w: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影响是可以接受的。</w:t>
            </w:r>
          </w:p>
          <w:p w14:paraId="0D7DF6A6">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4.5.2</w:t>
            </w:r>
            <w:r>
              <w:rPr>
                <w:rFonts w:hint="eastAsia"/>
                <w:color w:val="000000" w:themeColor="text1"/>
                <w:sz w:val="24"/>
                <w:szCs w:val="21"/>
                <w:highlight w:val="none"/>
                <w14:textFill>
                  <w14:solidFill>
                    <w14:schemeClr w14:val="tx1"/>
                  </w14:solidFill>
                </w14:textFill>
              </w:rPr>
              <w:t>地下水</w:t>
            </w:r>
            <w:r>
              <w:rPr>
                <w:rFonts w:hint="eastAsia"/>
                <w:color w:val="000000" w:themeColor="text1"/>
                <w:sz w:val="24"/>
                <w:szCs w:val="21"/>
                <w:highlight w:val="none"/>
                <w:lang w:eastAsia="zh-CN"/>
                <w14:textFill>
                  <w14:solidFill>
                    <w14:schemeClr w14:val="tx1"/>
                  </w14:solidFill>
                </w14:textFill>
              </w:rPr>
              <w:t>、</w:t>
            </w:r>
            <w:r>
              <w:rPr>
                <w:rFonts w:hint="eastAsia"/>
                <w:color w:val="000000" w:themeColor="text1"/>
                <w:sz w:val="24"/>
                <w:szCs w:val="21"/>
                <w:highlight w:val="none"/>
                <w:lang w:val="en-US" w:eastAsia="zh-CN"/>
                <w14:textFill>
                  <w14:solidFill>
                    <w14:schemeClr w14:val="tx1"/>
                  </w14:solidFill>
                </w14:textFill>
              </w:rPr>
              <w:t>土壤环境防控措施</w:t>
            </w:r>
          </w:p>
          <w:p w14:paraId="6C134AE2">
            <w:pPr>
              <w:spacing w:line="360" w:lineRule="auto"/>
              <w:ind w:firstLine="480" w:firstLineChars="200"/>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(1)防渗措施</w:t>
            </w:r>
          </w:p>
          <w:p w14:paraId="76497CC1">
            <w:pPr>
              <w:spacing w:line="360" w:lineRule="auto"/>
              <w:ind w:firstLine="480" w:firstLineChars="200"/>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①</w:t>
            </w: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合理进行防渗区域划分</w:t>
            </w:r>
          </w:p>
          <w:p w14:paraId="774391C9">
            <w:pPr>
              <w:spacing w:line="360" w:lineRule="auto"/>
              <w:ind w:firstLine="480" w:firstLineChars="200"/>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根据本项目厂区可能泄漏至地面区域污染物的性质和生产单元的构筑方式，将厂区划分为重点</w:t>
            </w:r>
            <w:r>
              <w:rPr>
                <w:rFonts w:hint="eastAsia" w:cs="Times New Roman"/>
                <w:bCs/>
                <w:color w:val="000000" w:themeColor="text1"/>
                <w:kern w:val="2"/>
                <w:sz w:val="24"/>
                <w:szCs w:val="32"/>
                <w:highlight w:val="none"/>
                <w:lang w:val="en-US" w:eastAsia="zh-CN" w:bidi="ar-SA"/>
                <w14:textFill>
                  <w14:solidFill>
                    <w14:schemeClr w14:val="tx1"/>
                  </w14:solidFill>
                </w14:textFill>
              </w:rPr>
              <w:t>防渗区</w:t>
            </w: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w:t>
            </w:r>
            <w:r>
              <w:rPr>
                <w:rFonts w:hint="eastAsia" w:cs="Times New Roman"/>
                <w:bCs/>
                <w:color w:val="000000" w:themeColor="text1"/>
                <w:kern w:val="2"/>
                <w:sz w:val="24"/>
                <w:szCs w:val="32"/>
                <w:highlight w:val="none"/>
                <w:lang w:val="en-US" w:eastAsia="zh-CN" w:bidi="ar-SA"/>
                <w14:textFill>
                  <w14:solidFill>
                    <w14:schemeClr w14:val="tx1"/>
                  </w14:solidFill>
                </w14:textFill>
              </w:rPr>
              <w:t>简单防渗区</w:t>
            </w: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，针对不同的区域提出相应的防渗要求。结合项目的特点，项目防渗防治分区见</w:t>
            </w:r>
            <w:r>
              <w:rPr>
                <w:rFonts w:hint="eastAsia" w:cs="Times New Roman"/>
                <w:bCs/>
                <w:color w:val="000000" w:themeColor="text1"/>
                <w:kern w:val="2"/>
                <w:sz w:val="24"/>
                <w:szCs w:val="32"/>
                <w:highlight w:val="none"/>
                <w:lang w:val="en-US" w:eastAsia="zh-CN" w:bidi="ar-SA"/>
                <w14:textFill>
                  <w14:solidFill>
                    <w14:schemeClr w14:val="tx1"/>
                  </w14:solidFill>
                </w14:textFill>
              </w:rPr>
              <w:t>下</w:t>
            </w: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表。</w:t>
            </w:r>
          </w:p>
          <w:p w14:paraId="39921848">
            <w:pPr>
              <w:spacing w:line="360" w:lineRule="auto"/>
              <w:jc w:val="center"/>
              <w:rPr>
                <w:rFonts w:ascii="宋体" w:cs="宋体"/>
                <w:b/>
                <w:bCs w:val="0"/>
                <w:color w:val="000000" w:themeColor="text1"/>
                <w:kern w:val="0"/>
                <w:sz w:val="24"/>
                <w:szCs w:val="24"/>
                <w:highlight w:val="none"/>
                <w14:textFill>
                  <w14:solidFill>
                    <w14:schemeClr w14:val="tx1"/>
                  </w14:solidFill>
                </w14:textFill>
              </w:rPr>
            </w:pPr>
            <w:r>
              <w:rPr>
                <w:rFonts w:hint="eastAsia" w:cs="宋体"/>
                <w:b/>
                <w:bCs w:val="0"/>
                <w:color w:val="000000" w:themeColor="text1"/>
                <w:sz w:val="24"/>
                <w:szCs w:val="24"/>
                <w:highlight w:val="none"/>
                <w14:textFill>
                  <w14:solidFill>
                    <w14:schemeClr w14:val="tx1"/>
                  </w14:solidFill>
                </w14:textFill>
              </w:rPr>
              <w:t xml:space="preserve">表 </w:t>
            </w:r>
            <w:r>
              <w:rPr>
                <w:rFonts w:hint="eastAsia"/>
                <w:b/>
                <w:bCs w:val="0"/>
                <w:color w:val="000000" w:themeColor="text1"/>
                <w:sz w:val="24"/>
                <w:szCs w:val="24"/>
                <w:highlight w:val="none"/>
                <w:lang w:val="en-US" w:eastAsia="zh-CN"/>
                <w14:textFill>
                  <w14:solidFill>
                    <w14:schemeClr w14:val="tx1"/>
                  </w14:solidFill>
                </w14:textFill>
              </w:rPr>
              <w:t>4.5-1</w:t>
            </w:r>
            <w:r>
              <w:rPr>
                <w:b/>
                <w:bCs w:val="0"/>
                <w:color w:val="000000" w:themeColor="text1"/>
                <w:sz w:val="24"/>
                <w:szCs w:val="24"/>
                <w:highlight w:val="none"/>
                <w14:textFill>
                  <w14:solidFill>
                    <w14:schemeClr w14:val="tx1"/>
                  </w14:solidFill>
                </w14:textFill>
              </w:rPr>
              <w:t xml:space="preserve">  </w:t>
            </w:r>
            <w:r>
              <w:rPr>
                <w:rFonts w:hint="eastAsia"/>
                <w:b/>
                <w:bCs w:val="0"/>
                <w:color w:val="000000" w:themeColor="text1"/>
                <w:sz w:val="24"/>
                <w:szCs w:val="24"/>
                <w:highlight w:val="none"/>
                <w:lang w:val="en-US" w:eastAsia="zh-CN"/>
                <w14:textFill>
                  <w14:solidFill>
                    <w14:schemeClr w14:val="tx1"/>
                  </w14:solidFill>
                </w14:textFill>
              </w:rPr>
              <w:t>项目防渗防治分区</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620"/>
              <w:gridCol w:w="3883"/>
              <w:gridCol w:w="2618"/>
            </w:tblGrid>
            <w:tr w14:paraId="5879E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47" w:hRule="atLeast"/>
              </w:trPr>
              <w:tc>
                <w:tcPr>
                  <w:tcW w:w="1547" w:type="dxa"/>
                  <w:shd w:val="clear" w:color="auto" w:fill="auto"/>
                  <w:vAlign w:val="center"/>
                </w:tcPr>
                <w:p w14:paraId="74759280">
                  <w:pPr>
                    <w:jc w:val="center"/>
                    <w:rPr>
                      <w:rFonts w:hint="default" w:eastAsia="宋体"/>
                      <w:color w:val="000000" w:themeColor="text1"/>
                      <w:sz w:val="21"/>
                      <w:szCs w:val="24"/>
                      <w:highlight w:val="none"/>
                      <w:lang w:val="en-US" w:eastAsia="zh-CN"/>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防治分区</w:t>
                  </w:r>
                </w:p>
              </w:tc>
              <w:tc>
                <w:tcPr>
                  <w:tcW w:w="3709" w:type="dxa"/>
                  <w:shd w:val="clear" w:color="auto" w:fill="auto"/>
                  <w:vAlign w:val="center"/>
                </w:tcPr>
                <w:p w14:paraId="585250E1">
                  <w:pPr>
                    <w:jc w:val="center"/>
                    <w:rPr>
                      <w:rFonts w:hint="default" w:eastAsia="宋体"/>
                      <w:color w:val="000000" w:themeColor="text1"/>
                      <w:sz w:val="21"/>
                      <w:szCs w:val="24"/>
                      <w:highlight w:val="none"/>
                      <w:lang w:val="en-US" w:eastAsia="zh-CN"/>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装置或者构筑物名称</w:t>
                  </w:r>
                </w:p>
              </w:tc>
              <w:tc>
                <w:tcPr>
                  <w:tcW w:w="2501" w:type="dxa"/>
                  <w:shd w:val="clear" w:color="auto" w:fill="auto"/>
                  <w:vAlign w:val="center"/>
                </w:tcPr>
                <w:p w14:paraId="0CFE3E1F">
                  <w:pPr>
                    <w:jc w:val="center"/>
                    <w:rPr>
                      <w:rFonts w:hint="default" w:eastAsia="宋体"/>
                      <w:color w:val="000000" w:themeColor="text1"/>
                      <w:sz w:val="21"/>
                      <w:szCs w:val="24"/>
                      <w:highlight w:val="none"/>
                      <w:lang w:val="en-US" w:eastAsia="zh-CN"/>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防渗区域</w:t>
                  </w:r>
                </w:p>
              </w:tc>
            </w:tr>
            <w:tr w14:paraId="7D2F9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547" w:type="dxa"/>
                  <w:shd w:val="clear" w:color="auto" w:fill="auto"/>
                  <w:vAlign w:val="center"/>
                </w:tcPr>
                <w:p w14:paraId="64B8D894">
                  <w:pPr>
                    <w:jc w:val="center"/>
                    <w:rPr>
                      <w:rFonts w:hint="default" w:eastAsia="宋体"/>
                      <w:color w:val="000000" w:themeColor="text1"/>
                      <w:sz w:val="21"/>
                      <w:szCs w:val="24"/>
                      <w:highlight w:val="none"/>
                      <w:lang w:val="en-US" w:eastAsia="zh-CN"/>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重点防渗区</w:t>
                  </w:r>
                </w:p>
              </w:tc>
              <w:tc>
                <w:tcPr>
                  <w:tcW w:w="3709" w:type="dxa"/>
                  <w:shd w:val="clear" w:color="auto" w:fill="auto"/>
                  <w:vAlign w:val="center"/>
                </w:tcPr>
                <w:p w14:paraId="1FC2DD92">
                  <w:pPr>
                    <w:jc w:val="center"/>
                    <w:rPr>
                      <w:rFonts w:hint="default" w:eastAsia="宋体"/>
                      <w:color w:val="000000" w:themeColor="text1"/>
                      <w:sz w:val="21"/>
                      <w:szCs w:val="24"/>
                      <w:highlight w:val="none"/>
                      <w:lang w:val="en-US" w:eastAsia="zh-CN"/>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危废暂存间</w:t>
                  </w:r>
                </w:p>
              </w:tc>
              <w:tc>
                <w:tcPr>
                  <w:tcW w:w="2501" w:type="dxa"/>
                  <w:shd w:val="clear" w:color="auto" w:fill="auto"/>
                  <w:vAlign w:val="center"/>
                </w:tcPr>
                <w:p w14:paraId="4988A7DE">
                  <w:pPr>
                    <w:jc w:val="center"/>
                    <w:rPr>
                      <w:rFonts w:hint="default" w:eastAsia="宋体"/>
                      <w:color w:val="000000" w:themeColor="text1"/>
                      <w:sz w:val="21"/>
                      <w:szCs w:val="24"/>
                      <w:highlight w:val="none"/>
                      <w:lang w:val="en-US" w:eastAsia="zh-CN"/>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地面</w:t>
                  </w:r>
                </w:p>
              </w:tc>
            </w:tr>
            <w:tr w14:paraId="001BB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1" w:hRule="atLeast"/>
              </w:trPr>
              <w:tc>
                <w:tcPr>
                  <w:tcW w:w="1547" w:type="dxa"/>
                  <w:shd w:val="clear" w:color="auto" w:fill="auto"/>
                  <w:vAlign w:val="center"/>
                </w:tcPr>
                <w:p w14:paraId="6E9E9A16">
                  <w:pPr>
                    <w:jc w:val="center"/>
                    <w:rPr>
                      <w:rFonts w:hint="default" w:eastAsia="宋体"/>
                      <w:color w:val="000000" w:themeColor="text1"/>
                      <w:sz w:val="21"/>
                      <w:szCs w:val="24"/>
                      <w:highlight w:val="none"/>
                      <w:lang w:val="en-US" w:eastAsia="zh-CN"/>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简单防渗区</w:t>
                  </w:r>
                </w:p>
              </w:tc>
              <w:tc>
                <w:tcPr>
                  <w:tcW w:w="3709" w:type="dxa"/>
                  <w:shd w:val="clear" w:color="auto" w:fill="auto"/>
                  <w:vAlign w:val="center"/>
                </w:tcPr>
                <w:p w14:paraId="617C9041">
                  <w:pPr>
                    <w:jc w:val="center"/>
                    <w:rPr>
                      <w:rFonts w:hint="default" w:eastAsia="宋体"/>
                      <w:color w:val="000000" w:themeColor="text1"/>
                      <w:sz w:val="21"/>
                      <w:szCs w:val="24"/>
                      <w:highlight w:val="none"/>
                      <w:lang w:val="en-US" w:eastAsia="zh-CN"/>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项目生产车间等其他区域</w:t>
                  </w:r>
                </w:p>
              </w:tc>
              <w:tc>
                <w:tcPr>
                  <w:tcW w:w="2501" w:type="dxa"/>
                  <w:shd w:val="clear" w:color="auto" w:fill="auto"/>
                  <w:vAlign w:val="center"/>
                </w:tcPr>
                <w:p w14:paraId="44E2196C">
                  <w:pPr>
                    <w:jc w:val="center"/>
                    <w:rPr>
                      <w:rFonts w:hint="default" w:eastAsia="宋体"/>
                      <w:color w:val="000000" w:themeColor="text1"/>
                      <w:sz w:val="21"/>
                      <w:szCs w:val="24"/>
                      <w:highlight w:val="none"/>
                      <w:lang w:val="en-US" w:eastAsia="zh-CN"/>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地面</w:t>
                  </w:r>
                </w:p>
              </w:tc>
            </w:tr>
          </w:tbl>
          <w:p w14:paraId="4AC1BA17">
            <w:pPr>
              <w:spacing w:line="360" w:lineRule="auto"/>
              <w:ind w:firstLine="480" w:firstLineChars="200"/>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②防渗要求</w:t>
            </w:r>
          </w:p>
          <w:p w14:paraId="0DBE43A4">
            <w:pPr>
              <w:spacing w:line="360" w:lineRule="auto"/>
              <w:ind w:firstLine="480" w:firstLineChars="200"/>
              <w:rPr>
                <w:rFonts w:hint="eastAsia" w:cs="Times New Roman"/>
                <w:bCs/>
                <w:color w:val="000000" w:themeColor="text1"/>
                <w:kern w:val="2"/>
                <w:sz w:val="24"/>
                <w:szCs w:val="32"/>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根据《环境影响评价技术导则地下水环境》(HJ610-2016)的要求，重点防渗区的防渗性能</w:t>
            </w:r>
            <w:r>
              <w:rPr>
                <w:rFonts w:hint="eastAsia" w:cs="Times New Roman"/>
                <w:bCs/>
                <w:color w:val="000000" w:themeColor="text1"/>
                <w:kern w:val="2"/>
                <w:sz w:val="24"/>
                <w:szCs w:val="32"/>
                <w:highlight w:val="none"/>
                <w:lang w:val="en-US" w:eastAsia="zh-CN" w:bidi="ar-SA"/>
                <w14:textFill>
                  <w14:solidFill>
                    <w14:schemeClr w14:val="tx1"/>
                  </w14:solidFill>
                </w14:textFill>
              </w:rPr>
              <w:t>为：</w:t>
            </w: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等效黏土防渗层</w:t>
            </w:r>
            <w:r>
              <w:rPr>
                <w:rFonts w:hint="eastAsia" w:cs="Times New Roman"/>
                <w:bCs/>
                <w:color w:val="000000" w:themeColor="text1"/>
                <w:kern w:val="2"/>
                <w:sz w:val="24"/>
                <w:szCs w:val="32"/>
                <w:highlight w:val="none"/>
                <w:lang w:val="en-US" w:eastAsia="zh-CN" w:bidi="ar-SA"/>
                <w14:textFill>
                  <w14:solidFill>
                    <w14:schemeClr w14:val="tx1"/>
                  </w14:solidFill>
                </w14:textFill>
              </w:rPr>
              <w:t>≥</w:t>
            </w: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6.0m，渗透系数</w:t>
            </w:r>
            <w:r>
              <w:rPr>
                <w:rFonts w:hint="eastAsia" w:cs="Times New Roman"/>
                <w:bCs/>
                <w:color w:val="000000" w:themeColor="text1"/>
                <w:kern w:val="2"/>
                <w:sz w:val="24"/>
                <w:szCs w:val="32"/>
                <w:highlight w:val="none"/>
                <w:lang w:val="en-US" w:eastAsia="zh-CN" w:bidi="ar-SA"/>
                <w14:textFill>
                  <w14:solidFill>
                    <w14:schemeClr w14:val="tx1"/>
                  </w14:solidFill>
                </w14:textFill>
              </w:rPr>
              <w:t>≤</w:t>
            </w: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1.0</w:t>
            </w:r>
            <w:r>
              <w:rPr>
                <w:rFonts w:hint="eastAsia" w:cs="Times New Roman"/>
                <w:bCs/>
                <w:color w:val="000000" w:themeColor="text1"/>
                <w:kern w:val="2"/>
                <w:sz w:val="24"/>
                <w:szCs w:val="32"/>
                <w:highlight w:val="none"/>
                <w:lang w:val="en-US" w:eastAsia="zh-CN" w:bidi="ar-SA"/>
                <w14:textFill>
                  <w14:solidFill>
                    <w14:schemeClr w14:val="tx1"/>
                  </w14:solidFill>
                </w14:textFill>
              </w:rPr>
              <w:t>×</w:t>
            </w: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10</w:t>
            </w:r>
            <w:r>
              <w:rPr>
                <w:rFonts w:hint="eastAsia" w:cs="Times New Roman"/>
                <w:bCs/>
                <w:color w:val="000000" w:themeColor="text1"/>
                <w:kern w:val="2"/>
                <w:sz w:val="24"/>
                <w:szCs w:val="32"/>
                <w:highlight w:val="none"/>
                <w:vertAlign w:val="superscript"/>
                <w:lang w:val="en-US" w:eastAsia="zh-CN" w:bidi="ar-SA"/>
                <w14:textFill>
                  <w14:solidFill>
                    <w14:schemeClr w14:val="tx1"/>
                  </w14:solidFill>
                </w14:textFill>
              </w:rPr>
              <w:t>-7</w:t>
            </w: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cm</w:t>
            </w:r>
            <w:r>
              <w:rPr>
                <w:rFonts w:hint="eastAsia" w:cs="Times New Roman"/>
                <w:bCs/>
                <w:color w:val="000000" w:themeColor="text1"/>
                <w:kern w:val="2"/>
                <w:sz w:val="24"/>
                <w:szCs w:val="32"/>
                <w:highlight w:val="none"/>
                <w:lang w:val="en-US" w:eastAsia="zh-CN" w:bidi="ar-SA"/>
                <w14:textFill>
                  <w14:solidFill>
                    <w14:schemeClr w14:val="tx1"/>
                  </w14:solidFill>
                </w14:textFill>
              </w:rPr>
              <w:t>/</w:t>
            </w: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s。危险废物暂存场重点防渗区应按照《危险废物污染防治技术政策》及《危险废物贮存污染控制标准》(GB18597-2023)等危险废物处理的相关标准、法律法规的要求</w:t>
            </w:r>
            <w:r>
              <w:rPr>
                <w:rFonts w:hint="eastAsia" w:cs="Times New Roman"/>
                <w:bCs/>
                <w:color w:val="000000" w:themeColor="text1"/>
                <w:kern w:val="2"/>
                <w:sz w:val="24"/>
                <w:szCs w:val="32"/>
                <w:highlight w:val="none"/>
                <w:lang w:val="en-US" w:eastAsia="zh-CN" w:bidi="ar-SA"/>
                <w14:textFill>
                  <w14:solidFill>
                    <w14:schemeClr w14:val="tx1"/>
                  </w14:solidFill>
                </w14:textFill>
              </w:rPr>
              <w:t>。</w:t>
            </w:r>
          </w:p>
          <w:p w14:paraId="5A7D5E3C">
            <w:pPr>
              <w:spacing w:line="360" w:lineRule="auto"/>
              <w:ind w:firstLine="480" w:firstLineChars="200"/>
              <w:rPr>
                <w:rFonts w:hint="default"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根据《环境影响评价技术导则地下水环境》(HJ610-2016)，</w:t>
            </w:r>
            <w:r>
              <w:rPr>
                <w:rFonts w:hint="eastAsia" w:cs="Times New Roman"/>
                <w:bCs/>
                <w:color w:val="000000" w:themeColor="text1"/>
                <w:kern w:val="2"/>
                <w:sz w:val="24"/>
                <w:szCs w:val="32"/>
                <w:highlight w:val="none"/>
                <w:lang w:val="en-US" w:eastAsia="zh-CN" w:bidi="ar-SA"/>
                <w14:textFill>
                  <w14:solidFill>
                    <w14:schemeClr w14:val="tx1"/>
                  </w14:solidFill>
                </w14:textFill>
              </w:rPr>
              <w:t>简单防渗区要求为一般地面硬化。一般工业固体废物暂存场一般防渗区应按照《一般工业固体废物贮存处置场污染控制标准》中固废临时贮存场所的要求进行设计。</w:t>
            </w:r>
          </w:p>
          <w:p w14:paraId="22B3EC45">
            <w:pPr>
              <w:spacing w:line="360" w:lineRule="auto"/>
              <w:ind w:firstLine="480" w:firstLineChars="200"/>
              <w:rPr>
                <w:rFonts w:hint="default"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pPr>
            <w:r>
              <w:rPr>
                <w:rFonts w:hint="eastAsia" w:cs="Times New Roman"/>
                <w:bCs/>
                <w:color w:val="000000" w:themeColor="text1"/>
                <w:kern w:val="2"/>
                <w:sz w:val="24"/>
                <w:szCs w:val="32"/>
                <w:highlight w:val="none"/>
                <w:lang w:val="en-US" w:eastAsia="zh-CN" w:bidi="ar-SA"/>
                <w14:textFill>
                  <w14:solidFill>
                    <w14:schemeClr w14:val="tx1"/>
                  </w14:solidFill>
                </w14:textFill>
              </w:rPr>
              <w:t>（2）监控措施</w:t>
            </w:r>
          </w:p>
          <w:p w14:paraId="409E2AEF">
            <w:pPr>
              <w:spacing w:line="360" w:lineRule="auto"/>
              <w:ind w:firstLine="480" w:firstLineChars="200"/>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①建立健全环境管理和监测制度，保证各环保设施正常运转，同时强化风险防范意识，如遇环保设施不能正常运转，应立即停产检修</w:t>
            </w:r>
            <w:r>
              <w:rPr>
                <w:rFonts w:hint="eastAsia" w:cs="Times New Roman"/>
                <w:bCs/>
                <w:color w:val="000000" w:themeColor="text1"/>
                <w:kern w:val="2"/>
                <w:sz w:val="24"/>
                <w:szCs w:val="32"/>
                <w:highlight w:val="none"/>
                <w:lang w:val="en-US" w:eastAsia="zh-CN" w:bidi="ar-SA"/>
                <w14:textFill>
                  <w14:solidFill>
                    <w14:schemeClr w14:val="tx1"/>
                  </w14:solidFill>
                </w14:textFill>
              </w:rPr>
              <w:t>；</w:t>
            </w:r>
          </w:p>
          <w:p w14:paraId="0C1D4D42">
            <w:pPr>
              <w:spacing w:line="360" w:lineRule="auto"/>
              <w:ind w:firstLine="480" w:firstLineChars="200"/>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②若发生危险废物泄漏等，必要时委托有资质的单位对厂址周边地下水、土壤等进行跟踪监测，掌握厂址周边污染变化趋势。</w:t>
            </w:r>
          </w:p>
          <w:p w14:paraId="51E41370">
            <w:pPr>
              <w:spacing w:line="360" w:lineRule="auto"/>
              <w:ind w:firstLine="480" w:firstLineChars="200"/>
              <w:rPr>
                <w:rFonts w:hint="eastAsia" w:cs="Times New Roman"/>
                <w:bCs/>
                <w:color w:val="000000" w:themeColor="text1"/>
                <w:kern w:val="2"/>
                <w:sz w:val="24"/>
                <w:szCs w:val="32"/>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③在今后的生产活动中，做好设备的维护、检修，杜绝跑、冒、滴、漏现象。同时，加强污染物产生主要环节的收集治理，加强厂区的安全防护、环境风险防范措施，以便及时发现事故隐患，及时采取有效的应对措施</w:t>
            </w:r>
            <w:r>
              <w:rPr>
                <w:rFonts w:hint="eastAsia" w:cs="Times New Roman"/>
                <w:bCs/>
                <w:color w:val="000000" w:themeColor="text1"/>
                <w:kern w:val="2"/>
                <w:sz w:val="24"/>
                <w:szCs w:val="32"/>
                <w:highlight w:val="none"/>
                <w:lang w:val="en-US" w:eastAsia="zh-CN" w:bidi="ar-SA"/>
                <w14:textFill>
                  <w14:solidFill>
                    <w14:schemeClr w14:val="tx1"/>
                  </w14:solidFill>
                </w14:textFill>
              </w:rPr>
              <w:t>。</w:t>
            </w:r>
          </w:p>
          <w:p w14:paraId="3E12AA8C">
            <w:pPr>
              <w:pStyle w:val="37"/>
              <w:spacing w:before="120" w:beforeLines="50"/>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14:textFill>
                  <w14:solidFill>
                    <w14:schemeClr w14:val="tx1"/>
                  </w14:solidFill>
                </w14:textFill>
              </w:rPr>
              <w:t>4</w:t>
            </w:r>
            <w:r>
              <w:rPr>
                <w:color w:val="000000" w:themeColor="text1"/>
                <w:sz w:val="24"/>
                <w:szCs w:val="21"/>
                <w:highlight w:val="none"/>
                <w14:textFill>
                  <w14:solidFill>
                    <w14:schemeClr w14:val="tx1"/>
                  </w14:solidFill>
                </w14:textFill>
              </w:rPr>
              <w:t>.</w:t>
            </w:r>
            <w:r>
              <w:rPr>
                <w:rFonts w:hint="eastAsia"/>
                <w:color w:val="000000" w:themeColor="text1"/>
                <w:sz w:val="24"/>
                <w:szCs w:val="21"/>
                <w:highlight w:val="none"/>
                <w:lang w:val="en-US" w:eastAsia="zh-CN"/>
                <w14:textFill>
                  <w14:solidFill>
                    <w14:schemeClr w14:val="tx1"/>
                  </w14:solidFill>
                </w14:textFill>
              </w:rPr>
              <w:t>6生态环境影响分析</w:t>
            </w:r>
          </w:p>
          <w:p w14:paraId="5D9BF52D">
            <w:pPr>
              <w:spacing w:line="360" w:lineRule="auto"/>
              <w:ind w:firstLine="480" w:firstLineChars="200"/>
              <w:rPr>
                <w:rFonts w:hint="eastAsia"/>
                <w:color w:val="000000" w:themeColor="text1"/>
                <w:sz w:val="24"/>
                <w:szCs w:val="21"/>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本项目租用福建省菲格园区开发管理有限公司在福建省福州市闽侯县南屿镇窗厦村尧溪路3号1#厂房1层，不涉及新增占地，不会对周边生态环境产生影响。</w:t>
            </w:r>
          </w:p>
          <w:p w14:paraId="06B6E5CB">
            <w:pPr>
              <w:pStyle w:val="37"/>
              <w:spacing w:before="120" w:beforeLines="50"/>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14:textFill>
                  <w14:solidFill>
                    <w14:schemeClr w14:val="tx1"/>
                  </w14:solidFill>
                </w14:textFill>
              </w:rPr>
              <w:t>4</w:t>
            </w:r>
            <w:r>
              <w:rPr>
                <w:color w:val="000000" w:themeColor="text1"/>
                <w:sz w:val="24"/>
                <w:szCs w:val="21"/>
                <w:highlight w:val="none"/>
                <w14:textFill>
                  <w14:solidFill>
                    <w14:schemeClr w14:val="tx1"/>
                  </w14:solidFill>
                </w14:textFill>
              </w:rPr>
              <w:t>.</w:t>
            </w:r>
            <w:r>
              <w:rPr>
                <w:rFonts w:hint="eastAsia"/>
                <w:color w:val="000000" w:themeColor="text1"/>
                <w:sz w:val="24"/>
                <w:szCs w:val="21"/>
                <w:highlight w:val="none"/>
                <w:lang w:val="en-US" w:eastAsia="zh-CN"/>
                <w14:textFill>
                  <w14:solidFill>
                    <w14:schemeClr w14:val="tx1"/>
                  </w14:solidFill>
                </w14:textFill>
              </w:rPr>
              <w:t>7</w:t>
            </w:r>
            <w:r>
              <w:rPr>
                <w:color w:val="000000" w:themeColor="text1"/>
                <w:sz w:val="24"/>
                <w:szCs w:val="21"/>
                <w:highlight w:val="none"/>
                <w14:textFill>
                  <w14:solidFill>
                    <w14:schemeClr w14:val="tx1"/>
                  </w14:solidFill>
                </w14:textFill>
              </w:rPr>
              <w:t>环境风险</w:t>
            </w:r>
            <w:r>
              <w:rPr>
                <w:rFonts w:hint="eastAsia"/>
                <w:color w:val="000000" w:themeColor="text1"/>
                <w:sz w:val="24"/>
                <w:szCs w:val="21"/>
                <w:highlight w:val="none"/>
                <w:lang w:val="en-US" w:eastAsia="zh-CN"/>
                <w14:textFill>
                  <w14:solidFill>
                    <w14:schemeClr w14:val="tx1"/>
                  </w14:solidFill>
                </w14:textFill>
              </w:rPr>
              <w:t>影响分析和保护措施</w:t>
            </w:r>
          </w:p>
          <w:p w14:paraId="5CD7640F">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4.7.1项目风险物质调查</w:t>
            </w:r>
          </w:p>
          <w:p w14:paraId="66238CC5">
            <w:pPr>
              <w:pStyle w:val="66"/>
              <w:ind w:firstLine="420"/>
              <w:rPr>
                <w:rFonts w:hint="default" w:ascii="Times New Roman" w:hAnsi="Times New Roman" w:cs="Times New Roman"/>
                <w:color w:val="000000" w:themeColor="text1"/>
                <w:sz w:val="24"/>
                <w:szCs w:val="18"/>
                <w:highlight w:val="none"/>
                <w14:textFill>
                  <w14:solidFill>
                    <w14:schemeClr w14:val="tx1"/>
                  </w14:solidFill>
                </w14:textFill>
              </w:rPr>
            </w:pPr>
            <w:r>
              <w:rPr>
                <w:rFonts w:hint="default" w:ascii="Times New Roman" w:hAnsi="Times New Roman" w:cs="Times New Roman"/>
                <w:color w:val="000000" w:themeColor="text1"/>
                <w:sz w:val="24"/>
                <w:szCs w:val="18"/>
                <w:highlight w:val="none"/>
                <w14:textFill>
                  <w14:solidFill>
                    <w14:schemeClr w14:val="tx1"/>
                  </w14:solidFill>
                </w14:textFill>
              </w:rPr>
              <w:t>根据本项目涉及的原辅材料、产品、污染物等种类，经查询《建设项目环境风险评价技术导则》HJ169-2018)附录B可知，</w:t>
            </w:r>
            <w:r>
              <w:rPr>
                <w:rFonts w:hint="eastAsia" w:ascii="Times New Roman" w:hAnsi="Times New Roman" w:cs="Times New Roman"/>
                <w:color w:val="000000" w:themeColor="text1"/>
                <w:sz w:val="24"/>
                <w:szCs w:val="18"/>
                <w:highlight w:val="none"/>
                <w:lang w:val="en-US" w:eastAsia="zh-CN"/>
                <w14:textFill>
                  <w14:solidFill>
                    <w14:schemeClr w14:val="tx1"/>
                  </w14:solidFill>
                </w14:textFill>
              </w:rPr>
              <w:t>本项目</w:t>
            </w:r>
            <w:r>
              <w:rPr>
                <w:rFonts w:hint="default" w:ascii="Times New Roman" w:hAnsi="Times New Roman" w:cs="Times New Roman"/>
                <w:color w:val="000000" w:themeColor="text1"/>
                <w:sz w:val="24"/>
                <w:szCs w:val="18"/>
                <w:highlight w:val="none"/>
                <w14:textFill>
                  <w14:solidFill>
                    <w14:schemeClr w14:val="tx1"/>
                  </w14:solidFill>
                </w14:textFill>
              </w:rPr>
              <w:t>涉及</w:t>
            </w:r>
            <w:r>
              <w:rPr>
                <w:rFonts w:hint="eastAsia" w:ascii="Times New Roman" w:hAnsi="Times New Roman" w:cs="Times New Roman"/>
                <w:color w:val="000000" w:themeColor="text1"/>
                <w:sz w:val="24"/>
                <w:szCs w:val="18"/>
                <w:highlight w:val="none"/>
                <w:lang w:val="en-US" w:eastAsia="zh-CN"/>
                <w14:textFill>
                  <w14:solidFill>
                    <w14:schemeClr w14:val="tx1"/>
                  </w14:solidFill>
                </w14:textFill>
              </w:rPr>
              <w:t>的</w:t>
            </w:r>
            <w:r>
              <w:rPr>
                <w:rFonts w:hint="default" w:ascii="Times New Roman" w:hAnsi="Times New Roman" w:cs="Times New Roman"/>
                <w:color w:val="000000" w:themeColor="text1"/>
                <w:sz w:val="24"/>
                <w:szCs w:val="18"/>
                <w:highlight w:val="none"/>
                <w14:textFill>
                  <w14:solidFill>
                    <w14:schemeClr w14:val="tx1"/>
                  </w14:solidFill>
                </w14:textFill>
              </w:rPr>
              <w:t>危险</w:t>
            </w:r>
            <w:r>
              <w:rPr>
                <w:rFonts w:hint="eastAsia" w:cs="Times New Roman"/>
                <w:color w:val="000000" w:themeColor="text1"/>
                <w:sz w:val="24"/>
                <w:szCs w:val="18"/>
                <w:highlight w:val="none"/>
                <w:lang w:eastAsia="zh-CN"/>
                <w14:textFill>
                  <w14:solidFill>
                    <w14:schemeClr w14:val="tx1"/>
                  </w14:solidFill>
                </w14:textFill>
              </w:rPr>
              <w:t>物质</w:t>
            </w:r>
            <w:r>
              <w:rPr>
                <w:rFonts w:hint="eastAsia" w:ascii="Times New Roman" w:hAnsi="Times New Roman" w:cs="Times New Roman"/>
                <w:color w:val="000000" w:themeColor="text1"/>
                <w:sz w:val="24"/>
                <w:szCs w:val="18"/>
                <w:highlight w:val="none"/>
                <w:lang w:val="en-US" w:eastAsia="zh-CN"/>
                <w14:textFill>
                  <w14:solidFill>
                    <w14:schemeClr w14:val="tx1"/>
                  </w14:solidFill>
                </w14:textFill>
              </w:rPr>
              <w:t>主要</w:t>
            </w:r>
            <w:r>
              <w:rPr>
                <w:rFonts w:hint="default" w:ascii="Times New Roman" w:hAnsi="Times New Roman" w:cs="Times New Roman"/>
                <w:color w:val="000000" w:themeColor="text1"/>
                <w:sz w:val="24"/>
                <w:szCs w:val="18"/>
                <w:highlight w:val="none"/>
                <w14:textFill>
                  <w14:solidFill>
                    <w14:schemeClr w14:val="tx1"/>
                  </w14:solidFill>
                </w14:textFill>
              </w:rPr>
              <w:t>是无水乙醇、乙醚、丙酮、废切削油液等。详见</w:t>
            </w:r>
            <w:r>
              <w:rPr>
                <w:rFonts w:hint="eastAsia" w:ascii="Times New Roman" w:hAnsi="Times New Roman" w:cs="Times New Roman"/>
                <w:color w:val="000000" w:themeColor="text1"/>
                <w:sz w:val="24"/>
                <w:szCs w:val="18"/>
                <w:highlight w:val="none"/>
                <w:lang w:val="en-US" w:eastAsia="zh-CN"/>
                <w14:textFill>
                  <w14:solidFill>
                    <w14:schemeClr w14:val="tx1"/>
                  </w14:solidFill>
                </w14:textFill>
              </w:rPr>
              <w:t>下</w:t>
            </w:r>
            <w:r>
              <w:rPr>
                <w:rFonts w:hint="default" w:ascii="Times New Roman" w:hAnsi="Times New Roman" w:cs="Times New Roman"/>
                <w:color w:val="000000" w:themeColor="text1"/>
                <w:sz w:val="24"/>
                <w:szCs w:val="18"/>
                <w:highlight w:val="none"/>
                <w14:textFill>
                  <w14:solidFill>
                    <w14:schemeClr w14:val="tx1"/>
                  </w14:solidFill>
                </w14:textFill>
              </w:rPr>
              <w:t>表。</w:t>
            </w:r>
          </w:p>
          <w:p w14:paraId="54EF8A6F">
            <w:pPr>
              <w:pStyle w:val="83"/>
              <w:spacing w:line="360" w:lineRule="auto"/>
              <w:rPr>
                <w:rFonts w:hint="eastAsia" w:ascii="Times New Roman" w:hAnsi="Times New Roman" w:eastAsia="宋体" w:cs="宋体"/>
                <w:b/>
                <w:bCs w:val="0"/>
                <w:color w:val="000000" w:themeColor="text1"/>
                <w:kern w:val="2"/>
                <w:sz w:val="24"/>
                <w:szCs w:val="24"/>
                <w:highlight w:val="none"/>
                <w:lang w:val="en-US" w:eastAsia="zh-CN" w:bidi="ar-SA"/>
                <w14:textFill>
                  <w14:solidFill>
                    <w14:schemeClr w14:val="tx1"/>
                  </w14:solidFill>
                </w14:textFill>
              </w:rPr>
            </w:pPr>
            <w:bookmarkStart w:id="13" w:name="_Hlk160480025"/>
            <w:r>
              <w:rPr>
                <w:rFonts w:hint="eastAsia" w:hAnsi="Times New Roman" w:eastAsia="宋体" w:cs="宋体"/>
                <w:b/>
                <w:bCs w:val="0"/>
                <w:color w:val="000000" w:themeColor="text1"/>
                <w:kern w:val="2"/>
                <w:sz w:val="24"/>
                <w:szCs w:val="24"/>
                <w:highlight w:val="none"/>
                <w:lang w:val="en-US" w:eastAsia="zh-CN" w:bidi="ar-SA"/>
                <w14:textFill>
                  <w14:solidFill>
                    <w14:schemeClr w14:val="tx1"/>
                  </w14:solidFill>
                </w14:textFill>
              </w:rPr>
              <w:t>表4.7-1</w:t>
            </w:r>
            <w:r>
              <w:rPr>
                <w:rFonts w:hint="eastAsia" w:ascii="Times New Roman" w:hAnsi="Times New Roman" w:eastAsia="宋体" w:cs="宋体"/>
                <w:b/>
                <w:bCs w:val="0"/>
                <w:color w:val="000000" w:themeColor="text1"/>
                <w:kern w:val="2"/>
                <w:sz w:val="24"/>
                <w:szCs w:val="24"/>
                <w:highlight w:val="none"/>
                <w:lang w:val="en-US" w:eastAsia="zh-CN" w:bidi="ar-SA"/>
                <w14:textFill>
                  <w14:solidFill>
                    <w14:schemeClr w14:val="tx1"/>
                  </w14:solidFill>
                </w14:textFill>
              </w:rPr>
              <w:t xml:space="preserve"> </w:t>
            </w:r>
            <w:bookmarkEnd w:id="13"/>
            <w:r>
              <w:rPr>
                <w:rFonts w:hint="eastAsia" w:ascii="Times New Roman" w:hAnsi="Times New Roman" w:eastAsia="宋体" w:cs="宋体"/>
                <w:b/>
                <w:bCs w:val="0"/>
                <w:color w:val="000000" w:themeColor="text1"/>
                <w:kern w:val="2"/>
                <w:sz w:val="24"/>
                <w:szCs w:val="24"/>
                <w:highlight w:val="none"/>
                <w:lang w:val="en-US" w:eastAsia="zh-CN" w:bidi="ar-SA"/>
                <w14:textFill>
                  <w14:solidFill>
                    <w14:schemeClr w14:val="tx1"/>
                  </w14:solidFill>
                </w14:textFill>
              </w:rPr>
              <w:t xml:space="preserve"> </w:t>
            </w:r>
            <w:r>
              <w:rPr>
                <w:rFonts w:hint="eastAsia" w:hAnsi="Times New Roman" w:eastAsia="宋体" w:cs="宋体"/>
                <w:b/>
                <w:bCs w:val="0"/>
                <w:color w:val="000000" w:themeColor="text1"/>
                <w:kern w:val="2"/>
                <w:sz w:val="24"/>
                <w:szCs w:val="24"/>
                <w:highlight w:val="none"/>
                <w:lang w:val="en-US" w:eastAsia="zh-CN" w:bidi="ar-SA"/>
                <w14:textFill>
                  <w14:solidFill>
                    <w14:schemeClr w14:val="tx1"/>
                  </w14:solidFill>
                </w14:textFill>
              </w:rPr>
              <w:t>环境风险物质</w:t>
            </w:r>
            <w:r>
              <w:rPr>
                <w:rFonts w:hint="eastAsia" w:ascii="Times New Roman" w:hAnsi="Times New Roman" w:eastAsia="宋体" w:cs="宋体"/>
                <w:b/>
                <w:bCs w:val="0"/>
                <w:color w:val="000000" w:themeColor="text1"/>
                <w:kern w:val="2"/>
                <w:sz w:val="24"/>
                <w:szCs w:val="24"/>
                <w:highlight w:val="none"/>
                <w:lang w:val="en-US" w:eastAsia="zh-CN" w:bidi="ar-SA"/>
                <w14:textFill>
                  <w14:solidFill>
                    <w14:schemeClr w14:val="tx1"/>
                  </w14:solidFill>
                </w14:textFill>
              </w:rPr>
              <w:t>Q值计算</w:t>
            </w:r>
            <w:r>
              <w:rPr>
                <w:rFonts w:hint="eastAsia" w:hAnsi="Times New Roman" w:eastAsia="宋体" w:cs="宋体"/>
                <w:b/>
                <w:bCs w:val="0"/>
                <w:color w:val="000000" w:themeColor="text1"/>
                <w:kern w:val="2"/>
                <w:sz w:val="24"/>
                <w:szCs w:val="24"/>
                <w:highlight w:val="none"/>
                <w:lang w:val="en-US" w:eastAsia="zh-CN" w:bidi="ar-SA"/>
                <w14:textFill>
                  <w14:solidFill>
                    <w14:schemeClr w14:val="tx1"/>
                  </w14:solidFill>
                </w14:textFill>
              </w:rPr>
              <w:t>一览表</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1"/>
              <w:gridCol w:w="1587"/>
              <w:gridCol w:w="1927"/>
              <w:gridCol w:w="2625"/>
            </w:tblGrid>
            <w:tr w14:paraId="238AB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trPr>
              <w:tc>
                <w:tcPr>
                  <w:tcW w:w="1219" w:type="pct"/>
                  <w:shd w:val="clear" w:color="auto" w:fill="auto"/>
                  <w:vAlign w:val="center"/>
                </w:tcPr>
                <w:p w14:paraId="2C978174">
                  <w:pPr>
                    <w:jc w:val="cente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物质名称</w:t>
                  </w:r>
                </w:p>
              </w:tc>
              <w:tc>
                <w:tcPr>
                  <w:tcW w:w="977" w:type="pct"/>
                  <w:shd w:val="clear" w:color="auto" w:fill="auto"/>
                  <w:vAlign w:val="center"/>
                </w:tcPr>
                <w:p w14:paraId="20F08E75">
                  <w:pPr>
                    <w:jc w:val="cente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临界量（t）</w:t>
                  </w:r>
                </w:p>
              </w:tc>
              <w:tc>
                <w:tcPr>
                  <w:tcW w:w="1186" w:type="pct"/>
                  <w:shd w:val="clear" w:color="auto" w:fill="auto"/>
                  <w:vAlign w:val="center"/>
                </w:tcPr>
                <w:p w14:paraId="444C697E">
                  <w:pPr>
                    <w:jc w:val="cente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最大</w:t>
                  </w:r>
                  <w:r>
                    <w:rPr>
                      <w:rFonts w:hint="eastAsia"/>
                      <w:color w:val="000000" w:themeColor="text1"/>
                      <w:sz w:val="21"/>
                      <w:szCs w:val="21"/>
                      <w:highlight w:val="none"/>
                      <w:lang w:eastAsia="zh-CN"/>
                      <w14:textFill>
                        <w14:solidFill>
                          <w14:schemeClr w14:val="tx1"/>
                        </w14:solidFill>
                      </w14:textFill>
                    </w:rPr>
                    <w:t>存在</w:t>
                  </w:r>
                  <w:r>
                    <w:rPr>
                      <w:rFonts w:hint="eastAsia"/>
                      <w:color w:val="000000" w:themeColor="text1"/>
                      <w:sz w:val="21"/>
                      <w:szCs w:val="21"/>
                      <w:highlight w:val="none"/>
                      <w14:textFill>
                        <w14:solidFill>
                          <w14:schemeClr w14:val="tx1"/>
                        </w14:solidFill>
                      </w14:textFill>
                    </w:rPr>
                    <w:t>量（t）</w:t>
                  </w:r>
                </w:p>
              </w:tc>
              <w:tc>
                <w:tcPr>
                  <w:tcW w:w="1616" w:type="pct"/>
                  <w:shd w:val="clear" w:color="auto" w:fill="auto"/>
                  <w:vAlign w:val="center"/>
                </w:tcPr>
                <w:p w14:paraId="6CA3D917">
                  <w:pPr>
                    <w:jc w:val="cente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该种危险物质Q值</w:t>
                  </w:r>
                </w:p>
              </w:tc>
            </w:tr>
            <w:tr w14:paraId="19907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1219" w:type="pct"/>
                  <w:shd w:val="clear" w:color="auto" w:fill="auto"/>
                  <w:vAlign w:val="center"/>
                </w:tcPr>
                <w:p w14:paraId="7A11EAE2">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无水乙醇</w:t>
                  </w:r>
                </w:p>
              </w:tc>
              <w:tc>
                <w:tcPr>
                  <w:tcW w:w="977" w:type="pct"/>
                  <w:shd w:val="clear" w:color="auto" w:fill="auto"/>
                  <w:vAlign w:val="center"/>
                </w:tcPr>
                <w:p w14:paraId="3A17D0FE">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500</w:t>
                  </w:r>
                </w:p>
              </w:tc>
              <w:tc>
                <w:tcPr>
                  <w:tcW w:w="1186" w:type="pct"/>
                  <w:shd w:val="clear" w:color="auto" w:fill="auto"/>
                  <w:vAlign w:val="center"/>
                </w:tcPr>
                <w:p w14:paraId="76353B74">
                  <w:pPr>
                    <w:jc w:val="center"/>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0.55</w:t>
                  </w:r>
                </w:p>
              </w:tc>
              <w:tc>
                <w:tcPr>
                  <w:tcW w:w="1616" w:type="pct"/>
                  <w:shd w:val="clear" w:color="auto" w:fill="auto"/>
                  <w:vAlign w:val="center"/>
                </w:tcPr>
                <w:p w14:paraId="3BFC881E">
                  <w:pPr>
                    <w:keepNext w:val="0"/>
                    <w:keepLines w:val="0"/>
                    <w:widowControl/>
                    <w:suppressLineNumbers w:val="0"/>
                    <w:jc w:val="center"/>
                    <w:textAlignment w:val="center"/>
                    <w:rPr>
                      <w:rFonts w:hint="default"/>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0.0011</w:t>
                  </w:r>
                </w:p>
              </w:tc>
            </w:tr>
            <w:tr w14:paraId="3D28C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trPr>
              <w:tc>
                <w:tcPr>
                  <w:tcW w:w="1219" w:type="pct"/>
                  <w:shd w:val="clear" w:color="auto" w:fill="auto"/>
                  <w:vAlign w:val="center"/>
                </w:tcPr>
                <w:p w14:paraId="1C9F78DF">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无水乙醚</w:t>
                  </w:r>
                </w:p>
              </w:tc>
              <w:tc>
                <w:tcPr>
                  <w:tcW w:w="977" w:type="pct"/>
                  <w:shd w:val="clear" w:color="auto" w:fill="auto"/>
                  <w:vAlign w:val="center"/>
                </w:tcPr>
                <w:p w14:paraId="2F82C224">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10</w:t>
                  </w:r>
                </w:p>
              </w:tc>
              <w:tc>
                <w:tcPr>
                  <w:tcW w:w="1186" w:type="pct"/>
                  <w:shd w:val="clear" w:color="auto" w:fill="auto"/>
                  <w:vAlign w:val="center"/>
                </w:tcPr>
                <w:p w14:paraId="570251EF">
                  <w:pPr>
                    <w:jc w:val="center"/>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0.06</w:t>
                  </w:r>
                </w:p>
              </w:tc>
              <w:tc>
                <w:tcPr>
                  <w:tcW w:w="1616" w:type="pct"/>
                  <w:shd w:val="clear" w:color="auto" w:fill="auto"/>
                  <w:vAlign w:val="center"/>
                </w:tcPr>
                <w:p w14:paraId="0628B7CE">
                  <w:pPr>
                    <w:keepNext w:val="0"/>
                    <w:keepLines w:val="0"/>
                    <w:widowControl/>
                    <w:suppressLineNumbers w:val="0"/>
                    <w:jc w:val="center"/>
                    <w:textAlignment w:val="center"/>
                    <w:rPr>
                      <w:rFonts w:hint="default"/>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0.006</w:t>
                  </w:r>
                </w:p>
              </w:tc>
            </w:tr>
            <w:tr w14:paraId="586C9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trPr>
              <w:tc>
                <w:tcPr>
                  <w:tcW w:w="1219" w:type="pct"/>
                  <w:shd w:val="clear" w:color="auto" w:fill="auto"/>
                  <w:vAlign w:val="center"/>
                </w:tcPr>
                <w:p w14:paraId="4B0B0650">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无水丙酮</w:t>
                  </w:r>
                </w:p>
              </w:tc>
              <w:tc>
                <w:tcPr>
                  <w:tcW w:w="977" w:type="pct"/>
                  <w:shd w:val="clear" w:color="auto" w:fill="auto"/>
                  <w:vAlign w:val="center"/>
                </w:tcPr>
                <w:p w14:paraId="5BE2F8BF">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10</w:t>
                  </w:r>
                </w:p>
              </w:tc>
              <w:tc>
                <w:tcPr>
                  <w:tcW w:w="1186" w:type="pct"/>
                  <w:shd w:val="clear" w:color="auto" w:fill="auto"/>
                  <w:vAlign w:val="center"/>
                </w:tcPr>
                <w:p w14:paraId="4003E947">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0.25</w:t>
                  </w:r>
                </w:p>
              </w:tc>
              <w:tc>
                <w:tcPr>
                  <w:tcW w:w="1616" w:type="pct"/>
                  <w:shd w:val="clear" w:color="auto" w:fill="auto"/>
                  <w:vAlign w:val="center"/>
                </w:tcPr>
                <w:p w14:paraId="5AA2691A">
                  <w:pPr>
                    <w:keepNext w:val="0"/>
                    <w:keepLines w:val="0"/>
                    <w:widowControl/>
                    <w:suppressLineNumbers w:val="0"/>
                    <w:jc w:val="center"/>
                    <w:textAlignment w:val="center"/>
                    <w:rPr>
                      <w:rFonts w:hint="default"/>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0.025</w:t>
                  </w:r>
                </w:p>
              </w:tc>
            </w:tr>
            <w:tr w14:paraId="7D2AA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trPr>
              <w:tc>
                <w:tcPr>
                  <w:tcW w:w="1219" w:type="pct"/>
                  <w:shd w:val="clear" w:color="auto" w:fill="auto"/>
                  <w:vAlign w:val="center"/>
                </w:tcPr>
                <w:p w14:paraId="1A308EF7">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98%硫酸</w:t>
                  </w:r>
                </w:p>
              </w:tc>
              <w:tc>
                <w:tcPr>
                  <w:tcW w:w="977" w:type="pct"/>
                  <w:shd w:val="clear" w:color="auto" w:fill="auto"/>
                  <w:vAlign w:val="center"/>
                </w:tcPr>
                <w:p w14:paraId="0CC3996D">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10</w:t>
                  </w:r>
                </w:p>
              </w:tc>
              <w:tc>
                <w:tcPr>
                  <w:tcW w:w="1186" w:type="pct"/>
                  <w:shd w:val="clear" w:color="auto" w:fill="auto"/>
                  <w:vAlign w:val="center"/>
                </w:tcPr>
                <w:p w14:paraId="082B9792">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1.96</w:t>
                  </w:r>
                </w:p>
              </w:tc>
              <w:tc>
                <w:tcPr>
                  <w:tcW w:w="1616" w:type="pct"/>
                  <w:shd w:val="clear" w:color="auto" w:fill="auto"/>
                  <w:vAlign w:val="center"/>
                </w:tcPr>
                <w:p w14:paraId="36458BE3">
                  <w:pPr>
                    <w:keepNext w:val="0"/>
                    <w:keepLines w:val="0"/>
                    <w:widowControl/>
                    <w:suppressLineNumbers w:val="0"/>
                    <w:jc w:val="center"/>
                    <w:textAlignment w:val="center"/>
                    <w:rPr>
                      <w:rFonts w:hint="default"/>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0.196</w:t>
                  </w:r>
                </w:p>
              </w:tc>
            </w:tr>
            <w:tr w14:paraId="5690D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trPr>
              <w:tc>
                <w:tcPr>
                  <w:tcW w:w="1219" w:type="pct"/>
                  <w:shd w:val="clear" w:color="auto" w:fill="auto"/>
                  <w:vAlign w:val="center"/>
                </w:tcPr>
                <w:p w14:paraId="56262679">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10%氢氟酸</w:t>
                  </w:r>
                </w:p>
              </w:tc>
              <w:tc>
                <w:tcPr>
                  <w:tcW w:w="977" w:type="pct"/>
                  <w:shd w:val="clear" w:color="auto" w:fill="auto"/>
                  <w:vAlign w:val="center"/>
                </w:tcPr>
                <w:p w14:paraId="690813CF">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w:t>
                  </w:r>
                </w:p>
              </w:tc>
              <w:tc>
                <w:tcPr>
                  <w:tcW w:w="1186" w:type="pct"/>
                  <w:shd w:val="clear" w:color="auto" w:fill="auto"/>
                  <w:vAlign w:val="center"/>
                </w:tcPr>
                <w:p w14:paraId="03775C1C">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0.026</w:t>
                  </w:r>
                </w:p>
              </w:tc>
              <w:tc>
                <w:tcPr>
                  <w:tcW w:w="1616" w:type="pct"/>
                  <w:shd w:val="clear" w:color="auto" w:fill="auto"/>
                  <w:vAlign w:val="center"/>
                </w:tcPr>
                <w:p w14:paraId="211174E2">
                  <w:pPr>
                    <w:keepNext w:val="0"/>
                    <w:keepLines w:val="0"/>
                    <w:widowControl/>
                    <w:suppressLineNumbers w:val="0"/>
                    <w:jc w:val="center"/>
                    <w:textAlignment w:val="center"/>
                    <w:rPr>
                      <w:rFonts w:hint="default"/>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0.026</w:t>
                  </w:r>
                </w:p>
              </w:tc>
            </w:tr>
            <w:tr w14:paraId="3E8EC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trPr>
              <w:tc>
                <w:tcPr>
                  <w:tcW w:w="1219" w:type="pct"/>
                  <w:shd w:val="clear" w:color="auto" w:fill="auto"/>
                  <w:vAlign w:val="center"/>
                </w:tcPr>
                <w:p w14:paraId="5A0DC724">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68%硝酸</w:t>
                  </w:r>
                </w:p>
              </w:tc>
              <w:tc>
                <w:tcPr>
                  <w:tcW w:w="977" w:type="pct"/>
                  <w:shd w:val="clear" w:color="auto" w:fill="auto"/>
                  <w:vAlign w:val="center"/>
                </w:tcPr>
                <w:p w14:paraId="52F18E38">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7.5</w:t>
                  </w:r>
                </w:p>
              </w:tc>
              <w:tc>
                <w:tcPr>
                  <w:tcW w:w="1186" w:type="pct"/>
                  <w:shd w:val="clear" w:color="auto" w:fill="auto"/>
                  <w:vAlign w:val="center"/>
                </w:tcPr>
                <w:p w14:paraId="0DB55171">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0.009</w:t>
                  </w:r>
                </w:p>
              </w:tc>
              <w:tc>
                <w:tcPr>
                  <w:tcW w:w="1616" w:type="pct"/>
                  <w:shd w:val="clear" w:color="auto" w:fill="auto"/>
                  <w:vAlign w:val="center"/>
                </w:tcPr>
                <w:p w14:paraId="05252763">
                  <w:pPr>
                    <w:keepNext w:val="0"/>
                    <w:keepLines w:val="0"/>
                    <w:widowControl/>
                    <w:suppressLineNumbers w:val="0"/>
                    <w:jc w:val="center"/>
                    <w:textAlignment w:val="center"/>
                    <w:rPr>
                      <w:rFonts w:hint="default"/>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0.0012</w:t>
                  </w:r>
                </w:p>
              </w:tc>
            </w:tr>
            <w:tr w14:paraId="63886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trPr>
              <w:tc>
                <w:tcPr>
                  <w:tcW w:w="1219" w:type="pct"/>
                  <w:shd w:val="clear" w:color="auto" w:fill="auto"/>
                  <w:vAlign w:val="center"/>
                </w:tcPr>
                <w:p w14:paraId="152DA7DA">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37%盐酸</w:t>
                  </w:r>
                </w:p>
              </w:tc>
              <w:tc>
                <w:tcPr>
                  <w:tcW w:w="977" w:type="pct"/>
                  <w:shd w:val="clear" w:color="auto" w:fill="auto"/>
                  <w:vAlign w:val="center"/>
                </w:tcPr>
                <w:p w14:paraId="17F1A7BD">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7.5</w:t>
                  </w:r>
                </w:p>
              </w:tc>
              <w:tc>
                <w:tcPr>
                  <w:tcW w:w="1186" w:type="pct"/>
                  <w:shd w:val="clear" w:color="auto" w:fill="auto"/>
                  <w:vAlign w:val="center"/>
                </w:tcPr>
                <w:p w14:paraId="09C737D6">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0.012</w:t>
                  </w:r>
                </w:p>
              </w:tc>
              <w:tc>
                <w:tcPr>
                  <w:tcW w:w="1616" w:type="pct"/>
                  <w:shd w:val="clear" w:color="auto" w:fill="auto"/>
                  <w:vAlign w:val="center"/>
                </w:tcPr>
                <w:p w14:paraId="6615DB78">
                  <w:pPr>
                    <w:keepNext w:val="0"/>
                    <w:keepLines w:val="0"/>
                    <w:widowControl/>
                    <w:suppressLineNumbers w:val="0"/>
                    <w:jc w:val="center"/>
                    <w:textAlignment w:val="center"/>
                    <w:rPr>
                      <w:rFonts w:hint="default"/>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0.0016</w:t>
                  </w:r>
                </w:p>
              </w:tc>
            </w:tr>
            <w:tr w14:paraId="6807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trPr>
              <w:tc>
                <w:tcPr>
                  <w:tcW w:w="1219" w:type="pct"/>
                  <w:shd w:val="clear" w:color="auto" w:fill="auto"/>
                  <w:vAlign w:val="center"/>
                </w:tcPr>
                <w:p w14:paraId="3ACBC089">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100%冰乙酸</w:t>
                  </w:r>
                </w:p>
              </w:tc>
              <w:tc>
                <w:tcPr>
                  <w:tcW w:w="977" w:type="pct"/>
                  <w:shd w:val="clear" w:color="auto" w:fill="auto"/>
                  <w:vAlign w:val="center"/>
                </w:tcPr>
                <w:p w14:paraId="035BFDBC">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10</w:t>
                  </w:r>
                </w:p>
              </w:tc>
              <w:tc>
                <w:tcPr>
                  <w:tcW w:w="1186" w:type="pct"/>
                  <w:shd w:val="clear" w:color="auto" w:fill="auto"/>
                  <w:vAlign w:val="center"/>
                </w:tcPr>
                <w:p w14:paraId="375DCD3C">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0.005</w:t>
                  </w:r>
                </w:p>
              </w:tc>
              <w:tc>
                <w:tcPr>
                  <w:tcW w:w="1616" w:type="pct"/>
                  <w:shd w:val="clear" w:color="auto" w:fill="auto"/>
                  <w:vAlign w:val="center"/>
                </w:tcPr>
                <w:p w14:paraId="3389E49B">
                  <w:pPr>
                    <w:keepNext w:val="0"/>
                    <w:keepLines w:val="0"/>
                    <w:widowControl/>
                    <w:suppressLineNumbers w:val="0"/>
                    <w:jc w:val="center"/>
                    <w:textAlignment w:val="center"/>
                    <w:rPr>
                      <w:rFonts w:hint="default"/>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0.0005</w:t>
                  </w:r>
                </w:p>
              </w:tc>
            </w:tr>
            <w:tr w14:paraId="29132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trPr>
              <w:tc>
                <w:tcPr>
                  <w:tcW w:w="1219" w:type="pct"/>
                  <w:shd w:val="clear" w:color="auto" w:fill="auto"/>
                  <w:vAlign w:val="center"/>
                </w:tcPr>
                <w:p w14:paraId="6A069331">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85%磷酸</w:t>
                  </w:r>
                </w:p>
              </w:tc>
              <w:tc>
                <w:tcPr>
                  <w:tcW w:w="977" w:type="pct"/>
                  <w:shd w:val="clear" w:color="auto" w:fill="auto"/>
                  <w:vAlign w:val="center"/>
                </w:tcPr>
                <w:p w14:paraId="24749472">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10</w:t>
                  </w:r>
                </w:p>
              </w:tc>
              <w:tc>
                <w:tcPr>
                  <w:tcW w:w="1186" w:type="pct"/>
                  <w:shd w:val="clear" w:color="auto" w:fill="auto"/>
                  <w:vAlign w:val="center"/>
                </w:tcPr>
                <w:p w14:paraId="6FCD1F53">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0.014</w:t>
                  </w:r>
                </w:p>
              </w:tc>
              <w:tc>
                <w:tcPr>
                  <w:tcW w:w="1616" w:type="pct"/>
                  <w:shd w:val="clear" w:color="auto" w:fill="auto"/>
                  <w:vAlign w:val="center"/>
                </w:tcPr>
                <w:p w14:paraId="758AC0CE">
                  <w:pPr>
                    <w:keepNext w:val="0"/>
                    <w:keepLines w:val="0"/>
                    <w:widowControl/>
                    <w:suppressLineNumbers w:val="0"/>
                    <w:jc w:val="center"/>
                    <w:textAlignment w:val="center"/>
                    <w:rPr>
                      <w:rFonts w:hint="default"/>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0.0014</w:t>
                  </w:r>
                </w:p>
              </w:tc>
            </w:tr>
            <w:tr w14:paraId="006BD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trPr>
              <w:tc>
                <w:tcPr>
                  <w:tcW w:w="1219" w:type="pct"/>
                  <w:shd w:val="clear" w:color="auto" w:fill="auto"/>
                  <w:vAlign w:val="center"/>
                </w:tcPr>
                <w:p w14:paraId="18BDBAF1">
                  <w:pPr>
                    <w:jc w:val="center"/>
                    <w:rPr>
                      <w:rFonts w:hint="default"/>
                      <w:color w:val="000000" w:themeColor="text1"/>
                      <w:sz w:val="21"/>
                      <w:szCs w:val="21"/>
                      <w:highlight w:val="none"/>
                      <w:lang w:val="en-US" w:eastAsia="zh-CN"/>
                      <w14:textFill>
                        <w14:solidFill>
                          <w14:schemeClr w14:val="tx1"/>
                        </w14:solidFill>
                      </w14:textFill>
                    </w:rPr>
                  </w:pPr>
                  <w:r>
                    <w:rPr>
                      <w:rFonts w:hint="default"/>
                      <w:color w:val="000000" w:themeColor="text1"/>
                      <w:sz w:val="21"/>
                      <w:szCs w:val="21"/>
                      <w:highlight w:val="none"/>
                      <w:lang w:val="en-US" w:eastAsia="zh-CN"/>
                      <w14:textFill>
                        <w14:solidFill>
                          <w14:schemeClr w14:val="tx1"/>
                        </w14:solidFill>
                      </w14:textFill>
                    </w:rPr>
                    <w:t>废切削液、磨削液、冷却液</w:t>
                  </w:r>
                </w:p>
              </w:tc>
              <w:tc>
                <w:tcPr>
                  <w:tcW w:w="977" w:type="pct"/>
                  <w:shd w:val="clear" w:color="auto" w:fill="auto"/>
                  <w:vAlign w:val="center"/>
                </w:tcPr>
                <w:p w14:paraId="11F1CE7F">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2500</w:t>
                  </w:r>
                </w:p>
              </w:tc>
              <w:tc>
                <w:tcPr>
                  <w:tcW w:w="1927" w:type="dxa"/>
                  <w:shd w:val="clear" w:color="auto" w:fill="auto"/>
                  <w:vAlign w:val="center"/>
                </w:tcPr>
                <w:p w14:paraId="44F729ED">
                  <w:pPr>
                    <w:keepNext w:val="0"/>
                    <w:keepLines w:val="0"/>
                    <w:widowControl/>
                    <w:suppressLineNumbers w:val="0"/>
                    <w:jc w:val="center"/>
                    <w:textAlignment w:val="center"/>
                    <w:rPr>
                      <w:rFonts w:hint="default"/>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4.155</w:t>
                  </w:r>
                </w:p>
              </w:tc>
              <w:tc>
                <w:tcPr>
                  <w:tcW w:w="2625" w:type="dxa"/>
                  <w:shd w:val="clear" w:color="auto" w:fill="auto"/>
                  <w:vAlign w:val="center"/>
                </w:tcPr>
                <w:p w14:paraId="7552B275">
                  <w:pPr>
                    <w:keepNext w:val="0"/>
                    <w:keepLines w:val="0"/>
                    <w:widowControl/>
                    <w:suppressLineNumbers w:val="0"/>
                    <w:jc w:val="center"/>
                    <w:textAlignment w:val="center"/>
                    <w:rPr>
                      <w:rFonts w:hint="default"/>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0.00166 </w:t>
                  </w:r>
                </w:p>
              </w:tc>
            </w:tr>
            <w:tr w14:paraId="41518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trPr>
              <w:tc>
                <w:tcPr>
                  <w:tcW w:w="1219" w:type="pct"/>
                  <w:shd w:val="clear" w:color="auto" w:fill="auto"/>
                  <w:vAlign w:val="center"/>
                </w:tcPr>
                <w:p w14:paraId="6CD4819D">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废液</w:t>
                  </w:r>
                </w:p>
              </w:tc>
              <w:tc>
                <w:tcPr>
                  <w:tcW w:w="977" w:type="pct"/>
                  <w:shd w:val="clear" w:color="auto" w:fill="auto"/>
                  <w:vAlign w:val="center"/>
                </w:tcPr>
                <w:p w14:paraId="0301343D">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50</w:t>
                  </w:r>
                </w:p>
              </w:tc>
              <w:tc>
                <w:tcPr>
                  <w:tcW w:w="1927" w:type="dxa"/>
                  <w:shd w:val="clear" w:color="auto" w:fill="auto"/>
                  <w:vAlign w:val="center"/>
                </w:tcPr>
                <w:p w14:paraId="4B36D39F">
                  <w:pPr>
                    <w:keepNext w:val="0"/>
                    <w:keepLines w:val="0"/>
                    <w:widowControl/>
                    <w:suppressLineNumbers w:val="0"/>
                    <w:jc w:val="center"/>
                    <w:textAlignment w:val="center"/>
                    <w:rPr>
                      <w:rFonts w:hint="default"/>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36</w:t>
                  </w:r>
                </w:p>
              </w:tc>
              <w:tc>
                <w:tcPr>
                  <w:tcW w:w="2625" w:type="dxa"/>
                  <w:shd w:val="clear" w:color="auto" w:fill="auto"/>
                  <w:vAlign w:val="center"/>
                </w:tcPr>
                <w:p w14:paraId="3636E353">
                  <w:pPr>
                    <w:keepNext w:val="0"/>
                    <w:keepLines w:val="0"/>
                    <w:widowControl/>
                    <w:suppressLineNumbers w:val="0"/>
                    <w:jc w:val="center"/>
                    <w:textAlignment w:val="center"/>
                    <w:rPr>
                      <w:rFonts w:hint="eastAsia"/>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 xml:space="preserve">0.7200 </w:t>
                  </w:r>
                </w:p>
              </w:tc>
            </w:tr>
            <w:tr w14:paraId="2145D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trPr>
              <w:tc>
                <w:tcPr>
                  <w:tcW w:w="3383" w:type="pct"/>
                  <w:gridSpan w:val="3"/>
                  <w:shd w:val="clear" w:color="auto" w:fill="auto"/>
                  <w:vAlign w:val="center"/>
                </w:tcPr>
                <w:p w14:paraId="55717EC4">
                  <w:pPr>
                    <w:pStyle w:val="36"/>
                    <w:autoSpaceDE/>
                    <w:autoSpaceDN/>
                    <w:spacing w:before="0"/>
                    <w:ind w:left="0"/>
                    <w:jc w:val="center"/>
                    <w:rPr>
                      <w:rFonts w:ascii="Times New Roman" w:hAnsi="Times New Roman" w:cs="Times New Roman"/>
                      <w:color w:val="000000" w:themeColor="text1"/>
                      <w:kern w:val="2"/>
                      <w:sz w:val="21"/>
                      <w:szCs w:val="21"/>
                      <w:highlight w:val="none"/>
                      <w14:textFill>
                        <w14:solidFill>
                          <w14:schemeClr w14:val="tx1"/>
                        </w14:solidFill>
                      </w14:textFill>
                    </w:rPr>
                  </w:pPr>
                  <w:r>
                    <w:rPr>
                      <w:rFonts w:ascii="Times New Roman" w:hAnsi="Times New Roman" w:cs="Times New Roman"/>
                      <w:color w:val="000000" w:themeColor="text1"/>
                      <w:kern w:val="2"/>
                      <w:sz w:val="21"/>
                      <w:szCs w:val="21"/>
                      <w:highlight w:val="none"/>
                      <w14:textFill>
                        <w14:solidFill>
                          <w14:schemeClr w14:val="tx1"/>
                        </w14:solidFill>
                      </w14:textFill>
                    </w:rPr>
                    <w:t>合计</w:t>
                  </w:r>
                </w:p>
              </w:tc>
              <w:tc>
                <w:tcPr>
                  <w:tcW w:w="1616" w:type="pct"/>
                  <w:shd w:val="clear" w:color="auto" w:fill="auto"/>
                  <w:vAlign w:val="center"/>
                </w:tcPr>
                <w:p w14:paraId="0B8365E0">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0.9805</w:t>
                  </w:r>
                </w:p>
              </w:tc>
            </w:tr>
          </w:tbl>
          <w:p w14:paraId="77C4FD24">
            <w:pPr>
              <w:pStyle w:val="66"/>
              <w:ind w:firstLine="420"/>
              <w:rPr>
                <w:rFonts w:hint="default" w:ascii="Times New Roman" w:hAnsi="Times New Roman" w:eastAsia="宋体" w:cs="Times New Roman"/>
                <w:color w:val="000000" w:themeColor="text1"/>
                <w:sz w:val="24"/>
                <w:szCs w:val="18"/>
                <w:highlight w:val="none"/>
                <w14:textFill>
                  <w14:solidFill>
                    <w14:schemeClr w14:val="tx1"/>
                  </w14:solidFill>
                </w14:textFill>
              </w:rPr>
            </w:pPr>
            <w:r>
              <w:rPr>
                <w:rFonts w:hint="default" w:ascii="Times New Roman" w:hAnsi="Times New Roman" w:eastAsia="宋体" w:cs="Times New Roman"/>
                <w:color w:val="000000" w:themeColor="text1"/>
                <w:sz w:val="24"/>
                <w:szCs w:val="18"/>
                <w:highlight w:val="none"/>
                <w14:textFill>
                  <w14:solidFill>
                    <w14:schemeClr w14:val="tx1"/>
                  </w14:solidFill>
                </w14:textFill>
              </w:rPr>
              <w:t>经计算可知，本项目Q&lt;1，该项目环境风险潜势为</w:t>
            </w:r>
            <w:r>
              <w:rPr>
                <w:rFonts w:hint="eastAsia" w:ascii="Times New Roman" w:hAnsi="Times New Roman" w:eastAsia="宋体" w:cs="Times New Roman"/>
                <w:color w:val="000000" w:themeColor="text1"/>
                <w:sz w:val="24"/>
                <w:szCs w:val="18"/>
                <w:highlight w:val="none"/>
                <w:lang w:val="en-US" w:eastAsia="zh-CN"/>
                <w14:textFill>
                  <w14:solidFill>
                    <w14:schemeClr w14:val="tx1"/>
                  </w14:solidFill>
                </w14:textFill>
              </w:rPr>
              <w:t>Ⅰ</w:t>
            </w:r>
            <w:r>
              <w:rPr>
                <w:rFonts w:hint="default" w:ascii="Times New Roman" w:hAnsi="Times New Roman" w:eastAsia="宋体" w:cs="Times New Roman"/>
                <w:color w:val="000000" w:themeColor="text1"/>
                <w:sz w:val="24"/>
                <w:szCs w:val="18"/>
                <w:highlight w:val="none"/>
                <w14:textFill>
                  <w14:solidFill>
                    <w14:schemeClr w14:val="tx1"/>
                  </w14:solidFill>
                </w14:textFill>
              </w:rPr>
              <w:t>，不涉及重大风险源。因此本评价仅</w:t>
            </w:r>
            <w:r>
              <w:rPr>
                <w:rFonts w:hint="eastAsia" w:cs="Times New Roman"/>
                <w:color w:val="000000" w:themeColor="text1"/>
                <w:sz w:val="24"/>
                <w:szCs w:val="18"/>
                <w:highlight w:val="none"/>
                <w:lang w:eastAsia="zh-CN"/>
                <w14:textFill>
                  <w14:solidFill>
                    <w14:schemeClr w14:val="tx1"/>
                  </w14:solidFill>
                </w14:textFill>
              </w:rPr>
              <w:t>做</w:t>
            </w:r>
            <w:r>
              <w:rPr>
                <w:rFonts w:hint="default" w:ascii="Times New Roman" w:hAnsi="Times New Roman" w:eastAsia="宋体" w:cs="Times New Roman"/>
                <w:color w:val="000000" w:themeColor="text1"/>
                <w:sz w:val="24"/>
                <w:szCs w:val="18"/>
                <w:highlight w:val="none"/>
                <w14:textFill>
                  <w14:solidFill>
                    <w14:schemeClr w14:val="tx1"/>
                  </w14:solidFill>
                </w14:textFill>
              </w:rPr>
              <w:t>简单分析。</w:t>
            </w:r>
          </w:p>
          <w:p w14:paraId="7A603CE1">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4.7.2项目风险识别</w:t>
            </w:r>
          </w:p>
          <w:p w14:paraId="6D6838E5">
            <w:pPr>
              <w:pStyle w:val="66"/>
              <w:ind w:firstLine="420"/>
              <w:rPr>
                <w:rFonts w:hint="default" w:ascii="Times New Roman" w:hAnsi="Times New Roman" w:cs="Times New Roman"/>
                <w:color w:val="000000" w:themeColor="text1"/>
                <w:sz w:val="24"/>
                <w:szCs w:val="18"/>
                <w:highlight w:val="none"/>
                <w14:textFill>
                  <w14:solidFill>
                    <w14:schemeClr w14:val="tx1"/>
                  </w14:solidFill>
                </w14:textFill>
              </w:rPr>
            </w:pPr>
            <w:r>
              <w:rPr>
                <w:rFonts w:hint="default" w:ascii="Times New Roman" w:hAnsi="Times New Roman" w:cs="Times New Roman"/>
                <w:color w:val="000000" w:themeColor="text1"/>
                <w:sz w:val="24"/>
                <w:szCs w:val="18"/>
                <w:highlight w:val="none"/>
                <w14:textFill>
                  <w14:solidFill>
                    <w14:schemeClr w14:val="tx1"/>
                  </w14:solidFill>
                </w14:textFill>
              </w:rPr>
              <w:t>通过对项目危险物质、行业及生产工艺、生产设备的识别结果，按照《建设项目环境风险评价技术导则》(HJ169-2018)附录B，评价给出风险识别结果见下表。</w:t>
            </w:r>
          </w:p>
          <w:p w14:paraId="674810FC">
            <w:pPr>
              <w:pStyle w:val="83"/>
              <w:spacing w:line="360" w:lineRule="auto"/>
              <w:rPr>
                <w:rFonts w:hint="eastAsia" w:ascii="Times New Roman" w:hAnsi="Times New Roman" w:eastAsia="宋体" w:cs="宋体"/>
                <w:b/>
                <w:bCs w:val="0"/>
                <w:color w:val="000000" w:themeColor="text1"/>
                <w:kern w:val="2"/>
                <w:sz w:val="24"/>
                <w:szCs w:val="24"/>
                <w:highlight w:val="none"/>
                <w:lang w:val="en-US" w:eastAsia="zh-CN" w:bidi="ar-SA"/>
                <w14:textFill>
                  <w14:solidFill>
                    <w14:schemeClr w14:val="tx1"/>
                  </w14:solidFill>
                </w14:textFill>
              </w:rPr>
            </w:pPr>
            <w:r>
              <w:rPr>
                <w:rFonts w:hint="eastAsia" w:hAnsi="Times New Roman" w:eastAsia="宋体" w:cs="宋体"/>
                <w:b/>
                <w:bCs w:val="0"/>
                <w:color w:val="000000" w:themeColor="text1"/>
                <w:kern w:val="2"/>
                <w:sz w:val="24"/>
                <w:szCs w:val="24"/>
                <w:highlight w:val="none"/>
                <w:lang w:val="en-US" w:eastAsia="zh-CN" w:bidi="ar-SA"/>
                <w14:textFill>
                  <w14:solidFill>
                    <w14:schemeClr w14:val="tx1"/>
                  </w14:solidFill>
                </w14:textFill>
              </w:rPr>
              <w:t>表4.7-2</w:t>
            </w:r>
            <w:r>
              <w:rPr>
                <w:rFonts w:hint="eastAsia" w:ascii="Times New Roman" w:hAnsi="Times New Roman" w:eastAsia="宋体" w:cs="宋体"/>
                <w:b/>
                <w:bCs w:val="0"/>
                <w:color w:val="000000" w:themeColor="text1"/>
                <w:kern w:val="2"/>
                <w:sz w:val="24"/>
                <w:szCs w:val="24"/>
                <w:highlight w:val="none"/>
                <w:lang w:val="en-US" w:eastAsia="zh-CN" w:bidi="ar-SA"/>
                <w14:textFill>
                  <w14:solidFill>
                    <w14:schemeClr w14:val="tx1"/>
                  </w14:solidFill>
                </w14:textFill>
              </w:rPr>
              <w:t xml:space="preserve">  本项目环境风险源分布及影响途径一览表</w:t>
            </w:r>
          </w:p>
          <w:tbl>
            <w:tblPr>
              <w:tblStyle w:val="30"/>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535"/>
              <w:gridCol w:w="1194"/>
              <w:gridCol w:w="3420"/>
              <w:gridCol w:w="1969"/>
            </w:tblGrid>
            <w:tr w14:paraId="4F79C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 w:hRule="atLeast"/>
                <w:jc w:val="center"/>
              </w:trPr>
              <w:tc>
                <w:tcPr>
                  <w:tcW w:w="1562" w:type="dxa"/>
                  <w:tcBorders>
                    <w:tl2br w:val="nil"/>
                    <w:tr2bl w:val="nil"/>
                  </w:tcBorders>
                  <w:shd w:val="clear" w:color="auto" w:fill="auto"/>
                  <w:vAlign w:val="center"/>
                </w:tcPr>
                <w:p w14:paraId="5ECC5EF8">
                  <w:pPr>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潜在事故类型</w:t>
                  </w:r>
                </w:p>
              </w:tc>
              <w:tc>
                <w:tcPr>
                  <w:tcW w:w="1215" w:type="dxa"/>
                  <w:tcBorders>
                    <w:tl2br w:val="nil"/>
                    <w:tr2bl w:val="nil"/>
                  </w:tcBorders>
                  <w:shd w:val="clear" w:color="auto" w:fill="auto"/>
                  <w:vAlign w:val="center"/>
                </w:tcPr>
                <w:p w14:paraId="5EFF07AE">
                  <w:pPr>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事故原因</w:t>
                  </w:r>
                </w:p>
              </w:tc>
              <w:tc>
                <w:tcPr>
                  <w:tcW w:w="3480" w:type="dxa"/>
                  <w:tcBorders>
                    <w:tl2br w:val="nil"/>
                    <w:tr2bl w:val="nil"/>
                  </w:tcBorders>
                  <w:shd w:val="clear" w:color="auto" w:fill="auto"/>
                  <w:vAlign w:val="center"/>
                </w:tcPr>
                <w:p w14:paraId="0A8BCBDE">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危险物质向环境转移的可能途径</w:t>
                  </w:r>
                </w:p>
              </w:tc>
              <w:tc>
                <w:tcPr>
                  <w:tcW w:w="2003" w:type="dxa"/>
                  <w:tcBorders>
                    <w:tl2br w:val="nil"/>
                    <w:tr2bl w:val="nil"/>
                  </w:tcBorders>
                  <w:shd w:val="clear" w:color="auto" w:fill="auto"/>
                  <w:vAlign w:val="center"/>
                </w:tcPr>
                <w:p w14:paraId="197E6420">
                  <w:pPr>
                    <w:keepNext w:val="0"/>
                    <w:keepLines w:val="0"/>
                    <w:widowControl/>
                    <w:suppressLineNumbers w:val="0"/>
                    <w:jc w:val="center"/>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影响程度</w:t>
                  </w:r>
                </w:p>
              </w:tc>
            </w:tr>
            <w:tr w14:paraId="73F59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562" w:type="dxa"/>
                  <w:tcBorders>
                    <w:tl2br w:val="nil"/>
                    <w:tr2bl w:val="nil"/>
                  </w:tcBorders>
                  <w:shd w:val="clear" w:color="auto" w:fill="auto"/>
                  <w:vAlign w:val="center"/>
                </w:tcPr>
                <w:p w14:paraId="096DBCDD">
                  <w:pPr>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化学品试剂泄漏</w:t>
                  </w:r>
                </w:p>
              </w:tc>
              <w:tc>
                <w:tcPr>
                  <w:tcW w:w="1215" w:type="dxa"/>
                  <w:tcBorders>
                    <w:tl2br w:val="nil"/>
                    <w:tr2bl w:val="nil"/>
                  </w:tcBorders>
                  <w:shd w:val="clear" w:color="auto" w:fill="auto"/>
                  <w:vAlign w:val="center"/>
                </w:tcPr>
                <w:p w14:paraId="3845B9C6">
                  <w:pPr>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包装桶破裂</w:t>
                  </w:r>
                </w:p>
              </w:tc>
              <w:tc>
                <w:tcPr>
                  <w:tcW w:w="3480" w:type="dxa"/>
                  <w:tcBorders>
                    <w:tl2br w:val="nil"/>
                    <w:tr2bl w:val="nil"/>
                  </w:tcBorders>
                  <w:shd w:val="clear" w:color="auto" w:fill="auto"/>
                  <w:vAlign w:val="center"/>
                </w:tcPr>
                <w:p w14:paraId="4C31CE1B">
                  <w:pPr>
                    <w:keepNext w:val="0"/>
                    <w:keepLines w:val="0"/>
                    <w:widowControl/>
                    <w:suppressLineNumbers w:val="0"/>
                    <w:jc w:val="both"/>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渗入土壤及排入周边水体</w:t>
                  </w:r>
                </w:p>
              </w:tc>
              <w:tc>
                <w:tcPr>
                  <w:tcW w:w="2003" w:type="dxa"/>
                  <w:tcBorders>
                    <w:tl2br w:val="nil"/>
                    <w:tr2bl w:val="nil"/>
                  </w:tcBorders>
                  <w:shd w:val="clear" w:color="auto" w:fill="auto"/>
                  <w:vAlign w:val="center"/>
                </w:tcPr>
                <w:p w14:paraId="619BFB5A">
                  <w:pPr>
                    <w:keepNext w:val="0"/>
                    <w:keepLines w:val="0"/>
                    <w:widowControl/>
                    <w:suppressLineNumbers w:val="0"/>
                    <w:jc w:val="both"/>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对周边地下水及周边水域可能造成严重影响</w:t>
                  </w:r>
                </w:p>
              </w:tc>
            </w:tr>
            <w:tr w14:paraId="3B545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562" w:type="dxa"/>
                  <w:tcBorders>
                    <w:tl2br w:val="nil"/>
                    <w:tr2bl w:val="nil"/>
                  </w:tcBorders>
                  <w:shd w:val="clear" w:color="auto" w:fill="auto"/>
                  <w:vAlign w:val="center"/>
                </w:tcPr>
                <w:p w14:paraId="0E5CC60D">
                  <w:pPr>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火灾事故</w:t>
                  </w:r>
                </w:p>
              </w:tc>
              <w:tc>
                <w:tcPr>
                  <w:tcW w:w="1215" w:type="dxa"/>
                  <w:tcBorders>
                    <w:tl2br w:val="nil"/>
                    <w:tr2bl w:val="nil"/>
                  </w:tcBorders>
                  <w:shd w:val="clear" w:color="auto" w:fill="auto"/>
                  <w:vAlign w:val="center"/>
                </w:tcPr>
                <w:p w14:paraId="0D9CD4E0">
                  <w:pPr>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物料遇明火燃烧</w:t>
                  </w:r>
                </w:p>
              </w:tc>
              <w:tc>
                <w:tcPr>
                  <w:tcW w:w="3480" w:type="dxa"/>
                  <w:tcBorders>
                    <w:tl2br w:val="nil"/>
                    <w:tr2bl w:val="nil"/>
                  </w:tcBorders>
                  <w:shd w:val="clear" w:color="auto" w:fill="auto"/>
                  <w:vAlign w:val="center"/>
                </w:tcPr>
                <w:p w14:paraId="1CB15F22">
                  <w:pPr>
                    <w:keepNext w:val="0"/>
                    <w:keepLines w:val="0"/>
                    <w:widowControl/>
                    <w:suppressLineNumbers w:val="0"/>
                    <w:jc w:val="both"/>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燃烧产物主要为</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CO</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CO</w:t>
                  </w:r>
                  <w:r>
                    <w:rPr>
                      <w:rFonts w:hint="default" w:ascii="Times New Roman" w:hAnsi="Times New Roman" w:eastAsia="宋体" w:cs="Times New Roman"/>
                      <w:i w:val="0"/>
                      <w:iCs w:val="0"/>
                      <w:color w:val="000000" w:themeColor="text1"/>
                      <w:kern w:val="0"/>
                      <w:sz w:val="21"/>
                      <w:szCs w:val="21"/>
                      <w:highlight w:val="none"/>
                      <w:u w:val="none"/>
                      <w:vertAlign w:val="subscript"/>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和水蒸气，扩散进入大气环境；发生火灾事故后消防事故水进入周边水体。</w:t>
                  </w:r>
                </w:p>
              </w:tc>
              <w:tc>
                <w:tcPr>
                  <w:tcW w:w="2003" w:type="dxa"/>
                  <w:tcBorders>
                    <w:tl2br w:val="nil"/>
                    <w:tr2bl w:val="nil"/>
                  </w:tcBorders>
                  <w:shd w:val="clear" w:color="auto" w:fill="auto"/>
                  <w:vAlign w:val="center"/>
                </w:tcPr>
                <w:p w14:paraId="4CA4B17E">
                  <w:pPr>
                    <w:keepNext w:val="0"/>
                    <w:keepLines w:val="0"/>
                    <w:widowControl/>
                    <w:suppressLineNumbers w:val="0"/>
                    <w:jc w:val="both"/>
                    <w:textAlignment w:val="top"/>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对周边水、大气环境产生影响</w:t>
                  </w:r>
                </w:p>
              </w:tc>
            </w:tr>
          </w:tbl>
          <w:p w14:paraId="3839BE54">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4.7.3环境风险分析</w:t>
            </w:r>
          </w:p>
          <w:p w14:paraId="2704CF80">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（1）危险化学品泄漏影响分析</w:t>
            </w:r>
          </w:p>
          <w:p w14:paraId="0A51446D">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本项目若因储存不当或人员操作失误等原因，导致化学品泄漏并未及时收集处置，遇到降雨，危险化学品可能通过场区的雨水排放排入周边的地表水体，可能会对地表水环境及水生生态环境造成不利影响。</w:t>
            </w:r>
          </w:p>
          <w:p w14:paraId="7DA0E4BE">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（2）危险废物在收集、贮存、运送过程中的风险分析</w:t>
            </w:r>
          </w:p>
          <w:p w14:paraId="6242446D">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①危险废物贮存库泄漏事故</w:t>
            </w:r>
          </w:p>
          <w:p w14:paraId="42817F77">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本项目危险废物在收集、贮存、运输过程中，存在流失风险。危险废物中存在化学污染物等有害物质。如果不经分类收集等有效处理，或流失且不经及时处置，其携带的污染物经雨水和生物降解产生渗滤液，会对地表水和地下水造成影响。</w:t>
            </w:r>
          </w:p>
          <w:p w14:paraId="1CA625C4">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②危险废物的贮存和运送</w:t>
            </w:r>
          </w:p>
          <w:p w14:paraId="5FEB43A3">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本项目的贮存和运送都纳入危险废物的管理，禁止将其在非收集、非暂时贮存地点倾倒、堆放，禁止将危险废物混入其他废物和生活垃圾，禁止在内部运送过程中丢弃危险废物。</w:t>
            </w:r>
          </w:p>
          <w:p w14:paraId="7AFBDF79">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4.7.4环境风险防范措施</w:t>
            </w:r>
          </w:p>
          <w:p w14:paraId="7D750158">
            <w:pPr>
              <w:pStyle w:val="66"/>
              <w:rPr>
                <w:rFonts w:hint="eastAsia" w:ascii="Times New Roman" w:hAnsi="Times New Roman" w:cs="Times New Roman"/>
                <w:b/>
                <w:bCs/>
                <w:color w:val="000000" w:themeColor="text1"/>
                <w:sz w:val="24"/>
                <w:szCs w:val="18"/>
                <w:highlight w:val="none"/>
                <w:lang w:eastAsia="zh-CN"/>
                <w14:textFill>
                  <w14:solidFill>
                    <w14:schemeClr w14:val="tx1"/>
                  </w14:solidFill>
                </w14:textFill>
              </w:rPr>
            </w:pPr>
            <w:r>
              <w:rPr>
                <w:rFonts w:hint="eastAsia" w:cs="Times New Roman"/>
                <w:b/>
                <w:bCs/>
                <w:color w:val="000000" w:themeColor="text1"/>
                <w:sz w:val="24"/>
                <w:szCs w:val="18"/>
                <w:highlight w:val="none"/>
                <w:lang w:val="en-US" w:eastAsia="zh-CN"/>
                <w14:textFill>
                  <w14:solidFill>
                    <w14:schemeClr w14:val="tx1"/>
                  </w14:solidFill>
                </w14:textFill>
              </w:rPr>
              <w:t>一、</w:t>
            </w:r>
            <w:r>
              <w:rPr>
                <w:rFonts w:hint="eastAsia" w:ascii="Times New Roman" w:hAnsi="Times New Roman" w:cs="Times New Roman"/>
                <w:b/>
                <w:bCs/>
                <w:color w:val="000000" w:themeColor="text1"/>
                <w:sz w:val="24"/>
                <w:szCs w:val="18"/>
                <w:highlight w:val="none"/>
                <w:lang w:eastAsia="zh-CN"/>
                <w14:textFill>
                  <w14:solidFill>
                    <w14:schemeClr w14:val="tx1"/>
                  </w14:solidFill>
                </w14:textFill>
              </w:rPr>
              <w:t>危险化学品</w:t>
            </w:r>
            <w:r>
              <w:rPr>
                <w:rFonts w:hint="eastAsia" w:cs="Times New Roman"/>
                <w:b/>
                <w:bCs/>
                <w:color w:val="000000" w:themeColor="text1"/>
                <w:sz w:val="24"/>
                <w:szCs w:val="18"/>
                <w:highlight w:val="none"/>
                <w:lang w:val="en-US" w:eastAsia="zh-CN"/>
                <w14:textFill>
                  <w14:solidFill>
                    <w14:schemeClr w14:val="tx1"/>
                  </w14:solidFill>
                </w14:textFill>
              </w:rPr>
              <w:t>环境风险</w:t>
            </w:r>
            <w:r>
              <w:rPr>
                <w:rFonts w:hint="eastAsia" w:ascii="Times New Roman" w:hAnsi="Times New Roman" w:cs="Times New Roman"/>
                <w:b/>
                <w:bCs/>
                <w:color w:val="000000" w:themeColor="text1"/>
                <w:sz w:val="24"/>
                <w:szCs w:val="18"/>
                <w:highlight w:val="none"/>
                <w:lang w:eastAsia="zh-CN"/>
                <w14:textFill>
                  <w14:solidFill>
                    <w14:schemeClr w14:val="tx1"/>
                  </w14:solidFill>
                </w14:textFill>
              </w:rPr>
              <w:t>防范措施</w:t>
            </w:r>
          </w:p>
          <w:p w14:paraId="27157AE3">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（1）</w:t>
            </w:r>
            <w:r>
              <w:rPr>
                <w:rFonts w:hint="eastAsia" w:ascii="Times New Roman" w:hAnsi="Times New Roman" w:cs="Times New Roman"/>
                <w:color w:val="000000" w:themeColor="text1"/>
                <w:sz w:val="24"/>
                <w:szCs w:val="18"/>
                <w:highlight w:val="none"/>
                <w:lang w:eastAsia="zh-CN"/>
                <w14:textFill>
                  <w14:solidFill>
                    <w14:schemeClr w14:val="tx1"/>
                  </w14:solidFill>
                </w14:textFill>
              </w:rPr>
              <w:t>危险化学品贮存、使用严格执行《危险化学品安全管理条例》，制定专项操作规程，对涉危化品作业职工开展岗前专项培训，考核合格后方可上岗。</w:t>
            </w:r>
          </w:p>
          <w:p w14:paraId="5BFBDC68">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（2）</w:t>
            </w:r>
            <w:r>
              <w:rPr>
                <w:rFonts w:hint="eastAsia" w:ascii="Times New Roman" w:hAnsi="Times New Roman" w:cs="Times New Roman"/>
                <w:color w:val="000000" w:themeColor="text1"/>
                <w:sz w:val="24"/>
                <w:szCs w:val="18"/>
                <w:highlight w:val="none"/>
                <w:lang w:eastAsia="zh-CN"/>
                <w14:textFill>
                  <w14:solidFill>
                    <w14:schemeClr w14:val="tx1"/>
                  </w14:solidFill>
                </w14:textFill>
              </w:rPr>
              <w:t>厂区及危化品储存区（化学品仓、设备后机房等）严禁烟火，严格执行动火审批制度；储存区配备沙袋、吸油毡等堵漏材料，设置防爆型照明、通风设施，禁止使用易产生火花的机械设备和工具。</w:t>
            </w:r>
          </w:p>
          <w:p w14:paraId="0278B257">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（3）</w:t>
            </w:r>
            <w:r>
              <w:rPr>
                <w:rFonts w:hint="eastAsia" w:ascii="Times New Roman" w:hAnsi="Times New Roman" w:cs="Times New Roman"/>
                <w:color w:val="000000" w:themeColor="text1"/>
                <w:sz w:val="24"/>
                <w:szCs w:val="18"/>
                <w:highlight w:val="none"/>
                <w:lang w:eastAsia="zh-CN"/>
                <w14:textFill>
                  <w14:solidFill>
                    <w14:schemeClr w14:val="tx1"/>
                  </w14:solidFill>
                </w14:textFill>
              </w:rPr>
              <w:t>危化品采用桶、瓶等密封性良好的专用储存容器，放置时做好防破损防护；在满足生产需求的前提下，尽可能减少有机易燃类危化品的贮存量，建立原料日常保管、使用台账，落实专人管理。</w:t>
            </w:r>
          </w:p>
          <w:p w14:paraId="14007FA1">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（4）</w:t>
            </w:r>
            <w:r>
              <w:rPr>
                <w:rFonts w:hint="eastAsia" w:ascii="Times New Roman" w:hAnsi="Times New Roman" w:cs="Times New Roman"/>
                <w:color w:val="000000" w:themeColor="text1"/>
                <w:sz w:val="24"/>
                <w:szCs w:val="18"/>
                <w:highlight w:val="none"/>
                <w:lang w:eastAsia="zh-CN"/>
                <w14:textFill>
                  <w14:solidFill>
                    <w14:schemeClr w14:val="tx1"/>
                  </w14:solidFill>
                </w14:textFill>
              </w:rPr>
              <w:t>危化品存放位置地面采取重点防渗处理，厂区规划专用消防通道，储存区周边设置明显安全警示标识，做好防渗漏、防鼠等防护措施。</w:t>
            </w:r>
          </w:p>
          <w:p w14:paraId="5E167D77">
            <w:pPr>
              <w:pStyle w:val="66"/>
              <w:ind w:firstLine="420"/>
              <w:rPr>
                <w:rFonts w:hint="eastAsia"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eastAsia="zh-CN"/>
                <w14:textFill>
                  <w14:solidFill>
                    <w14:schemeClr w14:val="tx1"/>
                  </w14:solidFill>
                </w14:textFill>
              </w:rPr>
              <w:t>（</w:t>
            </w:r>
            <w:r>
              <w:rPr>
                <w:rFonts w:hint="eastAsia" w:cs="Times New Roman"/>
                <w:color w:val="000000" w:themeColor="text1"/>
                <w:sz w:val="24"/>
                <w:szCs w:val="18"/>
                <w:highlight w:val="none"/>
                <w:lang w:val="en-US" w:eastAsia="zh-CN"/>
                <w14:textFill>
                  <w14:solidFill>
                    <w14:schemeClr w14:val="tx1"/>
                  </w14:solidFill>
                </w14:textFill>
              </w:rPr>
              <w:t>5</w:t>
            </w:r>
            <w:r>
              <w:rPr>
                <w:rFonts w:hint="eastAsia" w:cs="Times New Roman"/>
                <w:color w:val="000000" w:themeColor="text1"/>
                <w:sz w:val="24"/>
                <w:szCs w:val="18"/>
                <w:highlight w:val="none"/>
                <w:lang w:eastAsia="zh-CN"/>
                <w14:textFill>
                  <w14:solidFill>
                    <w14:schemeClr w14:val="tx1"/>
                  </w14:solidFill>
                </w14:textFill>
              </w:rPr>
              <w:t>）为从源头杜绝泄漏扩散风险，针对项目液态化学品、危险废物废液全部配套耐腐蚀防泄漏托盘，具体要求如下：</w:t>
            </w:r>
          </w:p>
          <w:p w14:paraId="553F81A1">
            <w:pPr>
              <w:pStyle w:val="66"/>
              <w:ind w:firstLine="420"/>
              <w:rPr>
                <w:rFonts w:hint="eastAsia" w:cs="Times New Roman"/>
                <w:color w:val="000000" w:themeColor="text1"/>
                <w:sz w:val="24"/>
                <w:szCs w:val="18"/>
                <w:highlight w:val="none"/>
                <w:lang w:eastAsia="zh-CN"/>
                <w14:textFill>
                  <w14:solidFill>
                    <w14:schemeClr w14:val="tx1"/>
                  </w14:solidFill>
                </w14:textFill>
              </w:rPr>
            </w:pPr>
            <w:r>
              <w:rPr>
                <w:rFonts w:hint="default" w:cs="Times New Roman"/>
                <w:color w:val="000000" w:themeColor="text1"/>
                <w:sz w:val="24"/>
                <w:szCs w:val="18"/>
                <w:highlight w:val="none"/>
                <w:lang w:eastAsia="zh-CN"/>
                <w14:textFill>
                  <w14:solidFill>
                    <w14:schemeClr w14:val="tx1"/>
                  </w14:solidFill>
                </w14:textFill>
              </w:rPr>
              <w:t>①</w:t>
            </w:r>
            <w:r>
              <w:rPr>
                <w:rFonts w:hint="eastAsia" w:cs="Times New Roman"/>
                <w:color w:val="000000" w:themeColor="text1"/>
                <w:sz w:val="24"/>
                <w:szCs w:val="18"/>
                <w:highlight w:val="none"/>
                <w:lang w:val="en-US" w:eastAsia="zh-CN"/>
                <w14:textFill>
                  <w14:solidFill>
                    <w14:schemeClr w14:val="tx1"/>
                  </w14:solidFill>
                </w14:textFill>
              </w:rPr>
              <w:t>材质：</w:t>
            </w:r>
            <w:r>
              <w:rPr>
                <w:rFonts w:hint="eastAsia" w:cs="Times New Roman"/>
                <w:color w:val="000000" w:themeColor="text1"/>
                <w:sz w:val="24"/>
                <w:szCs w:val="18"/>
                <w:highlight w:val="none"/>
                <w:lang w:eastAsia="zh-CN"/>
                <w14:textFill>
                  <w14:solidFill>
                    <w14:schemeClr w14:val="tx1"/>
                  </w14:solidFill>
                </w14:textFill>
              </w:rPr>
              <w:t>采用PP/PVC耐酸碱防腐材质，适配强酸、强碱、有机溶剂腐蚀环境；</w:t>
            </w:r>
          </w:p>
          <w:p w14:paraId="530EAFFB">
            <w:pPr>
              <w:pStyle w:val="66"/>
              <w:ind w:firstLine="420"/>
              <w:rPr>
                <w:rFonts w:hint="eastAsia" w:cs="Times New Roman"/>
                <w:color w:val="000000" w:themeColor="text1"/>
                <w:sz w:val="24"/>
                <w:szCs w:val="18"/>
                <w:highlight w:val="none"/>
                <w:lang w:eastAsia="zh-CN"/>
                <w14:textFill>
                  <w14:solidFill>
                    <w14:schemeClr w14:val="tx1"/>
                  </w14:solidFill>
                </w14:textFill>
              </w:rPr>
            </w:pPr>
            <w:r>
              <w:rPr>
                <w:rFonts w:hint="default" w:cs="Times New Roman"/>
                <w:color w:val="000000" w:themeColor="text1"/>
                <w:sz w:val="24"/>
                <w:szCs w:val="18"/>
                <w:highlight w:val="none"/>
                <w:lang w:eastAsia="zh-CN"/>
                <w14:textFill>
                  <w14:solidFill>
                    <w14:schemeClr w14:val="tx1"/>
                  </w14:solidFill>
                </w14:textFill>
              </w:rPr>
              <w:t>②</w:t>
            </w:r>
            <w:r>
              <w:rPr>
                <w:rFonts w:hint="eastAsia" w:cs="Times New Roman"/>
                <w:color w:val="000000" w:themeColor="text1"/>
                <w:sz w:val="24"/>
                <w:szCs w:val="18"/>
                <w:highlight w:val="none"/>
                <w:lang w:val="en-US" w:eastAsia="zh-CN"/>
                <w14:textFill>
                  <w14:solidFill>
                    <w14:schemeClr w14:val="tx1"/>
                  </w14:solidFill>
                </w14:textFill>
              </w:rPr>
              <w:t>配置标准：</w:t>
            </w:r>
            <w:r>
              <w:rPr>
                <w:rFonts w:hint="eastAsia" w:cs="Times New Roman"/>
                <w:color w:val="000000" w:themeColor="text1"/>
                <w:sz w:val="24"/>
                <w:szCs w:val="18"/>
                <w:highlight w:val="none"/>
                <w:lang w:eastAsia="zh-CN"/>
                <w14:textFill>
                  <w14:solidFill>
                    <w14:schemeClr w14:val="tx1"/>
                  </w14:solidFill>
                </w14:textFill>
              </w:rPr>
              <w:t>单桶单托盘、分区集中放置，托盘有效容积≥单个包装容器最大容积，确保泄漏废液100%截留；</w:t>
            </w:r>
          </w:p>
          <w:p w14:paraId="6EC93E80">
            <w:pPr>
              <w:pStyle w:val="66"/>
              <w:ind w:firstLine="420"/>
              <w:rPr>
                <w:rFonts w:hint="eastAsia" w:cs="Times New Roman"/>
                <w:color w:val="000000" w:themeColor="text1"/>
                <w:sz w:val="24"/>
                <w:szCs w:val="18"/>
                <w:highlight w:val="none"/>
                <w:lang w:eastAsia="zh-CN"/>
                <w14:textFill>
                  <w14:solidFill>
                    <w14:schemeClr w14:val="tx1"/>
                  </w14:solidFill>
                </w14:textFill>
              </w:rPr>
            </w:pPr>
            <w:r>
              <w:rPr>
                <w:rFonts w:hint="default" w:cs="Times New Roman"/>
                <w:color w:val="000000" w:themeColor="text1"/>
                <w:sz w:val="24"/>
                <w:szCs w:val="18"/>
                <w:highlight w:val="none"/>
                <w:lang w:eastAsia="zh-CN"/>
                <w14:textFill>
                  <w14:solidFill>
                    <w14:schemeClr w14:val="tx1"/>
                  </w14:solidFill>
                </w14:textFill>
              </w:rPr>
              <w:t>③</w:t>
            </w:r>
            <w:r>
              <w:rPr>
                <w:rFonts w:hint="eastAsia" w:cs="Times New Roman"/>
                <w:color w:val="000000" w:themeColor="text1"/>
                <w:sz w:val="24"/>
                <w:szCs w:val="18"/>
                <w:highlight w:val="none"/>
                <w:lang w:val="en-US" w:eastAsia="zh-CN"/>
                <w14:textFill>
                  <w14:solidFill>
                    <w14:schemeClr w14:val="tx1"/>
                  </w14:solidFill>
                </w14:textFill>
              </w:rPr>
              <w:t>放置要求：</w:t>
            </w:r>
            <w:r>
              <w:rPr>
                <w:rFonts w:hint="eastAsia" w:cs="Times New Roman"/>
                <w:color w:val="000000" w:themeColor="text1"/>
                <w:sz w:val="24"/>
                <w:szCs w:val="18"/>
                <w:highlight w:val="none"/>
                <w:lang w:eastAsia="zh-CN"/>
                <w14:textFill>
                  <w14:solidFill>
                    <w14:schemeClr w14:val="tx1"/>
                  </w14:solidFill>
                </w14:textFill>
              </w:rPr>
              <w:t>化学品仓、危废暂存间内所有液态物料均置于托盘上方，严禁直接落地存放，托盘周边保持畅通，便于巡检与应急处置。</w:t>
            </w:r>
          </w:p>
          <w:p w14:paraId="4D98541B">
            <w:pPr>
              <w:pStyle w:val="66"/>
              <w:ind w:firstLine="420"/>
              <w:rPr>
                <w:rFonts w:hint="eastAsia"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eastAsia="zh-CN"/>
                <w14:textFill>
                  <w14:solidFill>
                    <w14:schemeClr w14:val="tx1"/>
                  </w14:solidFill>
                </w14:textFill>
              </w:rPr>
              <w:t>④日常管理：建立托盘巡检制度，每日检查托盘完整性、有无积液，发现泄漏立即启动收集处置，杜绝渗漏至地面</w:t>
            </w:r>
            <w:r>
              <w:rPr>
                <w:rFonts w:hint="eastAsia" w:cs="Times New Roman"/>
                <w:color w:val="000000" w:themeColor="text1"/>
                <w:sz w:val="24"/>
                <w:szCs w:val="18"/>
                <w:highlight w:val="none"/>
                <w:lang w:val="en-US" w:eastAsia="zh-CN"/>
                <w14:textFill>
                  <w14:solidFill>
                    <w14:schemeClr w14:val="tx1"/>
                  </w14:solidFill>
                </w14:textFill>
              </w:rPr>
              <w:t>及</w:t>
            </w:r>
            <w:r>
              <w:rPr>
                <w:rFonts w:hint="eastAsia" w:cs="Times New Roman"/>
                <w:color w:val="000000" w:themeColor="text1"/>
                <w:sz w:val="24"/>
                <w:szCs w:val="18"/>
                <w:highlight w:val="none"/>
                <w:lang w:eastAsia="zh-CN"/>
                <w14:textFill>
                  <w14:solidFill>
                    <w14:schemeClr w14:val="tx1"/>
                  </w14:solidFill>
                </w14:textFill>
              </w:rPr>
              <w:t>土壤。</w:t>
            </w:r>
          </w:p>
          <w:p w14:paraId="45746143">
            <w:pPr>
              <w:pStyle w:val="66"/>
              <w:ind w:firstLine="420"/>
              <w:rPr>
                <w:rFonts w:hint="eastAsia" w:ascii="Times New Roman" w:hAnsi="Times New Roman" w:cs="Times New Roman"/>
                <w:b/>
                <w:bCs/>
                <w:color w:val="000000" w:themeColor="text1"/>
                <w:sz w:val="24"/>
                <w:szCs w:val="18"/>
                <w:highlight w:val="none"/>
                <w:lang w:eastAsia="zh-CN"/>
                <w14:textFill>
                  <w14:solidFill>
                    <w14:schemeClr w14:val="tx1"/>
                  </w14:solidFill>
                </w14:textFill>
              </w:rPr>
            </w:pPr>
            <w:r>
              <w:rPr>
                <w:rFonts w:hint="eastAsia" w:cs="Times New Roman"/>
                <w:b/>
                <w:bCs/>
                <w:color w:val="000000" w:themeColor="text1"/>
                <w:sz w:val="24"/>
                <w:szCs w:val="18"/>
                <w:highlight w:val="none"/>
                <w:lang w:val="en-US" w:eastAsia="zh-CN"/>
                <w14:textFill>
                  <w14:solidFill>
                    <w14:schemeClr w14:val="tx1"/>
                  </w14:solidFill>
                </w14:textFill>
              </w:rPr>
              <w:t>二</w:t>
            </w:r>
            <w:r>
              <w:rPr>
                <w:rFonts w:hint="eastAsia" w:cs="Times New Roman"/>
                <w:b/>
                <w:bCs/>
                <w:color w:val="000000" w:themeColor="text1"/>
                <w:sz w:val="24"/>
                <w:szCs w:val="18"/>
                <w:highlight w:val="none"/>
                <w:lang w:eastAsia="zh-CN"/>
                <w14:textFill>
                  <w14:solidFill>
                    <w14:schemeClr w14:val="tx1"/>
                  </w14:solidFill>
                </w14:textFill>
              </w:rPr>
              <w:t>、</w:t>
            </w:r>
            <w:r>
              <w:rPr>
                <w:rFonts w:hint="eastAsia" w:ascii="Times New Roman" w:hAnsi="Times New Roman" w:cs="Times New Roman"/>
                <w:b/>
                <w:bCs/>
                <w:color w:val="000000" w:themeColor="text1"/>
                <w:sz w:val="24"/>
                <w:szCs w:val="18"/>
                <w:highlight w:val="none"/>
                <w:lang w:eastAsia="zh-CN"/>
                <w14:textFill>
                  <w14:solidFill>
                    <w14:schemeClr w14:val="tx1"/>
                  </w14:solidFill>
                </w14:textFill>
              </w:rPr>
              <w:t>危险废物</w:t>
            </w:r>
            <w:r>
              <w:rPr>
                <w:rFonts w:hint="eastAsia" w:ascii="Times New Roman" w:hAnsi="Times New Roman" w:cs="Times New Roman"/>
                <w:b/>
                <w:bCs/>
                <w:color w:val="000000" w:themeColor="text1"/>
                <w:sz w:val="24"/>
                <w:szCs w:val="18"/>
                <w:highlight w:val="none"/>
                <w:lang w:val="en-US" w:eastAsia="zh-CN"/>
                <w14:textFill>
                  <w14:solidFill>
                    <w14:schemeClr w14:val="tx1"/>
                  </w14:solidFill>
                </w14:textFill>
              </w:rPr>
              <w:t>环境风险</w:t>
            </w:r>
            <w:r>
              <w:rPr>
                <w:rFonts w:hint="eastAsia" w:ascii="Times New Roman" w:hAnsi="Times New Roman" w:cs="Times New Roman"/>
                <w:b/>
                <w:bCs/>
                <w:color w:val="000000" w:themeColor="text1"/>
                <w:sz w:val="24"/>
                <w:szCs w:val="18"/>
                <w:highlight w:val="none"/>
                <w:lang w:eastAsia="zh-CN"/>
                <w14:textFill>
                  <w14:solidFill>
                    <w14:schemeClr w14:val="tx1"/>
                  </w14:solidFill>
                </w14:textFill>
              </w:rPr>
              <w:t>防范措施</w:t>
            </w:r>
          </w:p>
          <w:p w14:paraId="3EDAB02F">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（1）</w:t>
            </w:r>
            <w:r>
              <w:rPr>
                <w:rFonts w:hint="eastAsia" w:ascii="Times New Roman" w:hAnsi="Times New Roman" w:cs="Times New Roman"/>
                <w:color w:val="000000" w:themeColor="text1"/>
                <w:sz w:val="24"/>
                <w:szCs w:val="18"/>
                <w:highlight w:val="none"/>
                <w:lang w:eastAsia="zh-CN"/>
                <w14:textFill>
                  <w14:solidFill>
                    <w14:schemeClr w14:val="tx1"/>
                  </w14:solidFill>
                </w14:textFill>
              </w:rPr>
              <w:t>企业将危险废物管理纳入日常生产管理体系，落实专人专责，指定专职人员负责危险废物的统一收集、分类包装、规范贮存和转移处置全流程工作。</w:t>
            </w:r>
          </w:p>
          <w:p w14:paraId="2F670178">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（2）</w:t>
            </w:r>
            <w:r>
              <w:rPr>
                <w:rFonts w:hint="eastAsia" w:ascii="Times New Roman" w:hAnsi="Times New Roman" w:cs="Times New Roman"/>
                <w:color w:val="000000" w:themeColor="text1"/>
                <w:sz w:val="24"/>
                <w:szCs w:val="18"/>
                <w:highlight w:val="none"/>
                <w:lang w:eastAsia="zh-CN"/>
                <w14:textFill>
                  <w14:solidFill>
                    <w14:schemeClr w14:val="tx1"/>
                  </w14:solidFill>
                </w14:textFill>
              </w:rPr>
              <w:t>危险废物按《危险废物分类包装要求》分类收集、妥善包装，贮存容器及暂存设施需符合《危险废物贮存污染控制标准》（GB18597-2023）要求；危废暂存场所不得露天存放，四周设置导流沟，地面做防渗、围堰处理，并设置明显警示标识。</w:t>
            </w:r>
          </w:p>
          <w:p w14:paraId="3C2ECD34">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（3）</w:t>
            </w:r>
            <w:r>
              <w:rPr>
                <w:rFonts w:hint="eastAsia" w:ascii="Times New Roman" w:hAnsi="Times New Roman" w:cs="Times New Roman"/>
                <w:color w:val="000000" w:themeColor="text1"/>
                <w:sz w:val="24"/>
                <w:szCs w:val="18"/>
                <w:highlight w:val="none"/>
                <w:lang w:eastAsia="zh-CN"/>
                <w14:textFill>
                  <w14:solidFill>
                    <w14:schemeClr w14:val="tx1"/>
                  </w14:solidFill>
                </w14:textFill>
              </w:rPr>
              <w:t>危险废物收集、贮存、转运及处置全过程严格执行转移联单制度，对危废种类、数量、转移去向等信息登记造册，妥善填写和保存转移联单。</w:t>
            </w:r>
          </w:p>
          <w:p w14:paraId="5527F9A7">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（4）</w:t>
            </w:r>
            <w:r>
              <w:rPr>
                <w:rFonts w:hint="eastAsia" w:ascii="Times New Roman" w:hAnsi="Times New Roman" w:cs="Times New Roman"/>
                <w:color w:val="000000" w:themeColor="text1"/>
                <w:sz w:val="24"/>
                <w:szCs w:val="18"/>
                <w:highlight w:val="none"/>
                <w:lang w:eastAsia="zh-CN"/>
                <w14:textFill>
                  <w14:solidFill>
                    <w14:schemeClr w14:val="tx1"/>
                  </w14:solidFill>
                </w14:textFill>
              </w:rPr>
              <w:t>定期对危险废物包装容器、暂存设施设备进行检查、消毒和清洁，发现破损、渗漏等问题立即采取清理、更换措施；禁止将性质不相容的危险废物混合收集、贮存、运输和处置，禁止将危险废物混入非危险废物中贮存、处置。</w:t>
            </w:r>
          </w:p>
          <w:p w14:paraId="5FA9B22D">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（5）</w:t>
            </w:r>
            <w:r>
              <w:rPr>
                <w:rFonts w:hint="eastAsia" w:ascii="Times New Roman" w:hAnsi="Times New Roman" w:cs="Times New Roman"/>
                <w:color w:val="000000" w:themeColor="text1"/>
                <w:sz w:val="24"/>
                <w:szCs w:val="18"/>
                <w:highlight w:val="none"/>
                <w:lang w:eastAsia="zh-CN"/>
                <w14:textFill>
                  <w14:solidFill>
                    <w14:schemeClr w14:val="tx1"/>
                  </w14:solidFill>
                </w14:textFill>
              </w:rPr>
              <w:t>运输危险废物需根据废物特性，采用符合国家标准的包装物、容器和运输工具；若收集、贮存、运输等环节的设施、设备、容器转作他用，必须经过消除污染处理并检测合格。</w:t>
            </w:r>
          </w:p>
          <w:p w14:paraId="6495A11B">
            <w:pPr>
              <w:pStyle w:val="66"/>
              <w:ind w:firstLine="420"/>
              <w:rPr>
                <w:rFonts w:hint="eastAsia" w:ascii="Times New Roman" w:hAnsi="Times New Roman" w:cs="Times New Roman"/>
                <w:b/>
                <w:bCs/>
                <w:color w:val="000000" w:themeColor="text1"/>
                <w:sz w:val="24"/>
                <w:szCs w:val="18"/>
                <w:highlight w:val="none"/>
                <w:lang w:eastAsia="zh-CN"/>
                <w14:textFill>
                  <w14:solidFill>
                    <w14:schemeClr w14:val="tx1"/>
                  </w14:solidFill>
                </w14:textFill>
              </w:rPr>
            </w:pPr>
            <w:r>
              <w:rPr>
                <w:rFonts w:hint="eastAsia" w:cs="Times New Roman"/>
                <w:b/>
                <w:bCs/>
                <w:color w:val="000000" w:themeColor="text1"/>
                <w:sz w:val="24"/>
                <w:szCs w:val="18"/>
                <w:highlight w:val="none"/>
                <w:lang w:val="en-US" w:eastAsia="zh-CN"/>
                <w14:textFill>
                  <w14:solidFill>
                    <w14:schemeClr w14:val="tx1"/>
                  </w14:solidFill>
                </w14:textFill>
              </w:rPr>
              <w:t>三、</w:t>
            </w:r>
            <w:r>
              <w:rPr>
                <w:rFonts w:hint="eastAsia" w:ascii="Times New Roman" w:hAnsi="Times New Roman" w:cs="Times New Roman"/>
                <w:b/>
                <w:bCs/>
                <w:color w:val="000000" w:themeColor="text1"/>
                <w:sz w:val="24"/>
                <w:szCs w:val="18"/>
                <w:highlight w:val="none"/>
                <w:lang w:eastAsia="zh-CN"/>
                <w14:textFill>
                  <w14:solidFill>
                    <w14:schemeClr w14:val="tx1"/>
                  </w14:solidFill>
                </w14:textFill>
              </w:rPr>
              <w:t>常见风险事故防控措施</w:t>
            </w:r>
          </w:p>
          <w:p w14:paraId="78FFEFD4">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（一）泄漏风险防控</w:t>
            </w:r>
          </w:p>
          <w:p w14:paraId="4714D74D">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（1）</w:t>
            </w:r>
            <w:r>
              <w:rPr>
                <w:rFonts w:hint="eastAsia" w:ascii="Times New Roman" w:hAnsi="Times New Roman" w:cs="Times New Roman"/>
                <w:color w:val="000000" w:themeColor="text1"/>
                <w:sz w:val="24"/>
                <w:szCs w:val="18"/>
                <w:highlight w:val="none"/>
                <w:lang w:eastAsia="zh-CN"/>
                <w14:textFill>
                  <w14:solidFill>
                    <w14:schemeClr w14:val="tx1"/>
                  </w14:solidFill>
                </w14:textFill>
              </w:rPr>
              <w:t>危化品储存区、危废暂存场所均按规范做重点防渗、导流沟等工程防护，从源头减少泄漏物渗透、扩散风险。</w:t>
            </w:r>
          </w:p>
          <w:p w14:paraId="07842563">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（2）</w:t>
            </w:r>
            <w:r>
              <w:rPr>
                <w:rFonts w:hint="eastAsia" w:ascii="Times New Roman" w:hAnsi="Times New Roman" w:cs="Times New Roman"/>
                <w:color w:val="000000" w:themeColor="text1"/>
                <w:sz w:val="24"/>
                <w:szCs w:val="18"/>
                <w:highlight w:val="none"/>
                <w:lang w:eastAsia="zh-CN"/>
                <w14:textFill>
                  <w14:solidFill>
                    <w14:schemeClr w14:val="tx1"/>
                  </w14:solidFill>
                </w14:textFill>
              </w:rPr>
              <w:t>建立日常巡查制度，安排专人定期对危化品储存容器、危废包装及相关设施进行巡检，对存在泄漏迹象的部位及时采取封堵、加固等处理措施。</w:t>
            </w:r>
          </w:p>
          <w:p w14:paraId="4B2EA2F2">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（3）</w:t>
            </w:r>
            <w:r>
              <w:rPr>
                <w:rFonts w:hint="eastAsia" w:ascii="Times New Roman" w:hAnsi="Times New Roman" w:cs="Times New Roman"/>
                <w:color w:val="000000" w:themeColor="text1"/>
                <w:sz w:val="24"/>
                <w:szCs w:val="18"/>
                <w:highlight w:val="none"/>
                <w:lang w:eastAsia="zh-CN"/>
                <w14:textFill>
                  <w14:solidFill>
                    <w14:schemeClr w14:val="tx1"/>
                  </w14:solidFill>
                </w14:textFill>
              </w:rPr>
              <w:t>涉危化品、危废作业人员配备防护服、橡胶手套、口罩、长靴等个人防护用具，作业时按规范穿戴，降低泄漏接触风险。</w:t>
            </w:r>
          </w:p>
          <w:p w14:paraId="71660776">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（二）火灾风险防控</w:t>
            </w:r>
          </w:p>
          <w:p w14:paraId="30FB56F4">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（1）</w:t>
            </w:r>
            <w:r>
              <w:rPr>
                <w:rFonts w:hint="eastAsia" w:ascii="Times New Roman" w:hAnsi="Times New Roman" w:cs="Times New Roman"/>
                <w:color w:val="000000" w:themeColor="text1"/>
                <w:sz w:val="24"/>
                <w:szCs w:val="18"/>
                <w:highlight w:val="none"/>
                <w:lang w:eastAsia="zh-CN"/>
                <w14:textFill>
                  <w14:solidFill>
                    <w14:schemeClr w14:val="tx1"/>
                  </w14:solidFill>
                </w14:textFill>
              </w:rPr>
              <w:t>生产车间、危化品储存区、危废暂存场所按消防规范配置沙土、推车式灭火器等消防器材，同时配备防火防毒服、防毒护具等应急防护用品，并定期检查、维护，确保完好可用。</w:t>
            </w:r>
          </w:p>
          <w:p w14:paraId="2A1852C6">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（2）</w:t>
            </w:r>
            <w:r>
              <w:rPr>
                <w:rFonts w:hint="eastAsia" w:ascii="Times New Roman" w:hAnsi="Times New Roman" w:cs="Times New Roman"/>
                <w:color w:val="000000" w:themeColor="text1"/>
                <w:sz w:val="24"/>
                <w:szCs w:val="18"/>
                <w:highlight w:val="none"/>
                <w:lang w:eastAsia="zh-CN"/>
                <w14:textFill>
                  <w14:solidFill>
                    <w14:schemeClr w14:val="tx1"/>
                  </w14:solidFill>
                </w14:textFill>
              </w:rPr>
              <w:t>严格加强火源管理，厂区涉危区域杜绝各类火种，严禁闲杂人员进入；作业人员熟练掌握设备操作技术和防火安全管理规定，杜绝违规操作引发火灾。</w:t>
            </w:r>
          </w:p>
          <w:p w14:paraId="0C58FE76">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（3）</w:t>
            </w:r>
            <w:r>
              <w:rPr>
                <w:rFonts w:hint="eastAsia" w:ascii="Times New Roman" w:hAnsi="Times New Roman" w:cs="Times New Roman"/>
                <w:color w:val="000000" w:themeColor="text1"/>
                <w:sz w:val="24"/>
                <w:szCs w:val="18"/>
                <w:highlight w:val="none"/>
                <w:lang w:eastAsia="zh-CN"/>
                <w14:textFill>
                  <w14:solidFill>
                    <w14:schemeClr w14:val="tx1"/>
                  </w14:solidFill>
                </w14:textFill>
              </w:rPr>
              <w:t>制定完善的火灾防控应急预案，明确火灾发生时的人员疏散路线、内部通报机制和外部联动方案，同时明确应急大气监测要求，委托有资质单位开展应急监测。</w:t>
            </w:r>
          </w:p>
          <w:p w14:paraId="65421538">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b/>
                <w:bCs/>
                <w:color w:val="000000" w:themeColor="text1"/>
                <w:sz w:val="24"/>
                <w:szCs w:val="18"/>
                <w:highlight w:val="none"/>
                <w:lang w:eastAsia="zh-CN"/>
                <w14:textFill>
                  <w14:solidFill>
                    <w14:schemeClr w14:val="tx1"/>
                  </w14:solidFill>
                </w14:textFill>
              </w:rPr>
              <w:t>四、突发环境风险应急处置措施</w:t>
            </w:r>
          </w:p>
          <w:p w14:paraId="6B90DBDA">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（一）通用应急处置原则</w:t>
            </w:r>
          </w:p>
          <w:p w14:paraId="1109BD37">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发生危化品泄漏、危废散落、火灾等任何环境风险事故时，第一时间关闭厂区雨水排放总阀门，防止有毒有害物质、事故废水进入雨水管网造成外环境污染；同时立即启动紧急堵漏、防火等措施，对泄漏物、事故废水及时收集，严禁排入雨水和污水收集管网。</w:t>
            </w:r>
          </w:p>
          <w:p w14:paraId="5AB0C4A8">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（二）危险化学品泄漏应急处置</w:t>
            </w:r>
          </w:p>
          <w:p w14:paraId="7AD26C73">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（1）</w:t>
            </w:r>
            <w:r>
              <w:rPr>
                <w:rFonts w:hint="eastAsia" w:ascii="Times New Roman" w:hAnsi="Times New Roman" w:cs="Times New Roman"/>
                <w:color w:val="000000" w:themeColor="text1"/>
                <w:sz w:val="24"/>
                <w:szCs w:val="18"/>
                <w:highlight w:val="none"/>
                <w:lang w:eastAsia="zh-CN"/>
                <w14:textFill>
                  <w14:solidFill>
                    <w14:schemeClr w14:val="tx1"/>
                  </w14:solidFill>
                </w14:textFill>
              </w:rPr>
              <w:t>泄漏发生后，作业人员佩戴好个人防护用具，对泄漏的化学品进行快速、规范收集，收集后的危化品泄漏物委托有资质单位进行专业处置。</w:t>
            </w:r>
          </w:p>
          <w:p w14:paraId="7599C76B">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（2）</w:t>
            </w:r>
            <w:r>
              <w:rPr>
                <w:rFonts w:hint="eastAsia" w:ascii="Times New Roman" w:hAnsi="Times New Roman" w:cs="Times New Roman"/>
                <w:color w:val="000000" w:themeColor="text1"/>
                <w:sz w:val="24"/>
                <w:szCs w:val="18"/>
                <w:highlight w:val="none"/>
                <w:lang w:eastAsia="zh-CN"/>
                <w14:textFill>
                  <w14:solidFill>
                    <w14:schemeClr w14:val="tx1"/>
                  </w14:solidFill>
                </w14:textFill>
              </w:rPr>
              <w:t>若泄漏物造成地面、设施污染，及时对受污染区域进行无害化处理，必要时封锁污染区，防止污染范围扩大。</w:t>
            </w:r>
          </w:p>
          <w:p w14:paraId="52A9E6B2">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（三）危险废物突发事件应急处置</w:t>
            </w:r>
          </w:p>
          <w:p w14:paraId="7E57B8F0">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（1）</w:t>
            </w:r>
            <w:r>
              <w:rPr>
                <w:rFonts w:hint="eastAsia" w:ascii="Times New Roman" w:hAnsi="Times New Roman" w:cs="Times New Roman"/>
                <w:color w:val="000000" w:themeColor="text1"/>
                <w:sz w:val="24"/>
                <w:szCs w:val="18"/>
                <w:highlight w:val="none"/>
                <w:lang w:eastAsia="zh-CN"/>
                <w14:textFill>
                  <w14:solidFill>
                    <w14:schemeClr w14:val="tx1"/>
                  </w14:solidFill>
                </w14:textFill>
              </w:rPr>
              <w:t>收集、转运过程中发生危废泄漏、溢出、散落时，现场运送员立即向企业管理人员和环保部门汇报，不得擅自处理。</w:t>
            </w:r>
          </w:p>
          <w:p w14:paraId="2F96F529">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（2）</w:t>
            </w:r>
            <w:r>
              <w:rPr>
                <w:rFonts w:hint="eastAsia" w:ascii="Times New Roman" w:hAnsi="Times New Roman" w:cs="Times New Roman"/>
                <w:color w:val="000000" w:themeColor="text1"/>
                <w:sz w:val="24"/>
                <w:szCs w:val="18"/>
                <w:highlight w:val="none"/>
                <w:lang w:eastAsia="zh-CN"/>
                <w14:textFill>
                  <w14:solidFill>
                    <w14:schemeClr w14:val="tx1"/>
                  </w14:solidFill>
                </w14:textFill>
              </w:rPr>
              <w:t>企业危险废物管理</w:t>
            </w:r>
            <w:r>
              <w:rPr>
                <w:rFonts w:hint="eastAsia" w:cs="Times New Roman"/>
                <w:color w:val="000000" w:themeColor="text1"/>
                <w:sz w:val="24"/>
                <w:szCs w:val="18"/>
                <w:highlight w:val="none"/>
                <w:lang w:val="en-US" w:eastAsia="zh-CN"/>
                <w14:textFill>
                  <w14:solidFill>
                    <w14:schemeClr w14:val="tx1"/>
                  </w14:solidFill>
                </w14:textFill>
              </w:rPr>
              <w:t>人员</w:t>
            </w:r>
            <w:r>
              <w:rPr>
                <w:rFonts w:hint="eastAsia" w:ascii="Times New Roman" w:hAnsi="Times New Roman" w:cs="Times New Roman"/>
                <w:color w:val="000000" w:themeColor="text1"/>
                <w:sz w:val="24"/>
                <w:szCs w:val="18"/>
                <w:highlight w:val="none"/>
                <w:lang w:eastAsia="zh-CN"/>
                <w14:textFill>
                  <w14:solidFill>
                    <w14:schemeClr w14:val="tx1"/>
                  </w14:solidFill>
                </w14:textFill>
              </w:rPr>
              <w:t>第一时间组织调查，明确流失/泄漏危废的类别、数量、发生时间、影响范围及严重程度，并</w:t>
            </w:r>
            <w:r>
              <w:rPr>
                <w:rFonts w:hint="eastAsia" w:cs="Times New Roman"/>
                <w:color w:val="000000" w:themeColor="text1"/>
                <w:sz w:val="24"/>
                <w:szCs w:val="18"/>
                <w:highlight w:val="none"/>
                <w:lang w:val="en-US" w:eastAsia="zh-CN"/>
                <w14:textFill>
                  <w14:solidFill>
                    <w14:schemeClr w14:val="tx1"/>
                  </w14:solidFill>
                </w14:textFill>
              </w:rPr>
              <w:t>及时</w:t>
            </w:r>
            <w:r>
              <w:rPr>
                <w:rFonts w:hint="eastAsia" w:ascii="Times New Roman" w:hAnsi="Times New Roman" w:cs="Times New Roman"/>
                <w:color w:val="000000" w:themeColor="text1"/>
                <w:sz w:val="24"/>
                <w:szCs w:val="18"/>
                <w:highlight w:val="none"/>
                <w:lang w:eastAsia="zh-CN"/>
                <w14:textFill>
                  <w14:solidFill>
                    <w14:schemeClr w14:val="tx1"/>
                  </w14:solidFill>
                </w14:textFill>
              </w:rPr>
              <w:t>向相关行政主管部门报告。</w:t>
            </w:r>
          </w:p>
          <w:p w14:paraId="2FDD691E">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（3）</w:t>
            </w:r>
            <w:r>
              <w:rPr>
                <w:rFonts w:hint="eastAsia" w:ascii="Times New Roman" w:hAnsi="Times New Roman" w:cs="Times New Roman"/>
                <w:color w:val="000000" w:themeColor="text1"/>
                <w:sz w:val="24"/>
                <w:szCs w:val="18"/>
                <w:highlight w:val="none"/>
                <w:lang w:eastAsia="zh-CN"/>
                <w14:textFill>
                  <w14:solidFill>
                    <w14:schemeClr w14:val="tx1"/>
                  </w14:solidFill>
                </w14:textFill>
              </w:rPr>
              <w:t>安排专人穿戴全套防护用品，对泄漏、散落的危废迅速收集、清理；对受污染的区域、物品进行无害化处置，必要时封锁污染区；清理使用的工具和防护用品需单独清洗，避免二次污染。</w:t>
            </w:r>
          </w:p>
          <w:p w14:paraId="4F4CD85F">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（四）火灾事故应急处置</w:t>
            </w:r>
          </w:p>
          <w:p w14:paraId="1A3C90B1">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（1）</w:t>
            </w:r>
            <w:r>
              <w:rPr>
                <w:rFonts w:hint="eastAsia" w:ascii="Times New Roman" w:hAnsi="Times New Roman" w:cs="Times New Roman"/>
                <w:color w:val="000000" w:themeColor="text1"/>
                <w:sz w:val="24"/>
                <w:szCs w:val="18"/>
                <w:highlight w:val="none"/>
                <w:lang w:eastAsia="zh-CN"/>
                <w14:textFill>
                  <w14:solidFill>
                    <w14:schemeClr w14:val="tx1"/>
                  </w14:solidFill>
                </w14:textFill>
              </w:rPr>
              <w:t>火灾发生时立即启动消防应急预案，组织人员利用现场消防器材开展初期灭火，同时迅速将危险区域人员撤离至安全区，并及时向消防系统报警。</w:t>
            </w:r>
          </w:p>
          <w:p w14:paraId="06D48D01">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（2）</w:t>
            </w:r>
            <w:r>
              <w:rPr>
                <w:rFonts w:hint="eastAsia" w:ascii="Times New Roman" w:hAnsi="Times New Roman" w:cs="Times New Roman"/>
                <w:color w:val="000000" w:themeColor="text1"/>
                <w:sz w:val="24"/>
                <w:szCs w:val="18"/>
                <w:highlight w:val="none"/>
                <w:lang w:eastAsia="zh-CN"/>
                <w14:textFill>
                  <w14:solidFill>
                    <w14:schemeClr w14:val="tx1"/>
                  </w14:solidFill>
                </w14:textFill>
              </w:rPr>
              <w:t>若火灾产生有毒有害气体，及时通知厂区下风向周边居民采取疏散、防护等措施；委托有资质单位开展应急大气监测，根据监测结果调整防控措施。</w:t>
            </w:r>
          </w:p>
          <w:p w14:paraId="56BEE572">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（五）应急组织与保障</w:t>
            </w:r>
          </w:p>
          <w:p w14:paraId="7CC46CE7">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（1）</w:t>
            </w:r>
            <w:r>
              <w:rPr>
                <w:rFonts w:hint="eastAsia" w:ascii="Times New Roman" w:hAnsi="Times New Roman" w:cs="Times New Roman"/>
                <w:color w:val="000000" w:themeColor="text1"/>
                <w:sz w:val="24"/>
                <w:szCs w:val="18"/>
                <w:highlight w:val="none"/>
                <w:lang w:eastAsia="zh-CN"/>
                <w14:textFill>
                  <w14:solidFill>
                    <w14:schemeClr w14:val="tx1"/>
                  </w14:solidFill>
                </w14:textFill>
              </w:rPr>
              <w:t>企业建立公司-车间-班组三级应急组织机构，明确各级事故处理人员的职责、任务，组建专业抢险队伍，保障应急运输、物资、</w:t>
            </w:r>
            <w:r>
              <w:rPr>
                <w:rFonts w:hint="eastAsia" w:cs="Times New Roman"/>
                <w:color w:val="000000" w:themeColor="text1"/>
                <w:sz w:val="24"/>
                <w:szCs w:val="18"/>
                <w:highlight w:val="none"/>
                <w:lang w:eastAsia="zh-CN"/>
                <w14:textFill>
                  <w14:solidFill>
                    <w14:schemeClr w14:val="tx1"/>
                  </w14:solidFill>
                </w14:textFill>
              </w:rPr>
              <w:t>通信</w:t>
            </w:r>
            <w:r>
              <w:rPr>
                <w:rFonts w:hint="eastAsia" w:ascii="Times New Roman" w:hAnsi="Times New Roman" w:cs="Times New Roman"/>
                <w:color w:val="000000" w:themeColor="text1"/>
                <w:sz w:val="24"/>
                <w:szCs w:val="18"/>
                <w:highlight w:val="none"/>
                <w:lang w:eastAsia="zh-CN"/>
                <w14:textFill>
                  <w14:solidFill>
                    <w14:schemeClr w14:val="tx1"/>
                  </w14:solidFill>
                </w14:textFill>
              </w:rPr>
              <w:t>、宣传等工作，确保应急措施顺利实施。</w:t>
            </w:r>
          </w:p>
          <w:p w14:paraId="114C3B16">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（2）</w:t>
            </w:r>
            <w:r>
              <w:rPr>
                <w:rFonts w:hint="eastAsia" w:ascii="Times New Roman" w:hAnsi="Times New Roman" w:cs="Times New Roman"/>
                <w:color w:val="000000" w:themeColor="text1"/>
                <w:sz w:val="24"/>
                <w:szCs w:val="18"/>
                <w:highlight w:val="none"/>
                <w:lang w:eastAsia="zh-CN"/>
                <w14:textFill>
                  <w14:solidFill>
                    <w14:schemeClr w14:val="tx1"/>
                  </w14:solidFill>
                </w14:textFill>
              </w:rPr>
              <w:t>成立专项应急救援小组，明确小组负责人及 24 小时联系电话，定期组织应急培训和演练，确保事故发生时能快速响应、规范处置。</w:t>
            </w:r>
          </w:p>
          <w:p w14:paraId="5F6D4483">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（3）</w:t>
            </w:r>
            <w:r>
              <w:rPr>
                <w:rFonts w:hint="eastAsia" w:ascii="Times New Roman" w:hAnsi="Times New Roman" w:cs="Times New Roman"/>
                <w:color w:val="000000" w:themeColor="text1"/>
                <w:sz w:val="24"/>
                <w:szCs w:val="18"/>
                <w:highlight w:val="none"/>
                <w:lang w:eastAsia="zh-CN"/>
                <w14:textFill>
                  <w14:solidFill>
                    <w14:schemeClr w14:val="tx1"/>
                  </w14:solidFill>
                </w14:textFill>
              </w:rPr>
              <w:t>生产车间配备急救设备及药品，作业人员需掌握各类化学物质的危险性、健康毒害性及自救互救措施；企业医务室建立初期急救流程，对中毒、受伤人员及时开展初期处理后送医治疗。</w:t>
            </w:r>
          </w:p>
          <w:p w14:paraId="00BE9F32">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（4）</w:t>
            </w:r>
            <w:r>
              <w:rPr>
                <w:rFonts w:hint="eastAsia" w:ascii="Times New Roman" w:hAnsi="Times New Roman" w:cs="Times New Roman"/>
                <w:color w:val="000000" w:themeColor="text1"/>
                <w:sz w:val="24"/>
                <w:szCs w:val="18"/>
                <w:highlight w:val="none"/>
                <w:lang w:eastAsia="zh-CN"/>
                <w14:textFill>
                  <w14:solidFill>
                    <w14:schemeClr w14:val="tx1"/>
                  </w14:solidFill>
                </w14:textFill>
              </w:rPr>
              <w:t>建立规范的紧急事故汇报程序，事故发生后按要求及时向环保、应急、消防等相关主管部门报告，做好事故调查及后续整改工作。</w:t>
            </w:r>
          </w:p>
          <w:p w14:paraId="178852BD">
            <w:pPr>
              <w:pStyle w:val="66"/>
              <w:ind w:firstLine="420"/>
              <w:rPr>
                <w:rFonts w:hint="default" w:ascii="Times New Roman" w:hAnsi="Times New Roman" w:cs="Times New Roman"/>
                <w:b/>
                <w:bCs/>
                <w:color w:val="000000" w:themeColor="text1"/>
                <w:sz w:val="24"/>
                <w:szCs w:val="18"/>
                <w:highlight w:val="none"/>
                <w:lang w:val="en-US" w:eastAsia="zh-CN"/>
                <w14:textFill>
                  <w14:solidFill>
                    <w14:schemeClr w14:val="tx1"/>
                  </w14:solidFill>
                </w14:textFill>
              </w:rPr>
            </w:pPr>
            <w:r>
              <w:rPr>
                <w:rFonts w:hint="eastAsia" w:cs="Times New Roman"/>
                <w:b/>
                <w:bCs/>
                <w:color w:val="000000" w:themeColor="text1"/>
                <w:sz w:val="24"/>
                <w:szCs w:val="18"/>
                <w:highlight w:val="none"/>
                <w:lang w:val="en-US" w:eastAsia="zh-CN"/>
                <w14:textFill>
                  <w14:solidFill>
                    <w14:schemeClr w14:val="tx1"/>
                  </w14:solidFill>
                </w14:textFill>
              </w:rPr>
              <w:t>五、事故应急池容积分析</w:t>
            </w:r>
          </w:p>
          <w:p w14:paraId="20554317">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根据《中华人民共和国水污染防治法》</w:t>
            </w:r>
            <w:r>
              <w:rPr>
                <w:rFonts w:hint="eastAsia" w:cs="Times New Roman"/>
                <w:color w:val="000000" w:themeColor="text1"/>
                <w:sz w:val="24"/>
                <w:szCs w:val="18"/>
                <w:highlight w:val="none"/>
                <w:lang w:eastAsia="zh-CN"/>
                <w14:textFill>
                  <w14:solidFill>
                    <w14:schemeClr w14:val="tx1"/>
                  </w14:solidFill>
                </w14:textFill>
              </w:rPr>
              <w:t>，</w:t>
            </w:r>
            <w:r>
              <w:rPr>
                <w:rFonts w:hint="eastAsia" w:ascii="Times New Roman" w:hAnsi="Times New Roman" w:cs="Times New Roman"/>
                <w:color w:val="000000" w:themeColor="text1"/>
                <w:sz w:val="24"/>
                <w:szCs w:val="18"/>
                <w:highlight w:val="none"/>
                <w:lang w:eastAsia="zh-CN"/>
                <w14:textFill>
                  <w14:solidFill>
                    <w14:schemeClr w14:val="tx1"/>
                  </w14:solidFill>
                </w14:textFill>
              </w:rPr>
              <w:t>生产、储存危险化学品的企业事业单位，应当采取措施，防止在处理安全生产事故过程中产生的可能严重污染水体的消防废水、废液直接排入水体。</w:t>
            </w:r>
          </w:p>
          <w:p w14:paraId="7921768B">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1、化学品</w:t>
            </w:r>
            <w:r>
              <w:rPr>
                <w:rFonts w:hint="eastAsia" w:cs="Times New Roman"/>
                <w:color w:val="000000" w:themeColor="text1"/>
                <w:sz w:val="24"/>
                <w:szCs w:val="18"/>
                <w:highlight w:val="none"/>
                <w:lang w:val="en-US" w:eastAsia="zh-CN"/>
                <w14:textFill>
                  <w14:solidFill>
                    <w14:schemeClr w14:val="tx1"/>
                  </w14:solidFill>
                </w14:textFill>
              </w:rPr>
              <w:t>间</w:t>
            </w:r>
            <w:r>
              <w:rPr>
                <w:rFonts w:hint="eastAsia" w:ascii="Times New Roman" w:hAnsi="Times New Roman" w:cs="Times New Roman"/>
                <w:color w:val="000000" w:themeColor="text1"/>
                <w:sz w:val="24"/>
                <w:szCs w:val="18"/>
                <w:highlight w:val="none"/>
                <w:lang w:eastAsia="zh-CN"/>
                <w14:textFill>
                  <w14:solidFill>
                    <w14:schemeClr w14:val="tx1"/>
                  </w14:solidFill>
                </w14:textFill>
              </w:rPr>
              <w:t>泄漏应急分析</w:t>
            </w:r>
          </w:p>
          <w:p w14:paraId="301263BA">
            <w:pPr>
              <w:pStyle w:val="66"/>
              <w:ind w:firstLine="420"/>
              <w:rPr>
                <w:rFonts w:hint="default" w:cs="Times New Roman"/>
                <w:color w:val="000000" w:themeColor="text1"/>
                <w:sz w:val="24"/>
                <w:szCs w:val="18"/>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企业</w:t>
            </w:r>
            <w:r>
              <w:rPr>
                <w:rFonts w:hint="eastAsia" w:cs="Times New Roman"/>
                <w:color w:val="000000" w:themeColor="text1"/>
                <w:sz w:val="24"/>
                <w:szCs w:val="18"/>
                <w:highlight w:val="none"/>
                <w:lang w:val="en-US" w:eastAsia="zh-CN"/>
                <w14:textFill>
                  <w14:solidFill>
                    <w14:schemeClr w14:val="tx1"/>
                  </w14:solidFill>
                </w14:textFill>
              </w:rPr>
              <w:t>拟</w:t>
            </w:r>
            <w:r>
              <w:rPr>
                <w:rFonts w:hint="eastAsia" w:ascii="Times New Roman" w:hAnsi="Times New Roman" w:cs="Times New Roman"/>
                <w:color w:val="000000" w:themeColor="text1"/>
                <w:sz w:val="24"/>
                <w:szCs w:val="18"/>
                <w:highlight w:val="none"/>
                <w:lang w:eastAsia="zh-CN"/>
                <w14:textFill>
                  <w14:solidFill>
                    <w14:schemeClr w14:val="tx1"/>
                  </w14:solidFill>
                </w14:textFill>
              </w:rPr>
              <w:t>在</w:t>
            </w:r>
            <w:r>
              <w:rPr>
                <w:rFonts w:hint="eastAsia" w:cs="Times New Roman"/>
                <w:color w:val="000000" w:themeColor="text1"/>
                <w:sz w:val="24"/>
                <w:szCs w:val="18"/>
                <w:highlight w:val="none"/>
                <w:lang w:val="en-US" w:eastAsia="zh-CN"/>
                <w14:textFill>
                  <w14:solidFill>
                    <w14:schemeClr w14:val="tx1"/>
                  </w14:solidFill>
                </w14:textFill>
              </w:rPr>
              <w:t>化学品间四周设置边沟，容积约2.52m</w:t>
            </w:r>
            <w:r>
              <w:rPr>
                <w:rFonts w:hint="eastAsia" w:cs="Times New Roman"/>
                <w:color w:val="000000" w:themeColor="text1"/>
                <w:sz w:val="24"/>
                <w:szCs w:val="18"/>
                <w:highlight w:val="none"/>
                <w:vertAlign w:val="superscript"/>
                <w:lang w:val="en-US" w:eastAsia="zh-CN"/>
                <w14:textFill>
                  <w14:solidFill>
                    <w14:schemeClr w14:val="tx1"/>
                  </w14:solidFill>
                </w14:textFill>
              </w:rPr>
              <w:t>3</w:t>
            </w:r>
            <w:r>
              <w:rPr>
                <w:rFonts w:hint="eastAsia" w:cs="Times New Roman"/>
                <w:color w:val="000000" w:themeColor="text1"/>
                <w:sz w:val="24"/>
                <w:szCs w:val="18"/>
                <w:highlight w:val="none"/>
                <w:lang w:val="en-US" w:eastAsia="zh-CN"/>
                <w14:textFill>
                  <w14:solidFill>
                    <w14:schemeClr w14:val="tx1"/>
                  </w14:solidFill>
                </w14:textFill>
              </w:rPr>
              <w:t>。企业存放于化学品仓内的液态化学品包装规格为20L/桶，全部包装桶发生泄漏的概率极低。若单桶发生泄漏，化学品仓设置的边沟足以容纳泄漏的物料，泄漏物料不会溢流至化学品仓外。</w:t>
            </w:r>
          </w:p>
          <w:p w14:paraId="26B77A4A">
            <w:pPr>
              <w:pStyle w:val="66"/>
              <w:ind w:firstLine="420"/>
              <w:rPr>
                <w:rFonts w:hint="default" w:cs="Times New Roman"/>
                <w:color w:val="000000" w:themeColor="text1"/>
                <w:sz w:val="24"/>
                <w:szCs w:val="18"/>
                <w:highlight w:val="none"/>
                <w:lang w:val="en-US"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2</w:t>
            </w:r>
            <w:r>
              <w:rPr>
                <w:rFonts w:hint="default" w:cs="Times New Roman"/>
                <w:color w:val="000000" w:themeColor="text1"/>
                <w:sz w:val="24"/>
                <w:szCs w:val="18"/>
                <w:highlight w:val="none"/>
                <w:lang w:val="en-US" w:eastAsia="zh-CN"/>
                <w14:textFill>
                  <w14:solidFill>
                    <w14:schemeClr w14:val="tx1"/>
                  </w14:solidFill>
                </w14:textFill>
              </w:rPr>
              <w:t>、污水站故障应急分析</w:t>
            </w:r>
          </w:p>
          <w:p w14:paraId="64BF003F">
            <w:pPr>
              <w:pStyle w:val="66"/>
              <w:ind w:firstLine="420"/>
              <w:rPr>
                <w:rFonts w:hint="default" w:cs="Times New Roman"/>
                <w:color w:val="000000" w:themeColor="text1"/>
                <w:sz w:val="24"/>
                <w:szCs w:val="18"/>
                <w:highlight w:val="none"/>
                <w:lang w:val="en-US" w:eastAsia="zh-CN"/>
                <w14:textFill>
                  <w14:solidFill>
                    <w14:schemeClr w14:val="tx1"/>
                  </w14:solidFill>
                </w14:textFill>
              </w:rPr>
            </w:pPr>
            <w:r>
              <w:rPr>
                <w:rFonts w:hint="default" w:cs="Times New Roman"/>
                <w:color w:val="000000" w:themeColor="text1"/>
                <w:sz w:val="24"/>
                <w:szCs w:val="18"/>
                <w:highlight w:val="none"/>
                <w:lang w:val="en-US" w:eastAsia="zh-CN"/>
                <w14:textFill>
                  <w14:solidFill>
                    <w14:schemeClr w14:val="tx1"/>
                  </w14:solidFill>
                </w14:textFill>
              </w:rPr>
              <w:t>厂区</w:t>
            </w:r>
            <w:r>
              <w:rPr>
                <w:rFonts w:hint="eastAsia" w:cs="Times New Roman"/>
                <w:color w:val="000000" w:themeColor="text1"/>
                <w:sz w:val="24"/>
                <w:szCs w:val="18"/>
                <w:highlight w:val="none"/>
                <w:lang w:val="en-US" w:eastAsia="zh-CN"/>
                <w14:textFill>
                  <w14:solidFill>
                    <w14:schemeClr w14:val="tx1"/>
                  </w14:solidFill>
                </w14:textFill>
              </w:rPr>
              <w:t>60</w:t>
            </w:r>
            <w:r>
              <w:rPr>
                <w:rFonts w:hint="default" w:cs="Times New Roman"/>
                <w:color w:val="000000" w:themeColor="text1"/>
                <w:sz w:val="24"/>
                <w:szCs w:val="18"/>
                <w:highlight w:val="none"/>
                <w:lang w:val="en-US" w:eastAsia="zh-CN"/>
                <w14:textFill>
                  <w14:solidFill>
                    <w14:schemeClr w14:val="tx1"/>
                  </w14:solidFill>
                </w14:textFill>
              </w:rPr>
              <w:t>t/d污水站设置1座</w:t>
            </w:r>
            <w:r>
              <w:rPr>
                <w:rFonts w:hint="eastAsia" w:cs="Times New Roman"/>
                <w:color w:val="000000" w:themeColor="text1"/>
                <w:sz w:val="24"/>
                <w:szCs w:val="18"/>
                <w:highlight w:val="none"/>
                <w:lang w:val="en-US" w:eastAsia="zh-CN"/>
                <w14:textFill>
                  <w14:solidFill>
                    <w14:schemeClr w14:val="tx1"/>
                  </w14:solidFill>
                </w14:textFill>
              </w:rPr>
              <w:t>66</w:t>
            </w:r>
            <w:r>
              <w:rPr>
                <w:rFonts w:hint="default" w:cs="Times New Roman"/>
                <w:color w:val="000000" w:themeColor="text1"/>
                <w:sz w:val="24"/>
                <w:szCs w:val="18"/>
                <w:highlight w:val="none"/>
                <w:lang w:val="en-US" w:eastAsia="zh-CN"/>
                <w14:textFill>
                  <w14:solidFill>
                    <w14:schemeClr w14:val="tx1"/>
                  </w14:solidFill>
                </w14:textFill>
              </w:rPr>
              <w:t>m</w:t>
            </w:r>
            <w:r>
              <w:rPr>
                <w:rFonts w:hint="eastAsia" w:cs="Times New Roman"/>
                <w:color w:val="000000" w:themeColor="text1"/>
                <w:sz w:val="24"/>
                <w:szCs w:val="18"/>
                <w:highlight w:val="none"/>
                <w:vertAlign w:val="superscript"/>
                <w:lang w:val="en-US" w:eastAsia="zh-CN"/>
                <w14:textFill>
                  <w14:solidFill>
                    <w14:schemeClr w14:val="tx1"/>
                  </w14:solidFill>
                </w14:textFill>
              </w:rPr>
              <w:t>3</w:t>
            </w:r>
            <w:r>
              <w:rPr>
                <w:rFonts w:hint="default" w:cs="Times New Roman"/>
                <w:color w:val="000000" w:themeColor="text1"/>
                <w:sz w:val="24"/>
                <w:szCs w:val="18"/>
                <w:highlight w:val="none"/>
                <w:lang w:val="en-US" w:eastAsia="zh-CN"/>
                <w14:textFill>
                  <w14:solidFill>
                    <w14:schemeClr w14:val="tx1"/>
                  </w14:solidFill>
                </w14:textFill>
              </w:rPr>
              <w:t>应急池。</w:t>
            </w:r>
            <w:r>
              <w:rPr>
                <w:rFonts w:hint="eastAsia" w:cs="Times New Roman"/>
                <w:color w:val="000000" w:themeColor="text1"/>
                <w:sz w:val="24"/>
                <w:szCs w:val="18"/>
                <w:highlight w:val="none"/>
                <w:lang w:val="en-US" w:eastAsia="zh-CN"/>
                <w14:textFill>
                  <w14:solidFill>
                    <w14:schemeClr w14:val="tx1"/>
                  </w14:solidFill>
                </w14:textFill>
              </w:rPr>
              <w:t>若</w:t>
            </w:r>
            <w:r>
              <w:rPr>
                <w:rFonts w:hint="default" w:cs="Times New Roman"/>
                <w:color w:val="000000" w:themeColor="text1"/>
                <w:sz w:val="24"/>
                <w:szCs w:val="18"/>
                <w:highlight w:val="none"/>
                <w:lang w:val="en-US" w:eastAsia="zh-CN"/>
                <w14:textFill>
                  <w14:solidFill>
                    <w14:schemeClr w14:val="tx1"/>
                  </w14:solidFill>
                </w14:textFill>
              </w:rPr>
              <w:t>污水站部分池体设备故障，可通过切换污水站应急池阀门，将流入故障池体的废水引流至应急池内，待故障排除后再将废水导入污水站处理。厂区污水站每年企业停工时，进行维护检修，故突发污水站全面故障概率极低，若该极低概率事件发生，企业停止产生废水的工段运行。综上分析，污水站配备的应急池可满足污水站故障情况下应急要求。</w:t>
            </w:r>
          </w:p>
          <w:p w14:paraId="45BDF10E">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3</w:t>
            </w:r>
            <w:r>
              <w:rPr>
                <w:rFonts w:hint="eastAsia" w:ascii="Times New Roman" w:hAnsi="Times New Roman" w:cs="Times New Roman"/>
                <w:color w:val="000000" w:themeColor="text1"/>
                <w:sz w:val="24"/>
                <w:szCs w:val="18"/>
                <w:highlight w:val="none"/>
                <w:lang w:eastAsia="zh-CN"/>
                <w14:textFill>
                  <w14:solidFill>
                    <w14:schemeClr w14:val="tx1"/>
                  </w14:solidFill>
                </w14:textFill>
              </w:rPr>
              <w:t>、危险废物暂存间泄漏应急分析</w:t>
            </w:r>
          </w:p>
          <w:p w14:paraId="55FA7F0E">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危险废物暂存</w:t>
            </w:r>
            <w:r>
              <w:rPr>
                <w:rFonts w:hint="eastAsia" w:cs="Times New Roman"/>
                <w:color w:val="000000" w:themeColor="text1"/>
                <w:sz w:val="24"/>
                <w:szCs w:val="18"/>
                <w:highlight w:val="none"/>
                <w:lang w:val="en-US" w:eastAsia="zh-CN"/>
                <w14:textFill>
                  <w14:solidFill>
                    <w14:schemeClr w14:val="tx1"/>
                  </w14:solidFill>
                </w14:textFill>
              </w:rPr>
              <w:t>间</w:t>
            </w:r>
            <w:r>
              <w:rPr>
                <w:rFonts w:hint="eastAsia" w:ascii="Times New Roman" w:hAnsi="Times New Roman" w:cs="Times New Roman"/>
                <w:color w:val="000000" w:themeColor="text1"/>
                <w:sz w:val="24"/>
                <w:szCs w:val="18"/>
                <w:highlight w:val="none"/>
                <w:lang w:eastAsia="zh-CN"/>
                <w14:textFill>
                  <w14:solidFill>
                    <w14:schemeClr w14:val="tx1"/>
                  </w14:solidFill>
                </w14:textFill>
              </w:rPr>
              <w:t>内存放的危险废物最大储存容器为吨桶，暂存间设置边沟</w:t>
            </w:r>
            <w:r>
              <w:rPr>
                <w:rFonts w:hint="eastAsia" w:cs="Times New Roman"/>
                <w:color w:val="000000" w:themeColor="text1"/>
                <w:sz w:val="24"/>
                <w:szCs w:val="18"/>
                <w:highlight w:val="none"/>
                <w:lang w:val="en-US" w:eastAsia="zh-CN"/>
                <w14:textFill>
                  <w14:solidFill>
                    <w14:schemeClr w14:val="tx1"/>
                  </w14:solidFill>
                </w14:textFill>
              </w:rPr>
              <w:t>，容积约2.52m</w:t>
            </w:r>
            <w:r>
              <w:rPr>
                <w:rFonts w:hint="eastAsia" w:cs="Times New Roman"/>
                <w:color w:val="000000" w:themeColor="text1"/>
                <w:sz w:val="24"/>
                <w:szCs w:val="18"/>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4"/>
                <w:szCs w:val="18"/>
                <w:highlight w:val="none"/>
                <w:lang w:eastAsia="zh-CN"/>
                <w14:textFill>
                  <w14:solidFill>
                    <w14:schemeClr w14:val="tx1"/>
                  </w14:solidFill>
                </w14:textFill>
              </w:rPr>
              <w:t>。暂存间内全部吨桶同时泄漏概率极低，最大可信事故为单个吨桶泄漏，泄漏物料可截留至边沟内，危险废物暂存间设置的边沟可满足泄漏应急要求。</w:t>
            </w:r>
          </w:p>
          <w:p w14:paraId="70AFE1E2">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4</w:t>
            </w:r>
            <w:r>
              <w:rPr>
                <w:rFonts w:hint="eastAsia" w:ascii="Times New Roman" w:hAnsi="Times New Roman" w:cs="Times New Roman"/>
                <w:color w:val="000000" w:themeColor="text1"/>
                <w:sz w:val="24"/>
                <w:szCs w:val="18"/>
                <w:highlight w:val="none"/>
                <w:lang w:eastAsia="zh-CN"/>
                <w14:textFill>
                  <w14:solidFill>
                    <w14:schemeClr w14:val="tx1"/>
                  </w14:solidFill>
                </w14:textFill>
              </w:rPr>
              <w:t>、消防事故应急事故水池容积分析</w:t>
            </w:r>
          </w:p>
          <w:p w14:paraId="47F9C823">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应急事故水池容积参照《石化企业水体环境风险防控技术要求》（Q/SH0729</w:t>
            </w:r>
            <w:r>
              <w:rPr>
                <w:rFonts w:hint="eastAsia" w:cs="Times New Roman"/>
                <w:color w:val="000000" w:themeColor="text1"/>
                <w:sz w:val="24"/>
                <w:szCs w:val="18"/>
                <w:highlight w:val="none"/>
                <w:lang w:val="en-US" w:eastAsia="zh-CN"/>
                <w14:textFill>
                  <w14:solidFill>
                    <w14:schemeClr w14:val="tx1"/>
                  </w14:solidFill>
                </w14:textFill>
              </w:rPr>
              <w:t>-</w:t>
            </w:r>
            <w:r>
              <w:rPr>
                <w:rFonts w:hint="eastAsia" w:ascii="Times New Roman" w:hAnsi="Times New Roman" w:cs="Times New Roman"/>
                <w:color w:val="000000" w:themeColor="text1"/>
                <w:sz w:val="24"/>
                <w:szCs w:val="18"/>
                <w:highlight w:val="none"/>
                <w:lang w:eastAsia="zh-CN"/>
                <w14:textFill>
                  <w14:solidFill>
                    <w14:schemeClr w14:val="tx1"/>
                  </w14:solidFill>
                </w14:textFill>
              </w:rPr>
              <w:t>2018）规定，公式如下：</w:t>
            </w:r>
          </w:p>
          <w:p w14:paraId="3397099D">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V</w:t>
            </w:r>
            <w:r>
              <w:rPr>
                <w:rFonts w:hint="eastAsia" w:ascii="Times New Roman" w:hAnsi="Times New Roman" w:cs="Times New Roman"/>
                <w:color w:val="000000" w:themeColor="text1"/>
                <w:sz w:val="24"/>
                <w:szCs w:val="18"/>
                <w:highlight w:val="none"/>
                <w:vertAlign w:val="subscript"/>
                <w:lang w:eastAsia="zh-CN"/>
                <w14:textFill>
                  <w14:solidFill>
                    <w14:schemeClr w14:val="tx1"/>
                  </w14:solidFill>
                </w14:textFill>
              </w:rPr>
              <w:t>总</w:t>
            </w:r>
            <w:r>
              <w:rPr>
                <w:rFonts w:hint="eastAsia" w:ascii="Times New Roman" w:hAnsi="Times New Roman" w:cs="Times New Roman"/>
                <w:color w:val="000000" w:themeColor="text1"/>
                <w:sz w:val="24"/>
                <w:szCs w:val="18"/>
                <w:highlight w:val="none"/>
                <w:lang w:eastAsia="zh-CN"/>
                <w14:textFill>
                  <w14:solidFill>
                    <w14:schemeClr w14:val="tx1"/>
                  </w14:solidFill>
                </w14:textFill>
              </w:rPr>
              <w:t>=(V</w:t>
            </w:r>
            <w:r>
              <w:rPr>
                <w:rFonts w:hint="eastAsia" w:ascii="Times New Roman" w:hAnsi="Times New Roman" w:cs="Times New Roman"/>
                <w:color w:val="000000" w:themeColor="text1"/>
                <w:sz w:val="24"/>
                <w:szCs w:val="18"/>
                <w:highlight w:val="none"/>
                <w:vertAlign w:val="subscript"/>
                <w:lang w:eastAsia="zh-CN"/>
                <w14:textFill>
                  <w14:solidFill>
                    <w14:schemeClr w14:val="tx1"/>
                  </w14:solidFill>
                </w14:textFill>
              </w:rPr>
              <w:t>1</w:t>
            </w:r>
            <w:r>
              <w:rPr>
                <w:rFonts w:hint="eastAsia" w:ascii="Times New Roman" w:hAnsi="Times New Roman" w:cs="Times New Roman"/>
                <w:color w:val="000000" w:themeColor="text1"/>
                <w:sz w:val="24"/>
                <w:szCs w:val="18"/>
                <w:highlight w:val="none"/>
                <w:lang w:eastAsia="zh-CN"/>
                <w14:textFill>
                  <w14:solidFill>
                    <w14:schemeClr w14:val="tx1"/>
                  </w14:solidFill>
                </w14:textFill>
              </w:rPr>
              <w:t>+V</w:t>
            </w:r>
            <w:r>
              <w:rPr>
                <w:rFonts w:hint="eastAsia" w:ascii="Times New Roman" w:hAnsi="Times New Roman" w:cs="Times New Roman"/>
                <w:color w:val="000000" w:themeColor="text1"/>
                <w:sz w:val="24"/>
                <w:szCs w:val="18"/>
                <w:highlight w:val="none"/>
                <w:vertAlign w:val="subscript"/>
                <w:lang w:eastAsia="zh-CN"/>
                <w14:textFill>
                  <w14:solidFill>
                    <w14:schemeClr w14:val="tx1"/>
                  </w14:solidFill>
                </w14:textFill>
              </w:rPr>
              <w:t>2</w:t>
            </w:r>
            <w:r>
              <w:rPr>
                <w:rFonts w:hint="eastAsia" w:ascii="Times New Roman" w:hAnsi="Times New Roman" w:cs="Times New Roman"/>
                <w:color w:val="000000" w:themeColor="text1"/>
                <w:sz w:val="24"/>
                <w:szCs w:val="18"/>
                <w:highlight w:val="none"/>
                <w:lang w:eastAsia="zh-CN"/>
                <w14:textFill>
                  <w14:solidFill>
                    <w14:schemeClr w14:val="tx1"/>
                  </w14:solidFill>
                </w14:textFill>
              </w:rPr>
              <w:t>-V</w:t>
            </w:r>
            <w:r>
              <w:rPr>
                <w:rFonts w:hint="eastAsia" w:ascii="Times New Roman" w:hAnsi="Times New Roman" w:cs="Times New Roman"/>
                <w:color w:val="000000" w:themeColor="text1"/>
                <w:sz w:val="24"/>
                <w:szCs w:val="18"/>
                <w:highlight w:val="none"/>
                <w:vertAlign w:val="subscript"/>
                <w:lang w:eastAsia="zh-CN"/>
                <w14:textFill>
                  <w14:solidFill>
                    <w14:schemeClr w14:val="tx1"/>
                  </w14:solidFill>
                </w14:textFill>
              </w:rPr>
              <w:t>3</w:t>
            </w:r>
            <w:r>
              <w:rPr>
                <w:rFonts w:hint="eastAsia" w:ascii="Times New Roman" w:hAnsi="Times New Roman" w:cs="Times New Roman"/>
                <w:color w:val="000000" w:themeColor="text1"/>
                <w:sz w:val="24"/>
                <w:szCs w:val="18"/>
                <w:highlight w:val="none"/>
                <w:lang w:eastAsia="zh-CN"/>
                <w14:textFill>
                  <w14:solidFill>
                    <w14:schemeClr w14:val="tx1"/>
                  </w14:solidFill>
                </w14:textFill>
              </w:rPr>
              <w:t>)max+V</w:t>
            </w:r>
            <w:r>
              <w:rPr>
                <w:rFonts w:hint="eastAsia" w:ascii="Times New Roman" w:hAnsi="Times New Roman" w:cs="Times New Roman"/>
                <w:color w:val="000000" w:themeColor="text1"/>
                <w:sz w:val="24"/>
                <w:szCs w:val="18"/>
                <w:highlight w:val="none"/>
                <w:vertAlign w:val="subscript"/>
                <w:lang w:eastAsia="zh-CN"/>
                <w14:textFill>
                  <w14:solidFill>
                    <w14:schemeClr w14:val="tx1"/>
                  </w14:solidFill>
                </w14:textFill>
              </w:rPr>
              <w:t>4</w:t>
            </w:r>
            <w:r>
              <w:rPr>
                <w:rFonts w:hint="eastAsia" w:ascii="Times New Roman" w:hAnsi="Times New Roman" w:cs="Times New Roman"/>
                <w:color w:val="000000" w:themeColor="text1"/>
                <w:sz w:val="24"/>
                <w:szCs w:val="18"/>
                <w:highlight w:val="none"/>
                <w:lang w:eastAsia="zh-CN"/>
                <w14:textFill>
                  <w14:solidFill>
                    <w14:schemeClr w14:val="tx1"/>
                  </w14:solidFill>
                </w14:textFill>
              </w:rPr>
              <w:t>+V</w:t>
            </w:r>
            <w:r>
              <w:rPr>
                <w:rFonts w:hint="eastAsia" w:ascii="Times New Roman" w:hAnsi="Times New Roman" w:cs="Times New Roman"/>
                <w:color w:val="000000" w:themeColor="text1"/>
                <w:sz w:val="24"/>
                <w:szCs w:val="18"/>
                <w:highlight w:val="none"/>
                <w:vertAlign w:val="subscript"/>
                <w:lang w:eastAsia="zh-CN"/>
                <w14:textFill>
                  <w14:solidFill>
                    <w14:schemeClr w14:val="tx1"/>
                  </w14:solidFill>
                </w14:textFill>
              </w:rPr>
              <w:t>5</w:t>
            </w:r>
          </w:p>
          <w:p w14:paraId="3320D0C3">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式中：V</w:t>
            </w:r>
            <w:r>
              <w:rPr>
                <w:rFonts w:hint="eastAsia" w:ascii="Times New Roman" w:hAnsi="Times New Roman" w:cs="Times New Roman"/>
                <w:color w:val="000000" w:themeColor="text1"/>
                <w:sz w:val="24"/>
                <w:szCs w:val="18"/>
                <w:highlight w:val="none"/>
                <w:vertAlign w:val="subscript"/>
                <w:lang w:eastAsia="zh-CN"/>
                <w14:textFill>
                  <w14:solidFill>
                    <w14:schemeClr w14:val="tx1"/>
                  </w14:solidFill>
                </w14:textFill>
              </w:rPr>
              <w:t>1</w:t>
            </w:r>
            <w:r>
              <w:rPr>
                <w:rFonts w:hint="eastAsia" w:ascii="Times New Roman" w:hAnsi="Times New Roman" w:cs="Times New Roman"/>
                <w:color w:val="000000" w:themeColor="text1"/>
                <w:sz w:val="24"/>
                <w:szCs w:val="18"/>
                <w:highlight w:val="none"/>
                <w:lang w:eastAsia="zh-CN"/>
                <w14:textFill>
                  <w14:solidFill>
                    <w14:schemeClr w14:val="tx1"/>
                  </w14:solidFill>
                </w14:textFill>
              </w:rPr>
              <w:t>—收集系统范围内发生事故时的泄漏物料量；</w:t>
            </w:r>
          </w:p>
          <w:p w14:paraId="02E97369">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V</w:t>
            </w:r>
            <w:r>
              <w:rPr>
                <w:rFonts w:hint="eastAsia" w:ascii="Times New Roman" w:hAnsi="Times New Roman" w:cs="Times New Roman"/>
                <w:color w:val="000000" w:themeColor="text1"/>
                <w:sz w:val="24"/>
                <w:szCs w:val="18"/>
                <w:highlight w:val="none"/>
                <w:vertAlign w:val="subscript"/>
                <w:lang w:eastAsia="zh-CN"/>
                <w14:textFill>
                  <w14:solidFill>
                    <w14:schemeClr w14:val="tx1"/>
                  </w14:solidFill>
                </w14:textFill>
              </w:rPr>
              <w:t>2</w:t>
            </w:r>
            <w:r>
              <w:rPr>
                <w:rFonts w:hint="eastAsia" w:ascii="Times New Roman" w:hAnsi="Times New Roman" w:cs="Times New Roman"/>
                <w:color w:val="000000" w:themeColor="text1"/>
                <w:sz w:val="24"/>
                <w:szCs w:val="18"/>
                <w:highlight w:val="none"/>
                <w:lang w:eastAsia="zh-CN"/>
                <w14:textFill>
                  <w14:solidFill>
                    <w14:schemeClr w14:val="tx1"/>
                  </w14:solidFill>
                </w14:textFill>
              </w:rPr>
              <w:t>—发生事故的消防水量；</w:t>
            </w:r>
          </w:p>
          <w:p w14:paraId="5C6BF521">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V</w:t>
            </w:r>
            <w:r>
              <w:rPr>
                <w:rFonts w:hint="eastAsia" w:ascii="Times New Roman" w:hAnsi="Times New Roman" w:cs="Times New Roman"/>
                <w:color w:val="000000" w:themeColor="text1"/>
                <w:sz w:val="24"/>
                <w:szCs w:val="18"/>
                <w:highlight w:val="none"/>
                <w:vertAlign w:val="subscript"/>
                <w:lang w:eastAsia="zh-CN"/>
                <w14:textFill>
                  <w14:solidFill>
                    <w14:schemeClr w14:val="tx1"/>
                  </w14:solidFill>
                </w14:textFill>
              </w:rPr>
              <w:t>3</w:t>
            </w:r>
            <w:r>
              <w:rPr>
                <w:rFonts w:hint="eastAsia" w:ascii="Times New Roman" w:hAnsi="Times New Roman" w:cs="Times New Roman"/>
                <w:color w:val="000000" w:themeColor="text1"/>
                <w:sz w:val="24"/>
                <w:szCs w:val="18"/>
                <w:highlight w:val="none"/>
                <w:lang w:eastAsia="zh-CN"/>
                <w14:textFill>
                  <w14:solidFill>
                    <w14:schemeClr w14:val="tx1"/>
                  </w14:solidFill>
                </w14:textFill>
              </w:rPr>
              <w:t>—发生事故时可以转输到其他储存或处理设施的物料量；</w:t>
            </w:r>
          </w:p>
          <w:p w14:paraId="6C24C056">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V</w:t>
            </w:r>
            <w:r>
              <w:rPr>
                <w:rFonts w:hint="eastAsia" w:ascii="Times New Roman" w:hAnsi="Times New Roman" w:cs="Times New Roman"/>
                <w:color w:val="000000" w:themeColor="text1"/>
                <w:sz w:val="24"/>
                <w:szCs w:val="18"/>
                <w:highlight w:val="none"/>
                <w:vertAlign w:val="subscript"/>
                <w:lang w:eastAsia="zh-CN"/>
                <w14:textFill>
                  <w14:solidFill>
                    <w14:schemeClr w14:val="tx1"/>
                  </w14:solidFill>
                </w14:textFill>
              </w:rPr>
              <w:t>4</w:t>
            </w:r>
            <w:r>
              <w:rPr>
                <w:rFonts w:hint="eastAsia" w:ascii="Times New Roman" w:hAnsi="Times New Roman" w:cs="Times New Roman"/>
                <w:color w:val="000000" w:themeColor="text1"/>
                <w:sz w:val="24"/>
                <w:szCs w:val="18"/>
                <w:highlight w:val="none"/>
                <w:lang w:eastAsia="zh-CN"/>
                <w14:textFill>
                  <w14:solidFill>
                    <w14:schemeClr w14:val="tx1"/>
                  </w14:solidFill>
                </w14:textFill>
              </w:rPr>
              <w:t>—发生事故时必须进入该收集池的生产废水量；</w:t>
            </w:r>
          </w:p>
          <w:p w14:paraId="36AF0872">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V</w:t>
            </w:r>
            <w:r>
              <w:rPr>
                <w:rFonts w:hint="eastAsia" w:ascii="Times New Roman" w:hAnsi="Times New Roman" w:cs="Times New Roman"/>
                <w:color w:val="000000" w:themeColor="text1"/>
                <w:sz w:val="24"/>
                <w:szCs w:val="18"/>
                <w:highlight w:val="none"/>
                <w:vertAlign w:val="subscript"/>
                <w:lang w:eastAsia="zh-CN"/>
                <w14:textFill>
                  <w14:solidFill>
                    <w14:schemeClr w14:val="tx1"/>
                  </w14:solidFill>
                </w14:textFill>
              </w:rPr>
              <w:t>5</w:t>
            </w:r>
            <w:r>
              <w:rPr>
                <w:rFonts w:hint="eastAsia" w:ascii="Times New Roman" w:hAnsi="Times New Roman" w:cs="Times New Roman"/>
                <w:color w:val="000000" w:themeColor="text1"/>
                <w:sz w:val="24"/>
                <w:szCs w:val="18"/>
                <w:highlight w:val="none"/>
                <w:lang w:eastAsia="zh-CN"/>
                <w14:textFill>
                  <w14:solidFill>
                    <w14:schemeClr w14:val="tx1"/>
                  </w14:solidFill>
                </w14:textFill>
              </w:rPr>
              <w:t>一发生事故时可能进入该收集系统的降雨量。V</w:t>
            </w:r>
            <w:r>
              <w:rPr>
                <w:rFonts w:hint="eastAsia" w:ascii="Times New Roman" w:hAnsi="Times New Roman" w:cs="Times New Roman"/>
                <w:color w:val="000000" w:themeColor="text1"/>
                <w:sz w:val="24"/>
                <w:szCs w:val="18"/>
                <w:highlight w:val="none"/>
                <w:vertAlign w:val="subscript"/>
                <w:lang w:eastAsia="zh-CN"/>
                <w14:textFill>
                  <w14:solidFill>
                    <w14:schemeClr w14:val="tx1"/>
                  </w14:solidFill>
                </w14:textFill>
              </w:rPr>
              <w:t>5</w:t>
            </w:r>
            <w:r>
              <w:rPr>
                <w:rFonts w:hint="eastAsia" w:ascii="Times New Roman" w:hAnsi="Times New Roman" w:cs="Times New Roman"/>
                <w:color w:val="000000" w:themeColor="text1"/>
                <w:sz w:val="24"/>
                <w:szCs w:val="18"/>
                <w:highlight w:val="none"/>
                <w:lang w:eastAsia="zh-CN"/>
                <w14:textFill>
                  <w14:solidFill>
                    <w14:schemeClr w14:val="tx1"/>
                  </w14:solidFill>
                </w14:textFill>
              </w:rPr>
              <w:t>=10qF，其中q=qa/n，日平均降雨量；F：必须进入事故池的雨水汇水面积，ha。</w:t>
            </w:r>
          </w:p>
          <w:p w14:paraId="66049245">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（1）物料泄漏（V</w:t>
            </w:r>
            <w:r>
              <w:rPr>
                <w:rFonts w:hint="eastAsia" w:ascii="Times New Roman" w:hAnsi="Times New Roman" w:cs="Times New Roman"/>
                <w:color w:val="000000" w:themeColor="text1"/>
                <w:sz w:val="24"/>
                <w:szCs w:val="18"/>
                <w:highlight w:val="none"/>
                <w:vertAlign w:val="subscript"/>
                <w:lang w:eastAsia="zh-CN"/>
                <w14:textFill>
                  <w14:solidFill>
                    <w14:schemeClr w14:val="tx1"/>
                  </w14:solidFill>
                </w14:textFill>
              </w:rPr>
              <w:t>1</w:t>
            </w:r>
            <w:r>
              <w:rPr>
                <w:rFonts w:hint="eastAsia" w:ascii="Times New Roman" w:hAnsi="Times New Roman" w:cs="Times New Roman"/>
                <w:color w:val="000000" w:themeColor="text1"/>
                <w:sz w:val="24"/>
                <w:szCs w:val="18"/>
                <w:highlight w:val="none"/>
                <w:lang w:eastAsia="zh-CN"/>
                <w14:textFill>
                  <w14:solidFill>
                    <w14:schemeClr w14:val="tx1"/>
                  </w14:solidFill>
                </w14:textFill>
              </w:rPr>
              <w:t>）</w:t>
            </w:r>
          </w:p>
          <w:p w14:paraId="63DFA907">
            <w:pPr>
              <w:pStyle w:val="66"/>
              <w:ind w:firstLine="420"/>
              <w:rPr>
                <w:rFonts w:hint="default" w:ascii="Times New Roman" w:hAnsi="Times New Roman" w:cs="Times New Roman"/>
                <w:color w:val="000000" w:themeColor="text1"/>
                <w:sz w:val="24"/>
                <w:szCs w:val="18"/>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生产车间内化学品物料以20L/桶存放，</w:t>
            </w:r>
            <w:r>
              <w:rPr>
                <w:rFonts w:hint="eastAsia" w:ascii="Times New Roman" w:hAnsi="Times New Roman" w:cs="Times New Roman"/>
                <w:color w:val="000000" w:themeColor="text1"/>
                <w:sz w:val="24"/>
                <w:szCs w:val="18"/>
                <w:highlight w:val="none"/>
                <w:lang w:val="en-US" w:eastAsia="zh-CN"/>
                <w14:textFill>
                  <w14:solidFill>
                    <w14:schemeClr w14:val="tx1"/>
                  </w14:solidFill>
                </w14:textFill>
              </w:rPr>
              <w:t>若单桶发生泄漏，化学品仓设置的边沟</w:t>
            </w:r>
            <w:r>
              <w:rPr>
                <w:rFonts w:hint="eastAsia" w:cs="Times New Roman"/>
                <w:color w:val="000000" w:themeColor="text1"/>
                <w:sz w:val="24"/>
                <w:szCs w:val="18"/>
                <w:highlight w:val="none"/>
                <w:lang w:val="en-US" w:eastAsia="zh-CN"/>
                <w14:textFill>
                  <w14:solidFill>
                    <w14:schemeClr w14:val="tx1"/>
                  </w14:solidFill>
                </w14:textFill>
              </w:rPr>
              <w:t>容积约2.52m</w:t>
            </w:r>
            <w:r>
              <w:rPr>
                <w:rFonts w:hint="eastAsia" w:cs="Times New Roman"/>
                <w:color w:val="000000" w:themeColor="text1"/>
                <w:sz w:val="24"/>
                <w:szCs w:val="18"/>
                <w:highlight w:val="none"/>
                <w:vertAlign w:val="superscript"/>
                <w:lang w:val="en-US" w:eastAsia="zh-CN"/>
                <w14:textFill>
                  <w14:solidFill>
                    <w14:schemeClr w14:val="tx1"/>
                  </w14:solidFill>
                </w14:textFill>
              </w:rPr>
              <w:t>3</w:t>
            </w:r>
            <w:r>
              <w:rPr>
                <w:rFonts w:hint="eastAsia" w:cs="Times New Roman"/>
                <w:color w:val="000000" w:themeColor="text1"/>
                <w:sz w:val="24"/>
                <w:szCs w:val="18"/>
                <w:highlight w:val="none"/>
                <w:lang w:eastAsia="zh-CN"/>
                <w14:textFill>
                  <w14:solidFill>
                    <w14:schemeClr w14:val="tx1"/>
                  </w14:solidFill>
                </w14:textFill>
              </w:rPr>
              <w:t>，</w:t>
            </w:r>
            <w:r>
              <w:rPr>
                <w:rFonts w:hint="eastAsia" w:ascii="Times New Roman" w:hAnsi="Times New Roman" w:cs="Times New Roman"/>
                <w:color w:val="000000" w:themeColor="text1"/>
                <w:sz w:val="24"/>
                <w:szCs w:val="18"/>
                <w:highlight w:val="none"/>
                <w:lang w:val="en-US" w:eastAsia="zh-CN"/>
                <w14:textFill>
                  <w14:solidFill>
                    <w14:schemeClr w14:val="tx1"/>
                  </w14:solidFill>
                </w14:textFill>
              </w:rPr>
              <w:t>足以容纳泄漏的物料，泄漏物料不会溢流至化学品仓外</w:t>
            </w:r>
            <w:r>
              <w:rPr>
                <w:rFonts w:hint="eastAsia" w:cs="Times New Roman"/>
                <w:color w:val="000000" w:themeColor="text1"/>
                <w:sz w:val="24"/>
                <w:szCs w:val="18"/>
                <w:highlight w:val="none"/>
                <w:lang w:val="en-US" w:eastAsia="zh-CN"/>
                <w14:textFill>
                  <w14:solidFill>
                    <w14:schemeClr w14:val="tx1"/>
                  </w14:solidFill>
                </w14:textFill>
              </w:rPr>
              <w:t>。</w:t>
            </w:r>
            <w:r>
              <w:rPr>
                <w:rFonts w:hint="eastAsia" w:ascii="Times New Roman" w:hAnsi="Times New Roman" w:cs="Times New Roman"/>
                <w:color w:val="000000" w:themeColor="text1"/>
                <w:sz w:val="24"/>
                <w:szCs w:val="18"/>
                <w:highlight w:val="none"/>
                <w:lang w:eastAsia="zh-CN"/>
                <w14:textFill>
                  <w14:solidFill>
                    <w14:schemeClr w14:val="tx1"/>
                  </w14:solidFill>
                </w14:textFill>
              </w:rPr>
              <w:t>危险废物暂存</w:t>
            </w:r>
            <w:r>
              <w:rPr>
                <w:rFonts w:hint="eastAsia" w:cs="Times New Roman"/>
                <w:color w:val="000000" w:themeColor="text1"/>
                <w:sz w:val="24"/>
                <w:szCs w:val="18"/>
                <w:highlight w:val="none"/>
                <w:lang w:val="en-US" w:eastAsia="zh-CN"/>
                <w14:textFill>
                  <w14:solidFill>
                    <w14:schemeClr w14:val="tx1"/>
                  </w14:solidFill>
                </w14:textFill>
              </w:rPr>
              <w:t>间</w:t>
            </w:r>
            <w:r>
              <w:rPr>
                <w:rFonts w:hint="eastAsia" w:ascii="Times New Roman" w:hAnsi="Times New Roman" w:cs="Times New Roman"/>
                <w:color w:val="000000" w:themeColor="text1"/>
                <w:sz w:val="24"/>
                <w:szCs w:val="18"/>
                <w:highlight w:val="none"/>
                <w:lang w:eastAsia="zh-CN"/>
                <w14:textFill>
                  <w14:solidFill>
                    <w14:schemeClr w14:val="tx1"/>
                  </w14:solidFill>
                </w14:textFill>
              </w:rPr>
              <w:t>内存放的危险废物最大储存容器为吨桶，暂存间</w:t>
            </w:r>
            <w:r>
              <w:rPr>
                <w:rFonts w:hint="eastAsia" w:cs="Times New Roman"/>
                <w:color w:val="000000" w:themeColor="text1"/>
                <w:sz w:val="24"/>
                <w:szCs w:val="18"/>
                <w:highlight w:val="none"/>
                <w:lang w:val="en-US" w:eastAsia="zh-CN"/>
                <w14:textFill>
                  <w14:solidFill>
                    <w14:schemeClr w14:val="tx1"/>
                  </w14:solidFill>
                </w14:textFill>
              </w:rPr>
              <w:t>外</w:t>
            </w:r>
            <w:r>
              <w:rPr>
                <w:rFonts w:hint="eastAsia" w:ascii="Times New Roman" w:hAnsi="Times New Roman" w:cs="Times New Roman"/>
                <w:color w:val="000000" w:themeColor="text1"/>
                <w:sz w:val="24"/>
                <w:szCs w:val="18"/>
                <w:highlight w:val="none"/>
                <w:lang w:eastAsia="zh-CN"/>
                <w14:textFill>
                  <w14:solidFill>
                    <w14:schemeClr w14:val="tx1"/>
                  </w14:solidFill>
                </w14:textFill>
              </w:rPr>
              <w:t>设置边沟</w:t>
            </w:r>
            <w:r>
              <w:rPr>
                <w:rFonts w:hint="eastAsia" w:cs="Times New Roman"/>
                <w:color w:val="000000" w:themeColor="text1"/>
                <w:sz w:val="24"/>
                <w:szCs w:val="18"/>
                <w:highlight w:val="none"/>
                <w:lang w:val="en-US" w:eastAsia="zh-CN"/>
                <w14:textFill>
                  <w14:solidFill>
                    <w14:schemeClr w14:val="tx1"/>
                  </w14:solidFill>
                </w14:textFill>
              </w:rPr>
              <w:t>，容积约2.52m</w:t>
            </w:r>
            <w:r>
              <w:rPr>
                <w:rFonts w:hint="eastAsia" w:cs="Times New Roman"/>
                <w:color w:val="000000" w:themeColor="text1"/>
                <w:sz w:val="24"/>
                <w:szCs w:val="18"/>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4"/>
                <w:szCs w:val="18"/>
                <w:highlight w:val="none"/>
                <w:lang w:eastAsia="zh-CN"/>
                <w14:textFill>
                  <w14:solidFill>
                    <w14:schemeClr w14:val="tx1"/>
                  </w14:solidFill>
                </w14:textFill>
              </w:rPr>
              <w:t>。暂存间内全部吨桶同时泄漏概率极低，最大可信事故为单个吨桶泄漏，泄漏物料可截留至边沟内，危险废物暂存间设置的边沟可满足泄漏应急要求。</w:t>
            </w:r>
            <w:r>
              <w:rPr>
                <w:rFonts w:hint="eastAsia" w:cs="Times New Roman"/>
                <w:color w:val="000000" w:themeColor="text1"/>
                <w:sz w:val="24"/>
                <w:szCs w:val="18"/>
                <w:highlight w:val="none"/>
                <w:lang w:val="en-US" w:eastAsia="zh-CN"/>
                <w14:textFill>
                  <w14:solidFill>
                    <w14:schemeClr w14:val="tx1"/>
                  </w14:solidFill>
                </w14:textFill>
              </w:rPr>
              <w:t>因此</w:t>
            </w:r>
            <w:r>
              <w:rPr>
                <w:rFonts w:hint="eastAsia" w:ascii="Times New Roman" w:hAnsi="Times New Roman" w:cs="Times New Roman"/>
                <w:color w:val="000000" w:themeColor="text1"/>
                <w:sz w:val="24"/>
                <w:szCs w:val="18"/>
                <w:highlight w:val="none"/>
                <w:lang w:eastAsia="zh-CN"/>
                <w14:textFill>
                  <w14:solidFill>
                    <w14:schemeClr w14:val="tx1"/>
                  </w14:solidFill>
                </w14:textFill>
              </w:rPr>
              <w:t>V</w:t>
            </w:r>
            <w:r>
              <w:rPr>
                <w:rFonts w:hint="eastAsia" w:ascii="Times New Roman" w:hAnsi="Times New Roman" w:cs="Times New Roman"/>
                <w:color w:val="000000" w:themeColor="text1"/>
                <w:sz w:val="24"/>
                <w:szCs w:val="18"/>
                <w:highlight w:val="none"/>
                <w:vertAlign w:val="subscript"/>
                <w:lang w:eastAsia="zh-CN"/>
                <w14:textFill>
                  <w14:solidFill>
                    <w14:schemeClr w14:val="tx1"/>
                  </w14:solidFill>
                </w14:textFill>
              </w:rPr>
              <w:t>1</w:t>
            </w:r>
            <w:r>
              <w:rPr>
                <w:rFonts w:hint="eastAsia" w:cs="Times New Roman"/>
                <w:color w:val="000000" w:themeColor="text1"/>
                <w:sz w:val="24"/>
                <w:szCs w:val="18"/>
                <w:highlight w:val="none"/>
                <w:lang w:val="en-US" w:eastAsia="zh-CN"/>
                <w14:textFill>
                  <w14:solidFill>
                    <w14:schemeClr w14:val="tx1"/>
                  </w14:solidFill>
                </w14:textFill>
              </w:rPr>
              <w:t>=0</w:t>
            </w:r>
          </w:p>
          <w:p w14:paraId="76FBFBCD">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（2）发生事故的最大消防用水量（V</w:t>
            </w:r>
            <w:r>
              <w:rPr>
                <w:rFonts w:hint="eastAsia" w:ascii="Times New Roman" w:hAnsi="Times New Roman" w:cs="Times New Roman"/>
                <w:color w:val="000000" w:themeColor="text1"/>
                <w:sz w:val="24"/>
                <w:szCs w:val="18"/>
                <w:highlight w:val="none"/>
                <w:vertAlign w:val="subscript"/>
                <w:lang w:eastAsia="zh-CN"/>
                <w14:textFill>
                  <w14:solidFill>
                    <w14:schemeClr w14:val="tx1"/>
                  </w14:solidFill>
                </w14:textFill>
              </w:rPr>
              <w:t>2</w:t>
            </w:r>
            <w:r>
              <w:rPr>
                <w:rFonts w:hint="eastAsia" w:ascii="Times New Roman" w:hAnsi="Times New Roman" w:cs="Times New Roman"/>
                <w:color w:val="000000" w:themeColor="text1"/>
                <w:sz w:val="24"/>
                <w:szCs w:val="18"/>
                <w:highlight w:val="none"/>
                <w:lang w:eastAsia="zh-CN"/>
                <w14:textFill>
                  <w14:solidFill>
                    <w14:schemeClr w14:val="tx1"/>
                  </w14:solidFill>
                </w14:textFill>
              </w:rPr>
              <w:t>）</w:t>
            </w:r>
          </w:p>
          <w:p w14:paraId="40853EDA">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根据车间消防设计，室内消防栓水量为</w:t>
            </w:r>
            <w:r>
              <w:rPr>
                <w:rFonts w:hint="eastAsia" w:cs="Times New Roman"/>
                <w:color w:val="000000" w:themeColor="text1"/>
                <w:sz w:val="24"/>
                <w:szCs w:val="18"/>
                <w:highlight w:val="none"/>
                <w:lang w:val="en-US" w:eastAsia="zh-CN"/>
                <w14:textFill>
                  <w14:solidFill>
                    <w14:schemeClr w14:val="tx1"/>
                  </w14:solidFill>
                </w14:textFill>
              </w:rPr>
              <w:t>20</w:t>
            </w:r>
            <w:r>
              <w:rPr>
                <w:rFonts w:hint="eastAsia" w:ascii="Times New Roman" w:hAnsi="Times New Roman" w:cs="Times New Roman"/>
                <w:color w:val="000000" w:themeColor="text1"/>
                <w:sz w:val="24"/>
                <w:szCs w:val="18"/>
                <w:highlight w:val="none"/>
                <w:lang w:eastAsia="zh-CN"/>
                <w14:textFill>
                  <w14:solidFill>
                    <w14:schemeClr w14:val="tx1"/>
                  </w14:solidFill>
                </w14:textFill>
              </w:rPr>
              <w:t>L/s；火灾延续时间按</w:t>
            </w:r>
            <w:r>
              <w:rPr>
                <w:rFonts w:hint="eastAsia" w:cs="Times New Roman"/>
                <w:color w:val="000000" w:themeColor="text1"/>
                <w:sz w:val="24"/>
                <w:szCs w:val="18"/>
                <w:highlight w:val="none"/>
                <w:lang w:val="en-US" w:eastAsia="zh-CN"/>
                <w14:textFill>
                  <w14:solidFill>
                    <w14:schemeClr w14:val="tx1"/>
                  </w14:solidFill>
                </w14:textFill>
              </w:rPr>
              <w:t>3</w:t>
            </w:r>
            <w:r>
              <w:rPr>
                <w:rFonts w:hint="eastAsia" w:ascii="Times New Roman" w:hAnsi="Times New Roman" w:cs="Times New Roman"/>
                <w:color w:val="000000" w:themeColor="text1"/>
                <w:sz w:val="24"/>
                <w:szCs w:val="18"/>
                <w:highlight w:val="none"/>
                <w:lang w:eastAsia="zh-CN"/>
                <w14:textFill>
                  <w14:solidFill>
                    <w14:schemeClr w14:val="tx1"/>
                  </w14:solidFill>
                </w14:textFill>
              </w:rPr>
              <w:t>h计算。假设一次火灾产生的消防废水量为消防废水用量。经计算，一次消防废水产生量为</w:t>
            </w:r>
            <w:r>
              <w:rPr>
                <w:rFonts w:hint="eastAsia" w:cs="Times New Roman"/>
                <w:color w:val="000000" w:themeColor="text1"/>
                <w:sz w:val="24"/>
                <w:szCs w:val="18"/>
                <w:highlight w:val="none"/>
                <w:lang w:val="en-US" w:eastAsia="zh-CN"/>
                <w14:textFill>
                  <w14:solidFill>
                    <w14:schemeClr w14:val="tx1"/>
                  </w14:solidFill>
                </w14:textFill>
              </w:rPr>
              <w:t>216</w:t>
            </w:r>
            <w:r>
              <w:rPr>
                <w:rFonts w:hint="eastAsia" w:ascii="Times New Roman" w:hAnsi="Times New Roman" w:cs="Times New Roman"/>
                <w:color w:val="000000" w:themeColor="text1"/>
                <w:sz w:val="24"/>
                <w:szCs w:val="18"/>
                <w:highlight w:val="none"/>
                <w:lang w:eastAsia="zh-CN"/>
                <w14:textFill>
                  <w14:solidFill>
                    <w14:schemeClr w14:val="tx1"/>
                  </w14:solidFill>
                </w14:textFill>
              </w:rPr>
              <w:t>m</w:t>
            </w:r>
            <w:r>
              <w:rPr>
                <w:rFonts w:hint="eastAsia" w:ascii="Times New Roman" w:hAnsi="Times New Roman" w:cs="Times New Roman"/>
                <w:color w:val="000000" w:themeColor="text1"/>
                <w:sz w:val="24"/>
                <w:szCs w:val="18"/>
                <w:highlight w:val="none"/>
                <w:vertAlign w:val="superscript"/>
                <w:lang w:eastAsia="zh-CN"/>
                <w14:textFill>
                  <w14:solidFill>
                    <w14:schemeClr w14:val="tx1"/>
                  </w14:solidFill>
                </w14:textFill>
              </w:rPr>
              <w:t>3</w:t>
            </w:r>
            <w:r>
              <w:rPr>
                <w:rFonts w:hint="eastAsia" w:ascii="Times New Roman" w:hAnsi="Times New Roman" w:cs="Times New Roman"/>
                <w:color w:val="000000" w:themeColor="text1"/>
                <w:sz w:val="24"/>
                <w:szCs w:val="18"/>
                <w:highlight w:val="none"/>
                <w:lang w:eastAsia="zh-CN"/>
                <w14:textFill>
                  <w14:solidFill>
                    <w14:schemeClr w14:val="tx1"/>
                  </w14:solidFill>
                </w14:textFill>
              </w:rPr>
              <w:t>。</w:t>
            </w:r>
          </w:p>
          <w:p w14:paraId="05712AED">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（3）发生事故时可以转输到其他储存或处理设施的物料量（V</w:t>
            </w:r>
            <w:r>
              <w:rPr>
                <w:rFonts w:hint="eastAsia" w:ascii="Times New Roman" w:hAnsi="Times New Roman" w:cs="Times New Roman"/>
                <w:color w:val="000000" w:themeColor="text1"/>
                <w:sz w:val="24"/>
                <w:szCs w:val="18"/>
                <w:highlight w:val="none"/>
                <w:vertAlign w:val="subscript"/>
                <w:lang w:eastAsia="zh-CN"/>
                <w14:textFill>
                  <w14:solidFill>
                    <w14:schemeClr w14:val="tx1"/>
                  </w14:solidFill>
                </w14:textFill>
              </w:rPr>
              <w:t>3</w:t>
            </w:r>
            <w:r>
              <w:rPr>
                <w:rFonts w:hint="eastAsia" w:ascii="Times New Roman" w:hAnsi="Times New Roman" w:cs="Times New Roman"/>
                <w:color w:val="000000" w:themeColor="text1"/>
                <w:sz w:val="24"/>
                <w:szCs w:val="18"/>
                <w:highlight w:val="none"/>
                <w:lang w:eastAsia="zh-CN"/>
                <w14:textFill>
                  <w14:solidFill>
                    <w14:schemeClr w14:val="tx1"/>
                  </w14:solidFill>
                </w14:textFill>
              </w:rPr>
              <w:t>）</w:t>
            </w:r>
          </w:p>
          <w:p w14:paraId="18510F4D">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V</w:t>
            </w:r>
            <w:r>
              <w:rPr>
                <w:rFonts w:hint="eastAsia" w:ascii="Times New Roman" w:hAnsi="Times New Roman" w:cs="Times New Roman"/>
                <w:color w:val="000000" w:themeColor="text1"/>
                <w:sz w:val="24"/>
                <w:szCs w:val="18"/>
                <w:highlight w:val="none"/>
                <w:vertAlign w:val="subscript"/>
                <w:lang w:eastAsia="zh-CN"/>
                <w14:textFill>
                  <w14:solidFill>
                    <w14:schemeClr w14:val="tx1"/>
                  </w14:solidFill>
                </w14:textFill>
              </w:rPr>
              <w:t>3</w:t>
            </w:r>
            <w:r>
              <w:rPr>
                <w:rFonts w:hint="eastAsia" w:ascii="Times New Roman" w:hAnsi="Times New Roman" w:cs="Times New Roman"/>
                <w:color w:val="000000" w:themeColor="text1"/>
                <w:sz w:val="24"/>
                <w:szCs w:val="18"/>
                <w:highlight w:val="none"/>
                <w:lang w:eastAsia="zh-CN"/>
                <w14:textFill>
                  <w14:solidFill>
                    <w14:schemeClr w14:val="tx1"/>
                  </w14:solidFill>
                </w14:textFill>
              </w:rPr>
              <w:t>=0m</w:t>
            </w:r>
            <w:r>
              <w:rPr>
                <w:rFonts w:hint="eastAsia" w:cs="Times New Roman"/>
                <w:color w:val="000000" w:themeColor="text1"/>
                <w:sz w:val="24"/>
                <w:szCs w:val="18"/>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4"/>
                <w:szCs w:val="18"/>
                <w:highlight w:val="none"/>
                <w:lang w:eastAsia="zh-CN"/>
                <w14:textFill>
                  <w14:solidFill>
                    <w14:schemeClr w14:val="tx1"/>
                  </w14:solidFill>
                </w14:textFill>
              </w:rPr>
              <w:t>。</w:t>
            </w:r>
          </w:p>
          <w:p w14:paraId="3948222D">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（4）生产废水应急所需容积（V</w:t>
            </w:r>
            <w:r>
              <w:rPr>
                <w:rFonts w:hint="eastAsia" w:ascii="Times New Roman" w:hAnsi="Times New Roman" w:cs="Times New Roman"/>
                <w:color w:val="000000" w:themeColor="text1"/>
                <w:sz w:val="24"/>
                <w:szCs w:val="18"/>
                <w:highlight w:val="none"/>
                <w:vertAlign w:val="subscript"/>
                <w:lang w:eastAsia="zh-CN"/>
                <w14:textFill>
                  <w14:solidFill>
                    <w14:schemeClr w14:val="tx1"/>
                  </w14:solidFill>
                </w14:textFill>
              </w:rPr>
              <w:t>4</w:t>
            </w:r>
            <w:r>
              <w:rPr>
                <w:rFonts w:hint="eastAsia" w:ascii="Times New Roman" w:hAnsi="Times New Roman" w:cs="Times New Roman"/>
                <w:color w:val="000000" w:themeColor="text1"/>
                <w:sz w:val="24"/>
                <w:szCs w:val="18"/>
                <w:highlight w:val="none"/>
                <w:lang w:eastAsia="zh-CN"/>
                <w14:textFill>
                  <w14:solidFill>
                    <w14:schemeClr w14:val="tx1"/>
                  </w14:solidFill>
                </w14:textFill>
              </w:rPr>
              <w:t>）</w:t>
            </w:r>
          </w:p>
          <w:p w14:paraId="1747845E">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发生事故时</w:t>
            </w:r>
            <w:r>
              <w:rPr>
                <w:rFonts w:hint="eastAsia" w:cs="Times New Roman"/>
                <w:color w:val="000000" w:themeColor="text1"/>
                <w:sz w:val="24"/>
                <w:szCs w:val="18"/>
                <w:highlight w:val="none"/>
                <w:lang w:val="en-US" w:eastAsia="zh-CN"/>
                <w14:textFill>
                  <w14:solidFill>
                    <w14:schemeClr w14:val="tx1"/>
                  </w14:solidFill>
                </w14:textFill>
              </w:rPr>
              <w:t>生产废水进入污水处理站的应急池</w:t>
            </w:r>
            <w:r>
              <w:rPr>
                <w:rFonts w:hint="eastAsia" w:ascii="Times New Roman" w:hAnsi="Times New Roman" w:cs="Times New Roman"/>
                <w:color w:val="000000" w:themeColor="text1"/>
                <w:sz w:val="24"/>
                <w:szCs w:val="18"/>
                <w:highlight w:val="none"/>
                <w:lang w:eastAsia="zh-CN"/>
                <w14:textFill>
                  <w14:solidFill>
                    <w14:schemeClr w14:val="tx1"/>
                  </w14:solidFill>
                </w14:textFill>
              </w:rPr>
              <w:t>，则V</w:t>
            </w:r>
            <w:r>
              <w:rPr>
                <w:rFonts w:hint="eastAsia" w:ascii="Times New Roman" w:hAnsi="Times New Roman" w:cs="Times New Roman"/>
                <w:color w:val="000000" w:themeColor="text1"/>
                <w:sz w:val="24"/>
                <w:szCs w:val="18"/>
                <w:highlight w:val="none"/>
                <w:vertAlign w:val="subscript"/>
                <w:lang w:eastAsia="zh-CN"/>
                <w14:textFill>
                  <w14:solidFill>
                    <w14:schemeClr w14:val="tx1"/>
                  </w14:solidFill>
                </w14:textFill>
              </w:rPr>
              <w:t>4</w:t>
            </w:r>
            <w:r>
              <w:rPr>
                <w:rFonts w:hint="eastAsia" w:ascii="Times New Roman" w:hAnsi="Times New Roman" w:cs="Times New Roman"/>
                <w:color w:val="000000" w:themeColor="text1"/>
                <w:sz w:val="24"/>
                <w:szCs w:val="18"/>
                <w:highlight w:val="none"/>
                <w:lang w:eastAsia="zh-CN"/>
                <w14:textFill>
                  <w14:solidFill>
                    <w14:schemeClr w14:val="tx1"/>
                  </w14:solidFill>
                </w14:textFill>
              </w:rPr>
              <w:t>=0m</w:t>
            </w:r>
            <w:r>
              <w:rPr>
                <w:rFonts w:hint="eastAsia" w:cs="Times New Roman"/>
                <w:color w:val="000000" w:themeColor="text1"/>
                <w:sz w:val="24"/>
                <w:szCs w:val="18"/>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4"/>
                <w:szCs w:val="18"/>
                <w:highlight w:val="none"/>
                <w:lang w:eastAsia="zh-CN"/>
                <w14:textFill>
                  <w14:solidFill>
                    <w14:schemeClr w14:val="tx1"/>
                  </w14:solidFill>
                </w14:textFill>
              </w:rPr>
              <w:t>。</w:t>
            </w:r>
          </w:p>
          <w:p w14:paraId="3BB62F97">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（5）降雨量（V</w:t>
            </w:r>
            <w:r>
              <w:rPr>
                <w:rFonts w:hint="eastAsia" w:ascii="Times New Roman" w:hAnsi="Times New Roman" w:cs="Times New Roman"/>
                <w:color w:val="000000" w:themeColor="text1"/>
                <w:sz w:val="24"/>
                <w:szCs w:val="18"/>
                <w:highlight w:val="none"/>
                <w:vertAlign w:val="subscript"/>
                <w:lang w:eastAsia="zh-CN"/>
                <w14:textFill>
                  <w14:solidFill>
                    <w14:schemeClr w14:val="tx1"/>
                  </w14:solidFill>
                </w14:textFill>
              </w:rPr>
              <w:t>5</w:t>
            </w:r>
            <w:r>
              <w:rPr>
                <w:rFonts w:hint="eastAsia" w:ascii="Times New Roman" w:hAnsi="Times New Roman" w:cs="Times New Roman"/>
                <w:color w:val="000000" w:themeColor="text1"/>
                <w:sz w:val="24"/>
                <w:szCs w:val="18"/>
                <w:highlight w:val="none"/>
                <w:lang w:eastAsia="zh-CN"/>
                <w14:textFill>
                  <w14:solidFill>
                    <w14:schemeClr w14:val="tx1"/>
                  </w14:solidFill>
                </w14:textFill>
              </w:rPr>
              <w:t>）</w:t>
            </w:r>
          </w:p>
          <w:p w14:paraId="3EED32E2">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福州市年均降水量</w:t>
            </w:r>
            <w:r>
              <w:rPr>
                <w:rFonts w:hint="eastAsia" w:cs="Times New Roman"/>
                <w:color w:val="000000" w:themeColor="text1"/>
                <w:sz w:val="24"/>
                <w:szCs w:val="18"/>
                <w:highlight w:val="none"/>
                <w:lang w:val="en-US" w:eastAsia="zh-CN"/>
                <w14:textFill>
                  <w14:solidFill>
                    <w14:schemeClr w14:val="tx1"/>
                  </w14:solidFill>
                </w14:textFill>
              </w:rPr>
              <w:t>约</w:t>
            </w:r>
            <w:r>
              <w:rPr>
                <w:rFonts w:hint="eastAsia" w:ascii="Times New Roman" w:hAnsi="Times New Roman" w:cs="Times New Roman"/>
                <w:color w:val="000000" w:themeColor="text1"/>
                <w:sz w:val="24"/>
                <w:szCs w:val="18"/>
                <w:highlight w:val="none"/>
                <w:lang w:eastAsia="zh-CN"/>
                <w14:textFill>
                  <w14:solidFill>
                    <w14:schemeClr w14:val="tx1"/>
                  </w14:solidFill>
                </w14:textFill>
              </w:rPr>
              <w:t>取</w:t>
            </w:r>
            <w:r>
              <w:rPr>
                <w:rFonts w:hint="eastAsia" w:cs="Times New Roman"/>
                <w:color w:val="000000" w:themeColor="text1"/>
                <w:sz w:val="24"/>
                <w:szCs w:val="18"/>
                <w:highlight w:val="none"/>
                <w:lang w:val="en-US" w:eastAsia="zh-CN"/>
                <w14:textFill>
                  <w14:solidFill>
                    <w14:schemeClr w14:val="tx1"/>
                  </w14:solidFill>
                </w14:textFill>
              </w:rPr>
              <w:t>1342</w:t>
            </w:r>
            <w:r>
              <w:rPr>
                <w:rFonts w:hint="eastAsia" w:ascii="Times New Roman" w:hAnsi="Times New Roman" w:cs="Times New Roman"/>
                <w:color w:val="000000" w:themeColor="text1"/>
                <w:sz w:val="24"/>
                <w:szCs w:val="18"/>
                <w:highlight w:val="none"/>
                <w:lang w:eastAsia="zh-CN"/>
                <w14:textFill>
                  <w14:solidFill>
                    <w14:schemeClr w14:val="tx1"/>
                  </w14:solidFill>
                </w14:textFill>
              </w:rPr>
              <w:t>mm，年平均降雨天数取</w:t>
            </w:r>
            <w:r>
              <w:rPr>
                <w:rFonts w:hint="eastAsia" w:cs="Times New Roman"/>
                <w:color w:val="000000" w:themeColor="text1"/>
                <w:sz w:val="24"/>
                <w:szCs w:val="18"/>
                <w:highlight w:val="none"/>
                <w:lang w:val="en-US" w:eastAsia="zh-CN"/>
                <w14:textFill>
                  <w14:solidFill>
                    <w14:schemeClr w14:val="tx1"/>
                  </w14:solidFill>
                </w14:textFill>
              </w:rPr>
              <w:t>145</w:t>
            </w:r>
            <w:r>
              <w:rPr>
                <w:rFonts w:hint="eastAsia" w:ascii="Times New Roman" w:hAnsi="Times New Roman" w:cs="Times New Roman"/>
                <w:color w:val="000000" w:themeColor="text1"/>
                <w:sz w:val="24"/>
                <w:szCs w:val="18"/>
                <w:highlight w:val="none"/>
                <w:lang w:eastAsia="zh-CN"/>
                <w14:textFill>
                  <w14:solidFill>
                    <w14:schemeClr w14:val="tx1"/>
                  </w14:solidFill>
                </w14:textFill>
              </w:rPr>
              <w:t>天，则q为</w:t>
            </w:r>
            <w:r>
              <w:rPr>
                <w:rFonts w:hint="eastAsia" w:cs="Times New Roman"/>
                <w:color w:val="000000" w:themeColor="text1"/>
                <w:sz w:val="24"/>
                <w:szCs w:val="18"/>
                <w:highlight w:val="none"/>
                <w:lang w:val="en-US" w:eastAsia="zh-CN"/>
                <w14:textFill>
                  <w14:solidFill>
                    <w14:schemeClr w14:val="tx1"/>
                  </w14:solidFill>
                </w14:textFill>
              </w:rPr>
              <w:t>9.255</w:t>
            </w:r>
            <w:r>
              <w:rPr>
                <w:rFonts w:hint="eastAsia" w:ascii="Times New Roman" w:hAnsi="Times New Roman" w:cs="Times New Roman"/>
                <w:color w:val="000000" w:themeColor="text1"/>
                <w:sz w:val="24"/>
                <w:szCs w:val="18"/>
                <w:highlight w:val="none"/>
                <w:lang w:eastAsia="zh-CN"/>
                <w14:textFill>
                  <w14:solidFill>
                    <w14:schemeClr w14:val="tx1"/>
                  </w14:solidFill>
                </w14:textFill>
              </w:rPr>
              <w:t>mm/d，</w:t>
            </w:r>
            <w:r>
              <w:rPr>
                <w:rFonts w:hint="eastAsia" w:cs="Times New Roman"/>
                <w:color w:val="000000" w:themeColor="text1"/>
                <w:sz w:val="24"/>
                <w:szCs w:val="18"/>
                <w:highlight w:val="none"/>
                <w:lang w:val="en-US" w:eastAsia="zh-CN"/>
                <w14:textFill>
                  <w14:solidFill>
                    <w14:schemeClr w14:val="tx1"/>
                  </w14:solidFill>
                </w14:textFill>
              </w:rPr>
              <w:t>屋面的雨水通过雨水管道收集排入市政雨水管网，</w:t>
            </w:r>
            <w:r>
              <w:rPr>
                <w:rFonts w:hint="eastAsia" w:ascii="Times New Roman" w:hAnsi="Times New Roman" w:cs="Times New Roman"/>
                <w:color w:val="000000" w:themeColor="text1"/>
                <w:sz w:val="24"/>
                <w:szCs w:val="18"/>
                <w:highlight w:val="none"/>
                <w:lang w:eastAsia="zh-CN"/>
                <w14:textFill>
                  <w14:solidFill>
                    <w14:schemeClr w14:val="tx1"/>
                  </w14:solidFill>
                </w14:textFill>
              </w:rPr>
              <w:t>发生事故时可能进入该收集系统的降雨量</w:t>
            </w:r>
            <w:r>
              <w:rPr>
                <w:rFonts w:hint="eastAsia" w:cs="Times New Roman"/>
                <w:color w:val="000000" w:themeColor="text1"/>
                <w:sz w:val="24"/>
                <w:szCs w:val="18"/>
                <w:highlight w:val="none"/>
                <w:lang w:val="en-US" w:eastAsia="zh-CN"/>
                <w14:textFill>
                  <w14:solidFill>
                    <w14:schemeClr w14:val="tx1"/>
                  </w14:solidFill>
                </w14:textFill>
              </w:rPr>
              <w:t>为化学品间和危废间与室外边沟围成的汇水面积，约0.0034</w:t>
            </w:r>
            <w:r>
              <w:rPr>
                <w:rFonts w:hint="eastAsia" w:ascii="Times New Roman" w:hAnsi="Times New Roman" w:cs="Times New Roman"/>
                <w:color w:val="000000" w:themeColor="text1"/>
                <w:sz w:val="24"/>
                <w:szCs w:val="18"/>
                <w:highlight w:val="none"/>
                <w:lang w:eastAsia="zh-CN"/>
                <w14:textFill>
                  <w14:solidFill>
                    <w14:schemeClr w14:val="tx1"/>
                  </w14:solidFill>
                </w14:textFill>
              </w:rPr>
              <w:t>ha，则V</w:t>
            </w:r>
            <w:r>
              <w:rPr>
                <w:rFonts w:hint="eastAsia" w:ascii="Times New Roman" w:hAnsi="Times New Roman" w:cs="Times New Roman"/>
                <w:color w:val="000000" w:themeColor="text1"/>
                <w:sz w:val="24"/>
                <w:szCs w:val="18"/>
                <w:highlight w:val="none"/>
                <w:vertAlign w:val="subscript"/>
                <w:lang w:eastAsia="zh-CN"/>
                <w14:textFill>
                  <w14:solidFill>
                    <w14:schemeClr w14:val="tx1"/>
                  </w14:solidFill>
                </w14:textFill>
              </w:rPr>
              <w:t>5</w:t>
            </w:r>
            <w:r>
              <w:rPr>
                <w:rFonts w:hint="eastAsia" w:ascii="Times New Roman" w:hAnsi="Times New Roman" w:cs="Times New Roman"/>
                <w:color w:val="000000" w:themeColor="text1"/>
                <w:sz w:val="24"/>
                <w:szCs w:val="18"/>
                <w:highlight w:val="none"/>
                <w:lang w:eastAsia="zh-CN"/>
                <w14:textFill>
                  <w14:solidFill>
                    <w14:schemeClr w14:val="tx1"/>
                  </w14:solidFill>
                </w14:textFill>
              </w:rPr>
              <w:t>=</w:t>
            </w:r>
            <w:r>
              <w:rPr>
                <w:rFonts w:hint="eastAsia" w:cs="Times New Roman"/>
                <w:color w:val="000000" w:themeColor="text1"/>
                <w:sz w:val="24"/>
                <w:szCs w:val="18"/>
                <w:highlight w:val="none"/>
                <w:lang w:val="en-US" w:eastAsia="zh-CN"/>
                <w14:textFill>
                  <w14:solidFill>
                    <w14:schemeClr w14:val="tx1"/>
                  </w14:solidFill>
                </w14:textFill>
              </w:rPr>
              <w:t>0.31</w:t>
            </w:r>
            <w:r>
              <w:rPr>
                <w:rFonts w:hint="eastAsia" w:ascii="Times New Roman" w:hAnsi="Times New Roman" w:cs="Times New Roman"/>
                <w:color w:val="000000" w:themeColor="text1"/>
                <w:sz w:val="24"/>
                <w:szCs w:val="18"/>
                <w:highlight w:val="none"/>
                <w:lang w:eastAsia="zh-CN"/>
                <w14:textFill>
                  <w14:solidFill>
                    <w14:schemeClr w14:val="tx1"/>
                  </w14:solidFill>
                </w14:textFill>
              </w:rPr>
              <w:t>m</w:t>
            </w:r>
            <w:r>
              <w:rPr>
                <w:rFonts w:hint="eastAsia" w:cs="Times New Roman"/>
                <w:color w:val="000000" w:themeColor="text1"/>
                <w:sz w:val="24"/>
                <w:szCs w:val="18"/>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4"/>
                <w:szCs w:val="18"/>
                <w:highlight w:val="none"/>
                <w:lang w:eastAsia="zh-CN"/>
                <w14:textFill>
                  <w14:solidFill>
                    <w14:schemeClr w14:val="tx1"/>
                  </w14:solidFill>
                </w14:textFill>
              </w:rPr>
              <w:t>。</w:t>
            </w:r>
          </w:p>
          <w:p w14:paraId="310638DB">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消防事故应急池V</w:t>
            </w:r>
            <w:r>
              <w:rPr>
                <w:rFonts w:hint="eastAsia" w:ascii="Times New Roman" w:hAnsi="Times New Roman" w:cs="Times New Roman"/>
                <w:color w:val="000000" w:themeColor="text1"/>
                <w:sz w:val="24"/>
                <w:szCs w:val="18"/>
                <w:highlight w:val="none"/>
                <w:vertAlign w:val="subscript"/>
                <w:lang w:eastAsia="zh-CN"/>
                <w14:textFill>
                  <w14:solidFill>
                    <w14:schemeClr w14:val="tx1"/>
                  </w14:solidFill>
                </w14:textFill>
              </w:rPr>
              <w:t>总</w:t>
            </w:r>
            <w:r>
              <w:rPr>
                <w:rFonts w:hint="eastAsia" w:ascii="Times New Roman" w:hAnsi="Times New Roman" w:cs="Times New Roman"/>
                <w:color w:val="000000" w:themeColor="text1"/>
                <w:sz w:val="24"/>
                <w:szCs w:val="18"/>
                <w:highlight w:val="none"/>
                <w:lang w:eastAsia="zh-CN"/>
                <w14:textFill>
                  <w14:solidFill>
                    <w14:schemeClr w14:val="tx1"/>
                  </w14:solidFill>
                </w14:textFill>
              </w:rPr>
              <w:t>=(V</w:t>
            </w:r>
            <w:r>
              <w:rPr>
                <w:rFonts w:hint="eastAsia" w:ascii="Times New Roman" w:hAnsi="Times New Roman" w:cs="Times New Roman"/>
                <w:color w:val="000000" w:themeColor="text1"/>
                <w:sz w:val="24"/>
                <w:szCs w:val="18"/>
                <w:highlight w:val="none"/>
                <w:vertAlign w:val="subscript"/>
                <w:lang w:eastAsia="zh-CN"/>
                <w14:textFill>
                  <w14:solidFill>
                    <w14:schemeClr w14:val="tx1"/>
                  </w14:solidFill>
                </w14:textFill>
              </w:rPr>
              <w:t>1</w:t>
            </w:r>
            <w:r>
              <w:rPr>
                <w:rFonts w:hint="eastAsia" w:ascii="Times New Roman" w:hAnsi="Times New Roman" w:cs="Times New Roman"/>
                <w:color w:val="000000" w:themeColor="text1"/>
                <w:sz w:val="24"/>
                <w:szCs w:val="18"/>
                <w:highlight w:val="none"/>
                <w:lang w:eastAsia="zh-CN"/>
                <w14:textFill>
                  <w14:solidFill>
                    <w14:schemeClr w14:val="tx1"/>
                  </w14:solidFill>
                </w14:textFill>
              </w:rPr>
              <w:t>+V</w:t>
            </w:r>
            <w:r>
              <w:rPr>
                <w:rFonts w:hint="eastAsia" w:ascii="Times New Roman" w:hAnsi="Times New Roman" w:cs="Times New Roman"/>
                <w:color w:val="000000" w:themeColor="text1"/>
                <w:sz w:val="24"/>
                <w:szCs w:val="18"/>
                <w:highlight w:val="none"/>
                <w:vertAlign w:val="subscript"/>
                <w:lang w:eastAsia="zh-CN"/>
                <w14:textFill>
                  <w14:solidFill>
                    <w14:schemeClr w14:val="tx1"/>
                  </w14:solidFill>
                </w14:textFill>
              </w:rPr>
              <w:t>2</w:t>
            </w:r>
            <w:r>
              <w:rPr>
                <w:rFonts w:hint="eastAsia" w:ascii="Times New Roman" w:hAnsi="Times New Roman" w:cs="Times New Roman"/>
                <w:color w:val="000000" w:themeColor="text1"/>
                <w:sz w:val="24"/>
                <w:szCs w:val="18"/>
                <w:highlight w:val="none"/>
                <w:lang w:eastAsia="zh-CN"/>
                <w14:textFill>
                  <w14:solidFill>
                    <w14:schemeClr w14:val="tx1"/>
                  </w14:solidFill>
                </w14:textFill>
              </w:rPr>
              <w:t>-V</w:t>
            </w:r>
            <w:r>
              <w:rPr>
                <w:rFonts w:hint="eastAsia" w:ascii="Times New Roman" w:hAnsi="Times New Roman" w:cs="Times New Roman"/>
                <w:color w:val="000000" w:themeColor="text1"/>
                <w:sz w:val="24"/>
                <w:szCs w:val="18"/>
                <w:highlight w:val="none"/>
                <w:vertAlign w:val="subscript"/>
                <w:lang w:eastAsia="zh-CN"/>
                <w14:textFill>
                  <w14:solidFill>
                    <w14:schemeClr w14:val="tx1"/>
                  </w14:solidFill>
                </w14:textFill>
              </w:rPr>
              <w:t>3</w:t>
            </w:r>
            <w:r>
              <w:rPr>
                <w:rFonts w:hint="eastAsia" w:ascii="Times New Roman" w:hAnsi="Times New Roman" w:cs="Times New Roman"/>
                <w:color w:val="000000" w:themeColor="text1"/>
                <w:sz w:val="24"/>
                <w:szCs w:val="18"/>
                <w:highlight w:val="none"/>
                <w:lang w:eastAsia="zh-CN"/>
                <w14:textFill>
                  <w14:solidFill>
                    <w14:schemeClr w14:val="tx1"/>
                  </w14:solidFill>
                </w14:textFill>
              </w:rPr>
              <w:t>)max+V</w:t>
            </w:r>
            <w:r>
              <w:rPr>
                <w:rFonts w:hint="eastAsia" w:ascii="Times New Roman" w:hAnsi="Times New Roman" w:cs="Times New Roman"/>
                <w:color w:val="000000" w:themeColor="text1"/>
                <w:sz w:val="24"/>
                <w:szCs w:val="18"/>
                <w:highlight w:val="none"/>
                <w:vertAlign w:val="subscript"/>
                <w:lang w:eastAsia="zh-CN"/>
                <w14:textFill>
                  <w14:solidFill>
                    <w14:schemeClr w14:val="tx1"/>
                  </w14:solidFill>
                </w14:textFill>
              </w:rPr>
              <w:t>4</w:t>
            </w:r>
            <w:r>
              <w:rPr>
                <w:rFonts w:hint="eastAsia" w:ascii="Times New Roman" w:hAnsi="Times New Roman" w:cs="Times New Roman"/>
                <w:color w:val="000000" w:themeColor="text1"/>
                <w:sz w:val="24"/>
                <w:szCs w:val="18"/>
                <w:highlight w:val="none"/>
                <w:lang w:eastAsia="zh-CN"/>
                <w14:textFill>
                  <w14:solidFill>
                    <w14:schemeClr w14:val="tx1"/>
                  </w14:solidFill>
                </w14:textFill>
              </w:rPr>
              <w:t>+V</w:t>
            </w:r>
            <w:r>
              <w:rPr>
                <w:rFonts w:hint="eastAsia" w:ascii="Times New Roman" w:hAnsi="Times New Roman" w:cs="Times New Roman"/>
                <w:color w:val="000000" w:themeColor="text1"/>
                <w:sz w:val="24"/>
                <w:szCs w:val="18"/>
                <w:highlight w:val="none"/>
                <w:vertAlign w:val="subscript"/>
                <w:lang w:eastAsia="zh-CN"/>
                <w14:textFill>
                  <w14:solidFill>
                    <w14:schemeClr w14:val="tx1"/>
                  </w14:solidFill>
                </w14:textFill>
              </w:rPr>
              <w:t>5</w:t>
            </w:r>
            <w:r>
              <w:rPr>
                <w:rFonts w:hint="eastAsia" w:ascii="Times New Roman" w:hAnsi="Times New Roman" w:cs="Times New Roman"/>
                <w:color w:val="000000" w:themeColor="text1"/>
                <w:sz w:val="24"/>
                <w:szCs w:val="18"/>
                <w:highlight w:val="none"/>
                <w:lang w:eastAsia="zh-CN"/>
                <w14:textFill>
                  <w14:solidFill>
                    <w14:schemeClr w14:val="tx1"/>
                  </w14:solidFill>
                </w14:textFill>
              </w:rPr>
              <w:t>=（</w:t>
            </w:r>
            <w:r>
              <w:rPr>
                <w:rFonts w:hint="eastAsia" w:cs="Times New Roman"/>
                <w:color w:val="000000" w:themeColor="text1"/>
                <w:sz w:val="24"/>
                <w:szCs w:val="18"/>
                <w:highlight w:val="none"/>
                <w:lang w:val="en-US" w:eastAsia="zh-CN"/>
                <w14:textFill>
                  <w14:solidFill>
                    <w14:schemeClr w14:val="tx1"/>
                  </w14:solidFill>
                </w14:textFill>
              </w:rPr>
              <w:t>0</w:t>
            </w:r>
            <w:r>
              <w:rPr>
                <w:rFonts w:hint="eastAsia" w:ascii="Times New Roman" w:hAnsi="Times New Roman" w:cs="Times New Roman"/>
                <w:color w:val="000000" w:themeColor="text1"/>
                <w:sz w:val="24"/>
                <w:szCs w:val="18"/>
                <w:highlight w:val="none"/>
                <w:lang w:eastAsia="zh-CN"/>
                <w14:textFill>
                  <w14:solidFill>
                    <w14:schemeClr w14:val="tx1"/>
                  </w14:solidFill>
                </w14:textFill>
              </w:rPr>
              <w:t>+</w:t>
            </w:r>
            <w:r>
              <w:rPr>
                <w:rFonts w:hint="eastAsia" w:cs="Times New Roman"/>
                <w:color w:val="000000" w:themeColor="text1"/>
                <w:sz w:val="24"/>
                <w:szCs w:val="18"/>
                <w:highlight w:val="none"/>
                <w:lang w:val="en-US" w:eastAsia="zh-CN"/>
                <w14:textFill>
                  <w14:solidFill>
                    <w14:schemeClr w14:val="tx1"/>
                  </w14:solidFill>
                </w14:textFill>
              </w:rPr>
              <w:t>216</w:t>
            </w:r>
            <w:r>
              <w:rPr>
                <w:rFonts w:hint="eastAsia" w:ascii="Times New Roman" w:hAnsi="Times New Roman" w:cs="Times New Roman"/>
                <w:color w:val="000000" w:themeColor="text1"/>
                <w:sz w:val="24"/>
                <w:szCs w:val="18"/>
                <w:highlight w:val="none"/>
                <w:lang w:eastAsia="zh-CN"/>
                <w14:textFill>
                  <w14:solidFill>
                    <w14:schemeClr w14:val="tx1"/>
                  </w14:solidFill>
                </w14:textFill>
              </w:rPr>
              <w:t>-0）+</w:t>
            </w:r>
            <w:r>
              <w:rPr>
                <w:rFonts w:hint="eastAsia" w:cs="Times New Roman"/>
                <w:color w:val="000000" w:themeColor="text1"/>
                <w:sz w:val="24"/>
                <w:szCs w:val="18"/>
                <w:highlight w:val="none"/>
                <w:lang w:val="en-US" w:eastAsia="zh-CN"/>
                <w14:textFill>
                  <w14:solidFill>
                    <w14:schemeClr w14:val="tx1"/>
                  </w14:solidFill>
                </w14:textFill>
              </w:rPr>
              <w:t>0</w:t>
            </w:r>
            <w:r>
              <w:rPr>
                <w:rFonts w:hint="eastAsia" w:ascii="Times New Roman" w:hAnsi="Times New Roman" w:cs="Times New Roman"/>
                <w:color w:val="000000" w:themeColor="text1"/>
                <w:sz w:val="24"/>
                <w:szCs w:val="18"/>
                <w:highlight w:val="none"/>
                <w:lang w:eastAsia="zh-CN"/>
                <w14:textFill>
                  <w14:solidFill>
                    <w14:schemeClr w14:val="tx1"/>
                  </w14:solidFill>
                </w14:textFill>
              </w:rPr>
              <w:t>+</w:t>
            </w:r>
            <w:r>
              <w:rPr>
                <w:rFonts w:hint="eastAsia" w:cs="Times New Roman"/>
                <w:color w:val="000000" w:themeColor="text1"/>
                <w:sz w:val="24"/>
                <w:szCs w:val="18"/>
                <w:highlight w:val="none"/>
                <w:lang w:val="en-US" w:eastAsia="zh-CN"/>
                <w14:textFill>
                  <w14:solidFill>
                    <w14:schemeClr w14:val="tx1"/>
                  </w14:solidFill>
                </w14:textFill>
              </w:rPr>
              <w:t>0.31</w:t>
            </w:r>
            <w:r>
              <w:rPr>
                <w:rFonts w:hint="eastAsia" w:ascii="Times New Roman" w:hAnsi="Times New Roman" w:cs="Times New Roman"/>
                <w:color w:val="000000" w:themeColor="text1"/>
                <w:sz w:val="24"/>
                <w:szCs w:val="18"/>
                <w:highlight w:val="none"/>
                <w:lang w:eastAsia="zh-CN"/>
                <w14:textFill>
                  <w14:solidFill>
                    <w14:schemeClr w14:val="tx1"/>
                  </w14:solidFill>
                </w14:textFill>
              </w:rPr>
              <w:t>=</w:t>
            </w:r>
            <w:r>
              <w:rPr>
                <w:rFonts w:hint="eastAsia" w:cs="Times New Roman"/>
                <w:color w:val="000000" w:themeColor="text1"/>
                <w:sz w:val="24"/>
                <w:szCs w:val="18"/>
                <w:highlight w:val="none"/>
                <w:lang w:val="en-US" w:eastAsia="zh-CN"/>
                <w14:textFill>
                  <w14:solidFill>
                    <w14:schemeClr w14:val="tx1"/>
                  </w14:solidFill>
                </w14:textFill>
              </w:rPr>
              <w:t>216.31</w:t>
            </w:r>
            <w:r>
              <w:rPr>
                <w:rFonts w:hint="eastAsia" w:ascii="Times New Roman" w:hAnsi="Times New Roman" w:cs="Times New Roman"/>
                <w:color w:val="000000" w:themeColor="text1"/>
                <w:sz w:val="24"/>
                <w:szCs w:val="18"/>
                <w:highlight w:val="none"/>
                <w:lang w:eastAsia="zh-CN"/>
                <w14:textFill>
                  <w14:solidFill>
                    <w14:schemeClr w14:val="tx1"/>
                  </w14:solidFill>
                </w14:textFill>
              </w:rPr>
              <w:t>m</w:t>
            </w:r>
            <w:r>
              <w:rPr>
                <w:rFonts w:hint="eastAsia" w:cs="Times New Roman"/>
                <w:color w:val="000000" w:themeColor="text1"/>
                <w:sz w:val="24"/>
                <w:szCs w:val="18"/>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4"/>
                <w:szCs w:val="18"/>
                <w:highlight w:val="none"/>
                <w:lang w:eastAsia="zh-CN"/>
                <w14:textFill>
                  <w14:solidFill>
                    <w14:schemeClr w14:val="tx1"/>
                  </w14:solidFill>
                </w14:textFill>
              </w:rPr>
              <w:t>。</w:t>
            </w:r>
          </w:p>
          <w:p w14:paraId="7AC08706">
            <w:pPr>
              <w:pStyle w:val="66"/>
              <w:ind w:firstLine="420"/>
              <w:rPr>
                <w:rFonts w:hint="eastAsia" w:ascii="Times New Roman" w:hAnsi="Times New Roman" w:cs="Times New Roman"/>
                <w:color w:val="000000" w:themeColor="text1"/>
                <w:sz w:val="24"/>
                <w:szCs w:val="18"/>
                <w:highlight w:val="none"/>
                <w:lang w:eastAsia="zh-CN"/>
                <w14:textFill>
                  <w14:solidFill>
                    <w14:schemeClr w14:val="tx1"/>
                  </w14:solidFill>
                </w14:textFill>
              </w:rPr>
            </w:pPr>
            <w:r>
              <w:rPr>
                <w:rFonts w:hint="eastAsia" w:cs="Times New Roman"/>
                <w:color w:val="000000" w:themeColor="text1"/>
                <w:sz w:val="24"/>
                <w:szCs w:val="18"/>
                <w:highlight w:val="none"/>
                <w:lang w:val="en-US" w:eastAsia="zh-CN"/>
                <w14:textFill>
                  <w14:solidFill>
                    <w14:schemeClr w14:val="tx1"/>
                  </w14:solidFill>
                </w14:textFill>
              </w:rPr>
              <w:t>因此</w:t>
            </w:r>
            <w:r>
              <w:rPr>
                <w:rFonts w:hint="eastAsia" w:ascii="Times New Roman" w:hAnsi="Times New Roman" w:cs="Times New Roman"/>
                <w:color w:val="000000" w:themeColor="text1"/>
                <w:sz w:val="24"/>
                <w:szCs w:val="18"/>
                <w:highlight w:val="none"/>
                <w:lang w:eastAsia="zh-CN"/>
                <w14:textFill>
                  <w14:solidFill>
                    <w14:schemeClr w14:val="tx1"/>
                  </w14:solidFill>
                </w14:textFill>
              </w:rPr>
              <w:t>，</w:t>
            </w:r>
            <w:r>
              <w:rPr>
                <w:rFonts w:hint="eastAsia" w:cs="Times New Roman"/>
                <w:color w:val="000000" w:themeColor="text1"/>
                <w:sz w:val="24"/>
                <w:szCs w:val="18"/>
                <w:highlight w:val="none"/>
                <w:lang w:val="en-US" w:eastAsia="zh-CN"/>
                <w14:textFill>
                  <w14:solidFill>
                    <w14:schemeClr w14:val="tx1"/>
                  </w14:solidFill>
                </w14:textFill>
              </w:rPr>
              <w:t>本次评价建议企业设置220</w:t>
            </w:r>
            <w:r>
              <w:rPr>
                <w:rFonts w:hint="eastAsia" w:ascii="Times New Roman" w:hAnsi="Times New Roman" w:cs="Times New Roman"/>
                <w:color w:val="000000" w:themeColor="text1"/>
                <w:sz w:val="24"/>
                <w:szCs w:val="18"/>
                <w:highlight w:val="none"/>
                <w:lang w:eastAsia="zh-CN"/>
                <w14:textFill>
                  <w14:solidFill>
                    <w14:schemeClr w14:val="tx1"/>
                  </w14:solidFill>
                </w14:textFill>
              </w:rPr>
              <w:t>m</w:t>
            </w:r>
            <w:r>
              <w:rPr>
                <w:rFonts w:hint="eastAsia" w:cs="Times New Roman"/>
                <w:color w:val="000000" w:themeColor="text1"/>
                <w:sz w:val="24"/>
                <w:szCs w:val="18"/>
                <w:highlight w:val="none"/>
                <w:vertAlign w:val="superscript"/>
                <w:lang w:val="en-US" w:eastAsia="zh-CN"/>
                <w14:textFill>
                  <w14:solidFill>
                    <w14:schemeClr w14:val="tx1"/>
                  </w14:solidFill>
                </w14:textFill>
              </w:rPr>
              <w:t>3</w:t>
            </w:r>
            <w:r>
              <w:rPr>
                <w:rFonts w:hint="eastAsia" w:cs="Times New Roman"/>
                <w:color w:val="000000" w:themeColor="text1"/>
                <w:sz w:val="24"/>
                <w:szCs w:val="18"/>
                <w:highlight w:val="none"/>
                <w:lang w:val="en-US" w:eastAsia="zh-CN"/>
                <w14:textFill>
                  <w14:solidFill>
                    <w14:schemeClr w14:val="tx1"/>
                  </w14:solidFill>
                </w14:textFill>
              </w:rPr>
              <w:t>的</w:t>
            </w:r>
            <w:r>
              <w:rPr>
                <w:rFonts w:hint="eastAsia" w:ascii="Times New Roman" w:hAnsi="Times New Roman" w:cs="Times New Roman"/>
                <w:color w:val="000000" w:themeColor="text1"/>
                <w:sz w:val="24"/>
                <w:szCs w:val="18"/>
                <w:highlight w:val="none"/>
                <w:lang w:eastAsia="zh-CN"/>
                <w14:textFill>
                  <w14:solidFill>
                    <w14:schemeClr w14:val="tx1"/>
                  </w14:solidFill>
                </w14:textFill>
              </w:rPr>
              <w:t>应急池，可满足消防事故情况下厂区的应急需求。</w:t>
            </w:r>
          </w:p>
          <w:p w14:paraId="173B7FAE">
            <w:pPr>
              <w:pStyle w:val="66"/>
              <w:ind w:firstLine="420"/>
              <w:rPr>
                <w:rFonts w:hint="eastAsia" w:cs="Times New Roman"/>
                <w:color w:val="000000" w:themeColor="text1"/>
                <w:sz w:val="24"/>
                <w:szCs w:val="18"/>
                <w:highlight w:val="none"/>
                <w:lang w:val="en-US" w:eastAsia="zh-CN"/>
                <w14:textFill>
                  <w14:solidFill>
                    <w14:schemeClr w14:val="tx1"/>
                  </w14:solidFill>
                </w14:textFill>
              </w:rPr>
            </w:pPr>
            <w:r>
              <w:rPr>
                <w:rFonts w:hint="eastAsia" w:cs="Times New Roman"/>
                <w:b/>
                <w:bCs/>
                <w:color w:val="000000" w:themeColor="text1"/>
                <w:sz w:val="24"/>
                <w:szCs w:val="18"/>
                <w:highlight w:val="none"/>
                <w:lang w:val="en-US" w:eastAsia="zh-CN"/>
                <w14:textFill>
                  <w14:solidFill>
                    <w14:schemeClr w14:val="tx1"/>
                  </w14:solidFill>
                </w14:textFill>
              </w:rPr>
              <w:t>六、与园区环境事故应急设施的衔接</w:t>
            </w:r>
          </w:p>
          <w:p w14:paraId="5BB8F501">
            <w:pPr>
              <w:pStyle w:val="66"/>
              <w:ind w:firstLine="420"/>
              <w:rPr>
                <w:rFonts w:hint="default" w:cs="Times New Roman"/>
                <w:color w:val="000000" w:themeColor="text1"/>
                <w:sz w:val="24"/>
                <w:szCs w:val="18"/>
                <w:highlight w:val="none"/>
                <w:lang w:val="en-US" w:eastAsia="zh-CN"/>
                <w14:textFill>
                  <w14:solidFill>
                    <w14:schemeClr w14:val="tx1"/>
                  </w14:solidFill>
                </w14:textFill>
              </w:rPr>
            </w:pPr>
            <w:r>
              <w:rPr>
                <w:rFonts w:hint="default" w:cs="Times New Roman"/>
                <w:color w:val="000000" w:themeColor="text1"/>
                <w:sz w:val="24"/>
                <w:szCs w:val="18"/>
                <w:highlight w:val="none"/>
                <w:lang w:val="en-US" w:eastAsia="zh-CN"/>
                <w14:textFill>
                  <w14:solidFill>
                    <w14:schemeClr w14:val="tx1"/>
                  </w14:solidFill>
                </w14:textFill>
              </w:rPr>
              <w:t>为了阻断事故泄漏</w:t>
            </w:r>
            <w:r>
              <w:rPr>
                <w:rFonts w:hint="eastAsia" w:cs="Times New Roman"/>
                <w:color w:val="000000" w:themeColor="text1"/>
                <w:sz w:val="24"/>
                <w:szCs w:val="18"/>
                <w:highlight w:val="none"/>
                <w:lang w:val="en-US" w:eastAsia="zh-CN"/>
                <w14:textFill>
                  <w14:solidFill>
                    <w14:schemeClr w14:val="tx1"/>
                  </w14:solidFill>
                </w14:textFill>
              </w:rPr>
              <w:t>液体</w:t>
            </w:r>
            <w:r>
              <w:rPr>
                <w:rFonts w:hint="default" w:cs="Times New Roman"/>
                <w:color w:val="000000" w:themeColor="text1"/>
                <w:sz w:val="24"/>
                <w:szCs w:val="18"/>
                <w:highlight w:val="none"/>
                <w:lang w:val="en-US" w:eastAsia="zh-CN"/>
                <w14:textFill>
                  <w14:solidFill>
                    <w14:schemeClr w14:val="tx1"/>
                  </w14:solidFill>
                </w14:textFill>
              </w:rPr>
              <w:t>和消防废水进入外环境，本项目设置“单元→厂区→园区/区域”三级环境风险防控体系。</w:t>
            </w:r>
          </w:p>
          <w:p w14:paraId="24E2E352">
            <w:pPr>
              <w:pStyle w:val="66"/>
              <w:ind w:firstLine="420"/>
              <w:rPr>
                <w:rFonts w:hint="default" w:cs="Times New Roman"/>
                <w:color w:val="000000" w:themeColor="text1"/>
                <w:sz w:val="24"/>
                <w:szCs w:val="18"/>
                <w:highlight w:val="none"/>
                <w:lang w:val="en-US" w:eastAsia="zh-CN"/>
                <w14:textFill>
                  <w14:solidFill>
                    <w14:schemeClr w14:val="tx1"/>
                  </w14:solidFill>
                </w14:textFill>
              </w:rPr>
            </w:pPr>
            <w:r>
              <w:rPr>
                <w:rFonts w:hint="default" w:cs="Times New Roman"/>
                <w:color w:val="000000" w:themeColor="text1"/>
                <w:sz w:val="24"/>
                <w:szCs w:val="18"/>
                <w:highlight w:val="none"/>
                <w:lang w:val="en-US" w:eastAsia="zh-CN"/>
                <w14:textFill>
                  <w14:solidFill>
                    <w14:schemeClr w14:val="tx1"/>
                  </w14:solidFill>
                </w14:textFill>
              </w:rPr>
              <w:t>（1）一级防控措施</w:t>
            </w:r>
          </w:p>
          <w:p w14:paraId="671A7CF7">
            <w:pPr>
              <w:pStyle w:val="66"/>
              <w:ind w:firstLine="420"/>
              <w:rPr>
                <w:rFonts w:hint="default" w:cs="Times New Roman"/>
                <w:color w:val="000000" w:themeColor="text1"/>
                <w:sz w:val="24"/>
                <w:szCs w:val="18"/>
                <w:highlight w:val="none"/>
                <w:lang w:val="en-US" w:eastAsia="zh-CN"/>
                <w14:textFill>
                  <w14:solidFill>
                    <w14:schemeClr w14:val="tx1"/>
                  </w14:solidFill>
                </w14:textFill>
              </w:rPr>
            </w:pPr>
            <w:r>
              <w:rPr>
                <w:rFonts w:hint="default" w:cs="Times New Roman"/>
                <w:color w:val="000000" w:themeColor="text1"/>
                <w:sz w:val="24"/>
                <w:szCs w:val="18"/>
                <w:highlight w:val="none"/>
                <w:lang w:val="en-US" w:eastAsia="zh-CN"/>
                <w14:textFill>
                  <w14:solidFill>
                    <w14:schemeClr w14:val="tx1"/>
                  </w14:solidFill>
                </w14:textFill>
              </w:rPr>
              <w:t>第一级防控为仓储单元、生产单元</w:t>
            </w:r>
            <w:r>
              <w:rPr>
                <w:rFonts w:hint="eastAsia" w:cs="Times New Roman"/>
                <w:color w:val="000000" w:themeColor="text1"/>
                <w:sz w:val="24"/>
                <w:szCs w:val="18"/>
                <w:highlight w:val="none"/>
                <w:lang w:val="en-US" w:eastAsia="zh-CN"/>
                <w14:textFill>
                  <w14:solidFill>
                    <w14:schemeClr w14:val="tx1"/>
                  </w14:solidFill>
                </w14:textFill>
              </w:rPr>
              <w:t>。</w:t>
            </w:r>
          </w:p>
          <w:p w14:paraId="57B636CF">
            <w:pPr>
              <w:pStyle w:val="66"/>
              <w:ind w:firstLine="420"/>
              <w:rPr>
                <w:rFonts w:hint="default" w:cs="Times New Roman"/>
                <w:color w:val="000000" w:themeColor="text1"/>
                <w:sz w:val="24"/>
                <w:szCs w:val="18"/>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企业</w:t>
            </w:r>
            <w:r>
              <w:rPr>
                <w:rFonts w:hint="eastAsia" w:cs="Times New Roman"/>
                <w:color w:val="000000" w:themeColor="text1"/>
                <w:sz w:val="24"/>
                <w:szCs w:val="18"/>
                <w:highlight w:val="none"/>
                <w:lang w:val="en-US" w:eastAsia="zh-CN"/>
                <w14:textFill>
                  <w14:solidFill>
                    <w14:schemeClr w14:val="tx1"/>
                  </w14:solidFill>
                </w14:textFill>
              </w:rPr>
              <w:t>拟</w:t>
            </w:r>
            <w:r>
              <w:rPr>
                <w:rFonts w:hint="eastAsia" w:ascii="Times New Roman" w:hAnsi="Times New Roman" w:cs="Times New Roman"/>
                <w:color w:val="000000" w:themeColor="text1"/>
                <w:sz w:val="24"/>
                <w:szCs w:val="18"/>
                <w:highlight w:val="none"/>
                <w:lang w:eastAsia="zh-CN"/>
                <w14:textFill>
                  <w14:solidFill>
                    <w14:schemeClr w14:val="tx1"/>
                  </w14:solidFill>
                </w14:textFill>
              </w:rPr>
              <w:t>在</w:t>
            </w:r>
            <w:r>
              <w:rPr>
                <w:rFonts w:hint="eastAsia" w:cs="Times New Roman"/>
                <w:color w:val="000000" w:themeColor="text1"/>
                <w:sz w:val="24"/>
                <w:szCs w:val="18"/>
                <w:highlight w:val="none"/>
                <w:lang w:val="en-US" w:eastAsia="zh-CN"/>
                <w14:textFill>
                  <w14:solidFill>
                    <w14:schemeClr w14:val="tx1"/>
                  </w14:solidFill>
                </w14:textFill>
              </w:rPr>
              <w:t>化学品间四周设置边沟，容积约2.52m</w:t>
            </w:r>
            <w:r>
              <w:rPr>
                <w:rFonts w:hint="eastAsia" w:cs="Times New Roman"/>
                <w:color w:val="000000" w:themeColor="text1"/>
                <w:sz w:val="24"/>
                <w:szCs w:val="18"/>
                <w:highlight w:val="none"/>
                <w:vertAlign w:val="superscript"/>
                <w:lang w:val="en-US" w:eastAsia="zh-CN"/>
                <w14:textFill>
                  <w14:solidFill>
                    <w14:schemeClr w14:val="tx1"/>
                  </w14:solidFill>
                </w14:textFill>
              </w:rPr>
              <w:t>3</w:t>
            </w:r>
            <w:r>
              <w:rPr>
                <w:rFonts w:hint="eastAsia" w:cs="Times New Roman"/>
                <w:color w:val="000000" w:themeColor="text1"/>
                <w:sz w:val="24"/>
                <w:szCs w:val="18"/>
                <w:highlight w:val="none"/>
                <w:lang w:val="en-US" w:eastAsia="zh-CN"/>
                <w14:textFill>
                  <w14:solidFill>
                    <w14:schemeClr w14:val="tx1"/>
                  </w14:solidFill>
                </w14:textFill>
              </w:rPr>
              <w:t>。企业存放于化学品仓内的液态化学品包装规格为20L/桶，全部包装桶发生泄漏的概率极低。若单桶发生泄漏，化学品仓设置的边沟足以容纳泄漏的物料，泄漏物料不会溢流至化学品仓外。</w:t>
            </w:r>
            <w:r>
              <w:rPr>
                <w:rFonts w:hint="eastAsia" w:ascii="Times New Roman" w:hAnsi="Times New Roman" w:cs="Times New Roman"/>
                <w:color w:val="000000" w:themeColor="text1"/>
                <w:sz w:val="24"/>
                <w:szCs w:val="18"/>
                <w:highlight w:val="none"/>
                <w:lang w:eastAsia="zh-CN"/>
                <w14:textFill>
                  <w14:solidFill>
                    <w14:schemeClr w14:val="tx1"/>
                  </w14:solidFill>
                </w14:textFill>
              </w:rPr>
              <w:t>危险废物暂存</w:t>
            </w:r>
            <w:r>
              <w:rPr>
                <w:rFonts w:hint="eastAsia" w:cs="Times New Roman"/>
                <w:color w:val="000000" w:themeColor="text1"/>
                <w:sz w:val="24"/>
                <w:szCs w:val="18"/>
                <w:highlight w:val="none"/>
                <w:lang w:val="en-US" w:eastAsia="zh-CN"/>
                <w14:textFill>
                  <w14:solidFill>
                    <w14:schemeClr w14:val="tx1"/>
                  </w14:solidFill>
                </w14:textFill>
              </w:rPr>
              <w:t>间</w:t>
            </w:r>
            <w:r>
              <w:rPr>
                <w:rFonts w:hint="eastAsia" w:ascii="Times New Roman" w:hAnsi="Times New Roman" w:cs="Times New Roman"/>
                <w:color w:val="000000" w:themeColor="text1"/>
                <w:sz w:val="24"/>
                <w:szCs w:val="18"/>
                <w:highlight w:val="none"/>
                <w:lang w:eastAsia="zh-CN"/>
                <w14:textFill>
                  <w14:solidFill>
                    <w14:schemeClr w14:val="tx1"/>
                  </w14:solidFill>
                </w14:textFill>
              </w:rPr>
              <w:t>内存放的危险废物最大储存容器为吨桶，暂存间设置边沟</w:t>
            </w:r>
            <w:r>
              <w:rPr>
                <w:rFonts w:hint="eastAsia" w:cs="Times New Roman"/>
                <w:color w:val="000000" w:themeColor="text1"/>
                <w:sz w:val="24"/>
                <w:szCs w:val="18"/>
                <w:highlight w:val="none"/>
                <w:lang w:val="en-US" w:eastAsia="zh-CN"/>
                <w14:textFill>
                  <w14:solidFill>
                    <w14:schemeClr w14:val="tx1"/>
                  </w14:solidFill>
                </w14:textFill>
              </w:rPr>
              <w:t>，容积约2.52m</w:t>
            </w:r>
            <w:r>
              <w:rPr>
                <w:rFonts w:hint="eastAsia" w:cs="Times New Roman"/>
                <w:color w:val="000000" w:themeColor="text1"/>
                <w:sz w:val="24"/>
                <w:szCs w:val="18"/>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4"/>
                <w:szCs w:val="18"/>
                <w:highlight w:val="none"/>
                <w:lang w:eastAsia="zh-CN"/>
                <w14:textFill>
                  <w14:solidFill>
                    <w14:schemeClr w14:val="tx1"/>
                  </w14:solidFill>
                </w14:textFill>
              </w:rPr>
              <w:t>。暂存间内全部吨桶同时泄漏概率极低，最大可信事故为单个吨桶泄漏，泄漏物料可截留至边沟内，危险废物暂存间设置的边沟可满足泄漏应急要求。</w:t>
            </w:r>
            <w:r>
              <w:rPr>
                <w:rFonts w:hint="eastAsia" w:cs="Times New Roman"/>
                <w:color w:val="000000" w:themeColor="text1"/>
                <w:sz w:val="24"/>
                <w:szCs w:val="18"/>
                <w:highlight w:val="none"/>
                <w:lang w:val="en-US" w:eastAsia="zh-CN"/>
                <w14:textFill>
                  <w14:solidFill>
                    <w14:schemeClr w14:val="tx1"/>
                  </w14:solidFill>
                </w14:textFill>
              </w:rPr>
              <w:t>上述</w:t>
            </w:r>
            <w:r>
              <w:rPr>
                <w:rFonts w:hint="default" w:cs="Times New Roman"/>
                <w:color w:val="000000" w:themeColor="text1"/>
                <w:sz w:val="24"/>
                <w:szCs w:val="18"/>
                <w:highlight w:val="none"/>
                <w:lang w:val="en-US" w:eastAsia="zh-CN"/>
                <w14:textFill>
                  <w14:solidFill>
                    <w14:schemeClr w14:val="tx1"/>
                  </w14:solidFill>
                </w14:textFill>
              </w:rPr>
              <w:t>为一级防控体系。</w:t>
            </w:r>
          </w:p>
          <w:p w14:paraId="51164521">
            <w:pPr>
              <w:pStyle w:val="66"/>
              <w:ind w:firstLine="420"/>
              <w:rPr>
                <w:rFonts w:hint="default" w:cs="Times New Roman"/>
                <w:color w:val="000000" w:themeColor="text1"/>
                <w:sz w:val="24"/>
                <w:szCs w:val="18"/>
                <w:highlight w:val="none"/>
                <w:lang w:val="en-US" w:eastAsia="zh-CN"/>
                <w14:textFill>
                  <w14:solidFill>
                    <w14:schemeClr w14:val="tx1"/>
                  </w14:solidFill>
                </w14:textFill>
              </w:rPr>
            </w:pPr>
            <w:r>
              <w:rPr>
                <w:rFonts w:hint="default" w:cs="Times New Roman"/>
                <w:color w:val="000000" w:themeColor="text1"/>
                <w:sz w:val="24"/>
                <w:szCs w:val="18"/>
                <w:highlight w:val="none"/>
                <w:lang w:val="en-US" w:eastAsia="zh-CN"/>
                <w14:textFill>
                  <w14:solidFill>
                    <w14:schemeClr w14:val="tx1"/>
                  </w14:solidFill>
                </w14:textFill>
              </w:rPr>
              <w:t>（2）二级防控措施</w:t>
            </w:r>
          </w:p>
          <w:p w14:paraId="6B790724">
            <w:pPr>
              <w:pStyle w:val="66"/>
              <w:ind w:firstLine="420"/>
              <w:rPr>
                <w:rFonts w:hint="default" w:cs="Times New Roman"/>
                <w:color w:val="000000" w:themeColor="text1"/>
                <w:sz w:val="24"/>
                <w:szCs w:val="18"/>
                <w:highlight w:val="none"/>
                <w:lang w:val="en-US" w:eastAsia="zh-CN"/>
                <w14:textFill>
                  <w14:solidFill>
                    <w14:schemeClr w14:val="tx1"/>
                  </w14:solidFill>
                </w14:textFill>
              </w:rPr>
            </w:pPr>
            <w:r>
              <w:rPr>
                <w:rFonts w:hint="default" w:cs="Times New Roman"/>
                <w:color w:val="000000" w:themeColor="text1"/>
                <w:sz w:val="24"/>
                <w:szCs w:val="18"/>
                <w:highlight w:val="none"/>
                <w:lang w:val="en-US" w:eastAsia="zh-CN"/>
                <w14:textFill>
                  <w14:solidFill>
                    <w14:schemeClr w14:val="tx1"/>
                  </w14:solidFill>
                </w14:textFill>
              </w:rPr>
              <w:t>第二级防控为</w:t>
            </w:r>
            <w:r>
              <w:rPr>
                <w:rFonts w:hint="eastAsia" w:cs="Times New Roman"/>
                <w:color w:val="000000" w:themeColor="text1"/>
                <w:sz w:val="24"/>
                <w:szCs w:val="18"/>
                <w:highlight w:val="none"/>
                <w:lang w:val="en-US" w:eastAsia="zh-CN"/>
                <w14:textFill>
                  <w14:solidFill>
                    <w14:schemeClr w14:val="tx1"/>
                  </w14:solidFill>
                </w14:textFill>
              </w:rPr>
              <w:t>污水站应急池和</w:t>
            </w:r>
            <w:r>
              <w:rPr>
                <w:rFonts w:hint="default" w:cs="Times New Roman"/>
                <w:color w:val="000000" w:themeColor="text1"/>
                <w:sz w:val="24"/>
                <w:szCs w:val="18"/>
                <w:highlight w:val="none"/>
                <w:lang w:val="en-US" w:eastAsia="zh-CN"/>
                <w14:textFill>
                  <w14:solidFill>
                    <w14:schemeClr w14:val="tx1"/>
                  </w14:solidFill>
                </w14:textFill>
              </w:rPr>
              <w:t>厂区事故应急池。</w:t>
            </w:r>
          </w:p>
          <w:p w14:paraId="7BBFDDE0">
            <w:pPr>
              <w:pStyle w:val="66"/>
              <w:ind w:firstLine="420"/>
              <w:rPr>
                <w:rFonts w:hint="default" w:cs="Times New Roman"/>
                <w:color w:val="000000" w:themeColor="text1"/>
                <w:sz w:val="24"/>
                <w:szCs w:val="18"/>
                <w:highlight w:val="none"/>
                <w:lang w:val="en-US" w:eastAsia="zh-CN"/>
                <w14:textFill>
                  <w14:solidFill>
                    <w14:schemeClr w14:val="tx1"/>
                  </w14:solidFill>
                </w14:textFill>
              </w:rPr>
            </w:pPr>
            <w:r>
              <w:rPr>
                <w:rFonts w:hint="default" w:cs="Times New Roman"/>
                <w:color w:val="000000" w:themeColor="text1"/>
                <w:sz w:val="24"/>
                <w:szCs w:val="18"/>
                <w:highlight w:val="none"/>
                <w:lang w:val="en-US" w:eastAsia="zh-CN"/>
                <w14:textFill>
                  <w14:solidFill>
                    <w14:schemeClr w14:val="tx1"/>
                  </w14:solidFill>
                </w14:textFill>
              </w:rPr>
              <w:t>厂区</w:t>
            </w:r>
            <w:r>
              <w:rPr>
                <w:rFonts w:hint="eastAsia" w:cs="Times New Roman"/>
                <w:color w:val="000000" w:themeColor="text1"/>
                <w:sz w:val="24"/>
                <w:szCs w:val="18"/>
                <w:highlight w:val="none"/>
                <w:lang w:val="en-US" w:eastAsia="zh-CN"/>
                <w14:textFill>
                  <w14:solidFill>
                    <w14:schemeClr w14:val="tx1"/>
                  </w14:solidFill>
                </w14:textFill>
              </w:rPr>
              <w:t>60</w:t>
            </w:r>
            <w:r>
              <w:rPr>
                <w:rFonts w:hint="default" w:cs="Times New Roman"/>
                <w:color w:val="000000" w:themeColor="text1"/>
                <w:sz w:val="24"/>
                <w:szCs w:val="18"/>
                <w:highlight w:val="none"/>
                <w:lang w:val="en-US" w:eastAsia="zh-CN"/>
                <w14:textFill>
                  <w14:solidFill>
                    <w14:schemeClr w14:val="tx1"/>
                  </w14:solidFill>
                </w14:textFill>
              </w:rPr>
              <w:t>t/d污水站设置1座</w:t>
            </w:r>
            <w:r>
              <w:rPr>
                <w:rFonts w:hint="eastAsia" w:cs="Times New Roman"/>
                <w:color w:val="000000" w:themeColor="text1"/>
                <w:sz w:val="24"/>
                <w:szCs w:val="18"/>
                <w:highlight w:val="none"/>
                <w:lang w:val="en-US" w:eastAsia="zh-CN"/>
                <w14:textFill>
                  <w14:solidFill>
                    <w14:schemeClr w14:val="tx1"/>
                  </w14:solidFill>
                </w14:textFill>
              </w:rPr>
              <w:t>66</w:t>
            </w:r>
            <w:r>
              <w:rPr>
                <w:rFonts w:hint="default" w:cs="Times New Roman"/>
                <w:color w:val="000000" w:themeColor="text1"/>
                <w:sz w:val="24"/>
                <w:szCs w:val="18"/>
                <w:highlight w:val="none"/>
                <w:lang w:val="en-US" w:eastAsia="zh-CN"/>
                <w14:textFill>
                  <w14:solidFill>
                    <w14:schemeClr w14:val="tx1"/>
                  </w14:solidFill>
                </w14:textFill>
              </w:rPr>
              <w:t>m</w:t>
            </w:r>
            <w:r>
              <w:rPr>
                <w:rFonts w:hint="eastAsia" w:cs="Times New Roman"/>
                <w:color w:val="000000" w:themeColor="text1"/>
                <w:sz w:val="24"/>
                <w:szCs w:val="18"/>
                <w:highlight w:val="none"/>
                <w:vertAlign w:val="superscript"/>
                <w:lang w:val="en-US" w:eastAsia="zh-CN"/>
                <w14:textFill>
                  <w14:solidFill>
                    <w14:schemeClr w14:val="tx1"/>
                  </w14:solidFill>
                </w14:textFill>
              </w:rPr>
              <w:t>3</w:t>
            </w:r>
            <w:r>
              <w:rPr>
                <w:rFonts w:hint="default" w:cs="Times New Roman"/>
                <w:color w:val="000000" w:themeColor="text1"/>
                <w:sz w:val="24"/>
                <w:szCs w:val="18"/>
                <w:highlight w:val="none"/>
                <w:lang w:val="en-US" w:eastAsia="zh-CN"/>
                <w14:textFill>
                  <w14:solidFill>
                    <w14:schemeClr w14:val="tx1"/>
                  </w14:solidFill>
                </w14:textFill>
              </w:rPr>
              <w:t>应急池。</w:t>
            </w:r>
            <w:r>
              <w:rPr>
                <w:rFonts w:hint="eastAsia" w:cs="Times New Roman"/>
                <w:color w:val="000000" w:themeColor="text1"/>
                <w:sz w:val="24"/>
                <w:szCs w:val="18"/>
                <w:highlight w:val="none"/>
                <w:lang w:val="en-US" w:eastAsia="zh-CN"/>
                <w14:textFill>
                  <w14:solidFill>
                    <w14:schemeClr w14:val="tx1"/>
                  </w14:solidFill>
                </w14:textFill>
              </w:rPr>
              <w:t>若</w:t>
            </w:r>
            <w:r>
              <w:rPr>
                <w:rFonts w:hint="default" w:cs="Times New Roman"/>
                <w:color w:val="000000" w:themeColor="text1"/>
                <w:sz w:val="24"/>
                <w:szCs w:val="18"/>
                <w:highlight w:val="none"/>
                <w:lang w:val="en-US" w:eastAsia="zh-CN"/>
                <w14:textFill>
                  <w14:solidFill>
                    <w14:schemeClr w14:val="tx1"/>
                  </w14:solidFill>
                </w14:textFill>
              </w:rPr>
              <w:t>污水站部分池体设备故障，可通过切换污水站应急池阀门，将流入故障池体的废水引流至应急池内，待故障排除后再将废水导入污水站处理。厂区污水站每年企业停工时，进行维护检修，故突发污水站全面故障概率极低，若该极低概率事件发生，企业停止产生废水的工段运行。综上分析，污水站配备的应急池可满足污水站故障情况下应急要求</w:t>
            </w:r>
            <w:r>
              <w:rPr>
                <w:rFonts w:hint="eastAsia" w:cs="Times New Roman"/>
                <w:color w:val="000000" w:themeColor="text1"/>
                <w:sz w:val="24"/>
                <w:szCs w:val="18"/>
                <w:highlight w:val="none"/>
                <w:lang w:val="en-US" w:eastAsia="zh-CN"/>
                <w14:textFill>
                  <w14:solidFill>
                    <w14:schemeClr w14:val="tx1"/>
                  </w14:solidFill>
                </w14:textFill>
              </w:rPr>
              <w:t>。厂区设置一座220</w:t>
            </w:r>
            <w:r>
              <w:rPr>
                <w:rFonts w:hint="default" w:cs="Times New Roman"/>
                <w:color w:val="000000" w:themeColor="text1"/>
                <w:sz w:val="24"/>
                <w:szCs w:val="18"/>
                <w:highlight w:val="none"/>
                <w:lang w:val="en-US" w:eastAsia="zh-CN"/>
                <w14:textFill>
                  <w14:solidFill>
                    <w14:schemeClr w14:val="tx1"/>
                  </w14:solidFill>
                </w14:textFill>
              </w:rPr>
              <w:t>m</w:t>
            </w:r>
            <w:r>
              <w:rPr>
                <w:rFonts w:hint="eastAsia" w:cs="Times New Roman"/>
                <w:color w:val="000000" w:themeColor="text1"/>
                <w:sz w:val="24"/>
                <w:szCs w:val="18"/>
                <w:highlight w:val="none"/>
                <w:vertAlign w:val="superscript"/>
                <w:lang w:val="en-US" w:eastAsia="zh-CN"/>
                <w14:textFill>
                  <w14:solidFill>
                    <w14:schemeClr w14:val="tx1"/>
                  </w14:solidFill>
                </w14:textFill>
              </w:rPr>
              <w:t>3</w:t>
            </w:r>
            <w:r>
              <w:rPr>
                <w:rFonts w:hint="default" w:cs="Times New Roman"/>
                <w:color w:val="000000" w:themeColor="text1"/>
                <w:sz w:val="24"/>
                <w:szCs w:val="18"/>
                <w:highlight w:val="none"/>
                <w:lang w:val="en-US" w:eastAsia="zh-CN"/>
                <w14:textFill>
                  <w14:solidFill>
                    <w14:schemeClr w14:val="tx1"/>
                  </w14:solidFill>
                </w14:textFill>
              </w:rPr>
              <w:t>应急池</w:t>
            </w:r>
            <w:r>
              <w:rPr>
                <w:rFonts w:hint="eastAsia" w:cs="Times New Roman"/>
                <w:color w:val="000000" w:themeColor="text1"/>
                <w:sz w:val="24"/>
                <w:szCs w:val="18"/>
                <w:highlight w:val="none"/>
                <w:lang w:val="en-US" w:eastAsia="zh-CN"/>
                <w14:textFill>
                  <w14:solidFill>
                    <w14:schemeClr w14:val="tx1"/>
                  </w14:solidFill>
                </w14:textFill>
              </w:rPr>
              <w:t>，应对在发生环境风险事故情况下，用于收集消防废水和发生事故期间的雨水等，</w:t>
            </w:r>
            <w:r>
              <w:rPr>
                <w:rFonts w:hint="default" w:cs="Times New Roman"/>
                <w:color w:val="000000" w:themeColor="text1"/>
                <w:sz w:val="24"/>
                <w:szCs w:val="18"/>
                <w:highlight w:val="none"/>
                <w:lang w:val="en-US" w:eastAsia="zh-CN"/>
                <w14:textFill>
                  <w14:solidFill>
                    <w14:schemeClr w14:val="tx1"/>
                  </w14:solidFill>
                </w14:textFill>
              </w:rPr>
              <w:t>防止消防废水通过雨水管网进入自然水体，为二级防控体系。</w:t>
            </w:r>
          </w:p>
          <w:p w14:paraId="052300D5">
            <w:pPr>
              <w:pStyle w:val="66"/>
              <w:ind w:firstLine="420"/>
              <w:rPr>
                <w:rFonts w:hint="default" w:cs="Times New Roman"/>
                <w:color w:val="000000" w:themeColor="text1"/>
                <w:sz w:val="24"/>
                <w:szCs w:val="18"/>
                <w:highlight w:val="none"/>
                <w:lang w:val="en-US" w:eastAsia="zh-CN"/>
                <w14:textFill>
                  <w14:solidFill>
                    <w14:schemeClr w14:val="tx1"/>
                  </w14:solidFill>
                </w14:textFill>
              </w:rPr>
            </w:pPr>
            <w:r>
              <w:rPr>
                <w:rFonts w:hint="default" w:cs="Times New Roman"/>
                <w:color w:val="000000" w:themeColor="text1"/>
                <w:sz w:val="24"/>
                <w:szCs w:val="18"/>
                <w:highlight w:val="none"/>
                <w:lang w:val="en-US" w:eastAsia="zh-CN"/>
                <w14:textFill>
                  <w14:solidFill>
                    <w14:schemeClr w14:val="tx1"/>
                  </w14:solidFill>
                </w14:textFill>
              </w:rPr>
              <w:t>（3）三级防控措施</w:t>
            </w:r>
          </w:p>
          <w:p w14:paraId="1C6EF446">
            <w:pPr>
              <w:pStyle w:val="66"/>
              <w:ind w:firstLine="420"/>
              <w:rPr>
                <w:rFonts w:hint="default" w:cs="Times New Roman"/>
                <w:color w:val="000000" w:themeColor="text1"/>
                <w:sz w:val="24"/>
                <w:szCs w:val="18"/>
                <w:highlight w:val="none"/>
                <w:lang w:val="en-US" w:eastAsia="zh-CN"/>
                <w14:textFill>
                  <w14:solidFill>
                    <w14:schemeClr w14:val="tx1"/>
                  </w14:solidFill>
                </w14:textFill>
              </w:rPr>
            </w:pPr>
            <w:r>
              <w:rPr>
                <w:rFonts w:hint="default" w:cs="Times New Roman"/>
                <w:color w:val="000000" w:themeColor="text1"/>
                <w:sz w:val="24"/>
                <w:szCs w:val="18"/>
                <w:highlight w:val="none"/>
                <w:lang w:val="en-US" w:eastAsia="zh-CN"/>
                <w14:textFill>
                  <w14:solidFill>
                    <w14:schemeClr w14:val="tx1"/>
                  </w14:solidFill>
                </w14:textFill>
              </w:rPr>
              <w:t>第三级防控为园区/区域应急设施。</w:t>
            </w:r>
          </w:p>
          <w:p w14:paraId="31EA4158">
            <w:pPr>
              <w:pStyle w:val="66"/>
              <w:ind w:firstLine="420"/>
              <w:rPr>
                <w:rFonts w:hint="default" w:cs="Times New Roman"/>
                <w:color w:val="000000" w:themeColor="text1"/>
                <w:sz w:val="24"/>
                <w:szCs w:val="18"/>
                <w:highlight w:val="none"/>
                <w:lang w:val="en-US" w:eastAsia="zh-CN"/>
                <w14:textFill>
                  <w14:solidFill>
                    <w14:schemeClr w14:val="tx1"/>
                  </w14:solidFill>
                </w14:textFill>
              </w:rPr>
            </w:pPr>
            <w:r>
              <w:rPr>
                <w:rFonts w:hint="default" w:cs="Times New Roman"/>
                <w:color w:val="000000" w:themeColor="text1"/>
                <w:sz w:val="24"/>
                <w:szCs w:val="18"/>
                <w:highlight w:val="none"/>
                <w:lang w:val="en-US" w:eastAsia="zh-CN"/>
                <w14:textFill>
                  <w14:solidFill>
                    <w14:schemeClr w14:val="tx1"/>
                  </w14:solidFill>
                </w14:textFill>
              </w:rPr>
              <w:t>若厂区内的二级防控无法满足收集事故废水时，则应上报上级管理部门和大学城污水处理厂，将事故应急池内的废水用槽车抽运至大学城污水处理厂的事故应急池。大学城污水处理厂的事故池作为本项目的第三级防线，防止事故废水流入周边水体。</w:t>
            </w:r>
          </w:p>
          <w:p w14:paraId="3BED0495">
            <w:pPr>
              <w:pStyle w:val="37"/>
              <w:rPr>
                <w:rFonts w:hint="default" w:eastAsia="黑体"/>
                <w:color w:val="000000" w:themeColor="text1"/>
                <w:sz w:val="24"/>
                <w:szCs w:val="21"/>
                <w:highlight w:val="none"/>
                <w:lang w:val="en-US" w:eastAsia="zh-CN"/>
                <w14:textFill>
                  <w14:solidFill>
                    <w14:schemeClr w14:val="tx1"/>
                  </w14:solidFill>
                </w14:textFill>
              </w:rPr>
            </w:pPr>
            <w:r>
              <w:rPr>
                <w:rFonts w:hint="eastAsia"/>
                <w:color w:val="000000" w:themeColor="text1"/>
                <w:sz w:val="24"/>
                <w:szCs w:val="21"/>
                <w:highlight w:val="none"/>
                <w:lang w:val="en-US" w:eastAsia="zh-CN"/>
                <w14:textFill>
                  <w14:solidFill>
                    <w14:schemeClr w14:val="tx1"/>
                  </w14:solidFill>
                </w14:textFill>
              </w:rPr>
              <w:t>4.7.5环境风险分析结论</w:t>
            </w:r>
          </w:p>
          <w:p w14:paraId="4D763BAF">
            <w:pPr>
              <w:pStyle w:val="66"/>
              <w:ind w:firstLine="420"/>
              <w:rPr>
                <w:rFonts w:hint="default" w:ascii="Times New Roman" w:hAnsi="Times New Roman" w:cs="Times New Roman"/>
                <w:color w:val="000000" w:themeColor="text1"/>
                <w:sz w:val="24"/>
                <w:szCs w:val="18"/>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18"/>
                <w:highlight w:val="none"/>
                <w:lang w:eastAsia="zh-CN"/>
                <w14:textFill>
                  <w14:solidFill>
                    <w14:schemeClr w14:val="tx1"/>
                  </w14:solidFill>
                </w14:textFill>
              </w:rPr>
              <w:t>综上所述，项目在确保安全生产、避免因安全生产事故引发的环境污染事件， 切实落实环评提出的环境风险防范措施，并加强环境管理的前提下，建设项目环境风险是可防控的。</w:t>
            </w:r>
          </w:p>
          <w:p w14:paraId="763780B2">
            <w:pPr>
              <w:pStyle w:val="37"/>
              <w:rPr>
                <w:rFonts w:hint="default" w:eastAsia="黑体"/>
                <w:color w:val="000000" w:themeColor="text1"/>
                <w:sz w:val="24"/>
                <w:szCs w:val="21"/>
                <w:highlight w:val="none"/>
                <w:lang w:val="en-US" w:eastAsia="zh-CN"/>
                <w14:textFill>
                  <w14:solidFill>
                    <w14:schemeClr w14:val="tx1"/>
                  </w14:solidFill>
                </w14:textFill>
              </w:rPr>
            </w:pPr>
            <w:r>
              <w:rPr>
                <w:color w:val="000000" w:themeColor="text1"/>
                <w:sz w:val="24"/>
                <w:szCs w:val="21"/>
                <w:highlight w:val="none"/>
                <w14:textFill>
                  <w14:solidFill>
                    <w14:schemeClr w14:val="tx1"/>
                  </w14:solidFill>
                </w14:textFill>
              </w:rPr>
              <w:t>4.</w:t>
            </w:r>
            <w:r>
              <w:rPr>
                <w:rFonts w:hint="eastAsia"/>
                <w:color w:val="000000" w:themeColor="text1"/>
                <w:sz w:val="24"/>
                <w:szCs w:val="21"/>
                <w:highlight w:val="none"/>
                <w:lang w:val="en-US" w:eastAsia="zh-CN"/>
                <w14:textFill>
                  <w14:solidFill>
                    <w14:schemeClr w14:val="tx1"/>
                  </w14:solidFill>
                </w14:textFill>
              </w:rPr>
              <w:t>8环保投资</w:t>
            </w:r>
          </w:p>
          <w:p w14:paraId="28B03009">
            <w:pPr>
              <w:pStyle w:val="66"/>
              <w:ind w:firstLine="420"/>
              <w:rPr>
                <w:rFonts w:hint="default" w:ascii="Times New Roman" w:hAnsi="Times New Roman" w:eastAsia="宋体" w:cs="宋体"/>
                <w:b/>
                <w:bCs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本项目环保措施及投资估算情况如</w:t>
            </w:r>
            <w:r>
              <w:rPr>
                <w:rFonts w:hint="default" w:ascii="Times New Roman" w:hAnsi="Times New Roman" w:cs="Times New Roman"/>
                <w:color w:val="000000" w:themeColor="text1"/>
                <w:highlight w:val="none"/>
                <w:lang w:val="en-US" w:eastAsia="zh-CN"/>
                <w14:textFill>
                  <w14:solidFill>
                    <w14:schemeClr w14:val="tx1"/>
                  </w14:solidFill>
                </w14:textFill>
              </w:rPr>
              <w:t>下</w:t>
            </w:r>
            <w:r>
              <w:rPr>
                <w:rFonts w:hint="default" w:ascii="Times New Roman" w:hAnsi="Times New Roman" w:cs="Times New Roman"/>
                <w:color w:val="000000" w:themeColor="text1"/>
                <w:highlight w:val="none"/>
                <w14:textFill>
                  <w14:solidFill>
                    <w14:schemeClr w14:val="tx1"/>
                  </w14:solidFill>
                </w14:textFill>
              </w:rPr>
              <w:t>表所示。本次项目的环保投资经估算约</w:t>
            </w:r>
            <w:r>
              <w:rPr>
                <w:rFonts w:hint="default" w:ascii="Times New Roman" w:hAnsi="Times New Roman"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万元，占该项目总投资（</w:t>
            </w:r>
            <w:r>
              <w:rPr>
                <w:rFonts w:hint="default" w:ascii="Times New Roman" w:hAnsi="Times New Roman"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万元）的</w:t>
            </w:r>
            <w:r>
              <w:rPr>
                <w:rFonts w:hint="default" w:ascii="Times New Roman" w:hAnsi="Times New Roman"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w:t>
            </w:r>
            <w:r>
              <w:rPr>
                <w:rFonts w:hint="eastAsia" w:cs="Times New Roman"/>
                <w:color w:val="000000" w:themeColor="text1"/>
                <w:highlight w:val="none"/>
                <w:lang w:eastAsia="zh-CN"/>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具体见表4.8-1。</w:t>
            </w:r>
          </w:p>
          <w:p w14:paraId="584319F7">
            <w:pPr>
              <w:pStyle w:val="10"/>
              <w:tabs>
                <w:tab w:val="right" w:leader="dot" w:pos="8296"/>
              </w:tabs>
              <w:jc w:val="center"/>
              <w:rPr>
                <w:rFonts w:hint="default" w:ascii="Times New Roman" w:hAnsi="Times New Roman" w:eastAsia="宋体" w:cs="宋体"/>
                <w:b/>
                <w:bCs w:val="0"/>
                <w:color w:val="000000" w:themeColor="text1"/>
                <w:kern w:val="2"/>
                <w:sz w:val="24"/>
                <w:szCs w:val="24"/>
                <w:highlight w:val="none"/>
                <w:lang w:val="zh-CN" w:eastAsia="zh-CN" w:bidi="ar-SA"/>
                <w14:textFill>
                  <w14:solidFill>
                    <w14:schemeClr w14:val="tx1"/>
                  </w14:solidFill>
                </w14:textFill>
              </w:rPr>
            </w:pPr>
            <w:r>
              <w:rPr>
                <w:rFonts w:hint="default" w:ascii="Times New Roman" w:hAnsi="Times New Roman" w:eastAsia="宋体" w:cs="宋体"/>
                <w:b/>
                <w:bCs w:val="0"/>
                <w:color w:val="000000" w:themeColor="text1"/>
                <w:kern w:val="2"/>
                <w:sz w:val="24"/>
                <w:szCs w:val="24"/>
                <w:highlight w:val="none"/>
                <w:lang w:val="en-US" w:eastAsia="zh-CN" w:bidi="ar-SA"/>
                <w14:textFill>
                  <w14:solidFill>
                    <w14:schemeClr w14:val="tx1"/>
                  </w14:solidFill>
                </w14:textFill>
              </w:rPr>
              <w:t>表</w:t>
            </w:r>
            <w:r>
              <w:rPr>
                <w:rFonts w:hint="eastAsia" w:ascii="Times New Roman" w:hAnsi="Times New Roman" w:eastAsia="宋体" w:cs="宋体"/>
                <w:b/>
                <w:bCs w:val="0"/>
                <w:color w:val="000000" w:themeColor="text1"/>
                <w:kern w:val="2"/>
                <w:sz w:val="24"/>
                <w:szCs w:val="24"/>
                <w:highlight w:val="none"/>
                <w:lang w:val="en-US" w:eastAsia="zh-CN" w:bidi="ar-SA"/>
                <w14:textFill>
                  <w14:solidFill>
                    <w14:schemeClr w14:val="tx1"/>
                  </w14:solidFill>
                </w14:textFill>
              </w:rPr>
              <w:t>4.8</w:t>
            </w:r>
            <w:r>
              <w:rPr>
                <w:rFonts w:hint="default" w:ascii="Times New Roman" w:hAnsi="Times New Roman" w:eastAsia="宋体" w:cs="宋体"/>
                <w:b/>
                <w:bCs w:val="0"/>
                <w:color w:val="000000" w:themeColor="text1"/>
                <w:kern w:val="2"/>
                <w:sz w:val="24"/>
                <w:szCs w:val="24"/>
                <w:highlight w:val="none"/>
                <w:lang w:val="en-US" w:eastAsia="zh-CN" w:bidi="ar-SA"/>
                <w14:textFill>
                  <w14:solidFill>
                    <w14:schemeClr w14:val="tx1"/>
                  </w14:solidFill>
                </w14:textFill>
              </w:rPr>
              <w:t xml:space="preserve">-1  </w:t>
            </w:r>
            <w:r>
              <w:rPr>
                <w:rFonts w:hint="default" w:ascii="Times New Roman" w:hAnsi="Times New Roman" w:eastAsia="宋体" w:cs="宋体"/>
                <w:b/>
                <w:bCs w:val="0"/>
                <w:color w:val="000000" w:themeColor="text1"/>
                <w:kern w:val="2"/>
                <w:sz w:val="24"/>
                <w:szCs w:val="24"/>
                <w:highlight w:val="none"/>
                <w:lang w:val="zh-CN" w:eastAsia="zh-CN" w:bidi="ar-SA"/>
                <w14:textFill>
                  <w14:solidFill>
                    <w14:schemeClr w14:val="tx1"/>
                  </w14:solidFill>
                </w14:textFill>
              </w:rPr>
              <w:t>环保措施及投资估算一览表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66"/>
              <w:gridCol w:w="1575"/>
              <w:gridCol w:w="3630"/>
              <w:gridCol w:w="954"/>
              <w:gridCol w:w="1095"/>
            </w:tblGrid>
            <w:tr w14:paraId="22B69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tblHeader/>
                <w:jc w:val="center"/>
              </w:trPr>
              <w:tc>
                <w:tcPr>
                  <w:tcW w:w="2441" w:type="dxa"/>
                  <w:gridSpan w:val="2"/>
                  <w:noWrap w:val="0"/>
                  <w:vAlign w:val="center"/>
                </w:tcPr>
                <w:p w14:paraId="7F0A745B">
                  <w:pPr>
                    <w:pStyle w:val="89"/>
                    <w:jc w:val="center"/>
                    <w:rPr>
                      <w:rFonts w:hint="default" w:ascii="Times New Roman" w:hAnsi="Times New Roman" w:eastAsia="宋体" w:cs="Times New Roman"/>
                      <w:b/>
                      <w:color w:val="000000" w:themeColor="text1"/>
                      <w:highlight w:val="none"/>
                      <w14:textFill>
                        <w14:solidFill>
                          <w14:schemeClr w14:val="tx1"/>
                        </w14:solidFill>
                      </w14:textFill>
                    </w:rPr>
                  </w:pPr>
                  <w:r>
                    <w:rPr>
                      <w:rFonts w:hint="default" w:ascii="Times New Roman" w:hAnsi="Times New Roman" w:eastAsia="宋体" w:cs="Times New Roman"/>
                      <w:b/>
                      <w:color w:val="000000" w:themeColor="text1"/>
                      <w:highlight w:val="none"/>
                      <w14:textFill>
                        <w14:solidFill>
                          <w14:schemeClr w14:val="tx1"/>
                        </w14:solidFill>
                      </w14:textFill>
                    </w:rPr>
                    <w:t>污染源类别及排放源</w:t>
                  </w:r>
                </w:p>
              </w:tc>
              <w:tc>
                <w:tcPr>
                  <w:tcW w:w="3630" w:type="dxa"/>
                  <w:noWrap w:val="0"/>
                  <w:vAlign w:val="center"/>
                </w:tcPr>
                <w:p w14:paraId="3A5A20F8">
                  <w:pPr>
                    <w:pStyle w:val="89"/>
                    <w:jc w:val="center"/>
                    <w:rPr>
                      <w:rFonts w:hint="default" w:ascii="Times New Roman" w:hAnsi="Times New Roman" w:eastAsia="宋体" w:cs="Times New Roman"/>
                      <w:b/>
                      <w:color w:val="000000" w:themeColor="text1"/>
                      <w:highlight w:val="none"/>
                      <w14:textFill>
                        <w14:solidFill>
                          <w14:schemeClr w14:val="tx1"/>
                        </w14:solidFill>
                      </w14:textFill>
                    </w:rPr>
                  </w:pPr>
                  <w:r>
                    <w:rPr>
                      <w:rFonts w:hint="default" w:ascii="Times New Roman" w:hAnsi="Times New Roman" w:eastAsia="宋体" w:cs="Times New Roman"/>
                      <w:b/>
                      <w:color w:val="000000" w:themeColor="text1"/>
                      <w:highlight w:val="none"/>
                      <w14:textFill>
                        <w14:solidFill>
                          <w14:schemeClr w14:val="tx1"/>
                        </w14:solidFill>
                      </w14:textFill>
                    </w:rPr>
                    <w:t>治理措施</w:t>
                  </w:r>
                </w:p>
              </w:tc>
              <w:tc>
                <w:tcPr>
                  <w:tcW w:w="954" w:type="dxa"/>
                  <w:noWrap w:val="0"/>
                  <w:vAlign w:val="center"/>
                </w:tcPr>
                <w:p w14:paraId="4DE3FDC7">
                  <w:pPr>
                    <w:pStyle w:val="89"/>
                    <w:jc w:val="center"/>
                    <w:rPr>
                      <w:rFonts w:hint="default" w:ascii="Times New Roman" w:hAnsi="Times New Roman" w:eastAsia="宋体" w:cs="Times New Roman"/>
                      <w:b/>
                      <w:color w:val="000000" w:themeColor="text1"/>
                      <w:highlight w:val="none"/>
                      <w14:textFill>
                        <w14:solidFill>
                          <w14:schemeClr w14:val="tx1"/>
                        </w14:solidFill>
                      </w14:textFill>
                    </w:rPr>
                  </w:pPr>
                  <w:r>
                    <w:rPr>
                      <w:rFonts w:hint="default" w:ascii="Times New Roman" w:hAnsi="Times New Roman" w:eastAsia="宋体" w:cs="Times New Roman"/>
                      <w:b/>
                      <w:color w:val="000000" w:themeColor="text1"/>
                      <w:highlight w:val="none"/>
                      <w14:textFill>
                        <w14:solidFill>
                          <w14:schemeClr w14:val="tx1"/>
                        </w14:solidFill>
                      </w14:textFill>
                    </w:rPr>
                    <w:t>数量</w:t>
                  </w:r>
                </w:p>
              </w:tc>
              <w:tc>
                <w:tcPr>
                  <w:tcW w:w="1095" w:type="dxa"/>
                  <w:noWrap w:val="0"/>
                  <w:vAlign w:val="center"/>
                </w:tcPr>
                <w:p w14:paraId="6309C22A">
                  <w:pPr>
                    <w:pStyle w:val="89"/>
                    <w:jc w:val="center"/>
                    <w:rPr>
                      <w:rFonts w:hint="default" w:ascii="Times New Roman" w:hAnsi="Times New Roman" w:eastAsia="宋体" w:cs="Times New Roman"/>
                      <w:b/>
                      <w:color w:val="000000" w:themeColor="text1"/>
                      <w:highlight w:val="none"/>
                      <w14:textFill>
                        <w14:solidFill>
                          <w14:schemeClr w14:val="tx1"/>
                        </w14:solidFill>
                      </w14:textFill>
                    </w:rPr>
                  </w:pPr>
                  <w:r>
                    <w:rPr>
                      <w:rFonts w:hint="default" w:ascii="Times New Roman" w:hAnsi="Times New Roman" w:eastAsia="宋体" w:cs="Times New Roman"/>
                      <w:b/>
                      <w:color w:val="000000" w:themeColor="text1"/>
                      <w:highlight w:val="none"/>
                      <w14:textFill>
                        <w14:solidFill>
                          <w14:schemeClr w14:val="tx1"/>
                        </w14:solidFill>
                      </w14:textFill>
                    </w:rPr>
                    <w:t>投资</w:t>
                  </w:r>
                </w:p>
                <w:p w14:paraId="0A3B668B">
                  <w:pPr>
                    <w:pStyle w:val="89"/>
                    <w:jc w:val="center"/>
                    <w:rPr>
                      <w:rFonts w:hint="default" w:ascii="Times New Roman" w:hAnsi="Times New Roman" w:eastAsia="宋体" w:cs="Times New Roman"/>
                      <w:b/>
                      <w:color w:val="000000" w:themeColor="text1"/>
                      <w:highlight w:val="none"/>
                      <w14:textFill>
                        <w14:solidFill>
                          <w14:schemeClr w14:val="tx1"/>
                        </w14:solidFill>
                      </w14:textFill>
                    </w:rPr>
                  </w:pPr>
                  <w:r>
                    <w:rPr>
                      <w:rFonts w:hint="default" w:ascii="Times New Roman" w:hAnsi="Times New Roman" w:eastAsia="宋体" w:cs="Times New Roman"/>
                      <w:b/>
                      <w:color w:val="000000" w:themeColor="text1"/>
                      <w:highlight w:val="none"/>
                      <w14:textFill>
                        <w14:solidFill>
                          <w14:schemeClr w14:val="tx1"/>
                        </w14:solidFill>
                      </w14:textFill>
                    </w:rPr>
                    <w:t>（万元）</w:t>
                  </w:r>
                </w:p>
              </w:tc>
            </w:tr>
            <w:tr w14:paraId="1860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866" w:type="dxa"/>
                  <w:vMerge w:val="restart"/>
                  <w:noWrap w:val="0"/>
                  <w:vAlign w:val="center"/>
                </w:tcPr>
                <w:p w14:paraId="00D00E60">
                  <w:pPr>
                    <w:pStyle w:val="89"/>
                    <w:jc w:val="center"/>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废气</w:t>
                  </w:r>
                </w:p>
              </w:tc>
              <w:tc>
                <w:tcPr>
                  <w:tcW w:w="1575" w:type="dxa"/>
                  <w:noWrap w:val="0"/>
                  <w:vAlign w:val="center"/>
                </w:tcPr>
                <w:p w14:paraId="297F2251">
                  <w:pPr>
                    <w:pStyle w:val="89"/>
                    <w:jc w:val="cente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2"/>
                      <w:highlight w:val="none"/>
                      <w:lang w:val="en-US" w:eastAsia="zh-CN"/>
                      <w14:textFill>
                        <w14:solidFill>
                          <w14:schemeClr w14:val="tx1"/>
                        </w14:solidFill>
                      </w14:textFill>
                    </w:rPr>
                    <w:t>粉尘废气</w:t>
                  </w:r>
                </w:p>
              </w:tc>
              <w:tc>
                <w:tcPr>
                  <w:tcW w:w="3630" w:type="dxa"/>
                  <w:noWrap w:val="0"/>
                  <w:vAlign w:val="center"/>
                </w:tcPr>
                <w:p w14:paraId="28435384">
                  <w:pPr>
                    <w:pStyle w:val="89"/>
                    <w:jc w:val="center"/>
                    <w:rPr>
                      <w:rFonts w:hint="default" w:ascii="Times New Roman" w:hAnsi="Times New Roman" w:eastAsia="宋体" w:cs="Times New Roman"/>
                      <w:color w:val="000000" w:themeColor="text1"/>
                      <w:szCs w:val="22"/>
                      <w:highlight w:val="none"/>
                      <w14:textFill>
                        <w14:solidFill>
                          <w14:schemeClr w14:val="tx1"/>
                        </w14:solidFill>
                      </w14:textFill>
                    </w:rPr>
                  </w:pPr>
                  <w:r>
                    <w:rPr>
                      <w:rFonts w:hint="eastAsia" w:ascii="Times New Roman" w:hAnsi="Times New Roman" w:eastAsia="宋体" w:cs="Times New Roman"/>
                      <w:color w:val="000000" w:themeColor="text1"/>
                      <w:szCs w:val="22"/>
                      <w:highlight w:val="none"/>
                      <w:lang w:val="en-US" w:eastAsia="zh-CN"/>
                      <w14:textFill>
                        <w14:solidFill>
                          <w14:schemeClr w14:val="tx1"/>
                        </w14:solidFill>
                      </w14:textFill>
                    </w:rPr>
                    <w:t>粉尘废气治理（集气罩+布袋除尘器+ 28m排气筒）</w:t>
                  </w:r>
                </w:p>
              </w:tc>
              <w:tc>
                <w:tcPr>
                  <w:tcW w:w="954" w:type="dxa"/>
                  <w:noWrap w:val="0"/>
                  <w:vAlign w:val="center"/>
                </w:tcPr>
                <w:p w14:paraId="05440469">
                  <w:pPr>
                    <w:pStyle w:val="89"/>
                    <w:jc w:val="center"/>
                    <w:rPr>
                      <w:rFonts w:hint="eastAsia" w:ascii="Times New Roman" w:hAnsi="Times New Roman" w:eastAsia="宋体" w:cs="Times New Roman"/>
                      <w:color w:val="000000" w:themeColor="text1"/>
                      <w:szCs w:val="22"/>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2"/>
                      <w:highlight w:val="none"/>
                      <w:lang w:val="en-US" w:eastAsia="zh-CN"/>
                      <w14:textFill>
                        <w14:solidFill>
                          <w14:schemeClr w14:val="tx1"/>
                        </w14:solidFill>
                      </w14:textFill>
                    </w:rPr>
                    <w:t>1</w:t>
                  </w:r>
                </w:p>
              </w:tc>
              <w:tc>
                <w:tcPr>
                  <w:tcW w:w="1095" w:type="dxa"/>
                  <w:noWrap w:val="0"/>
                  <w:vAlign w:val="center"/>
                </w:tcPr>
                <w:p w14:paraId="397EE59D">
                  <w:pPr>
                    <w:pStyle w:val="89"/>
                    <w:jc w:val="cente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r>
            <w:tr w14:paraId="7046C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866" w:type="dxa"/>
                  <w:vMerge w:val="continue"/>
                  <w:noWrap w:val="0"/>
                  <w:vAlign w:val="center"/>
                </w:tcPr>
                <w:p w14:paraId="16775BB1">
                  <w:pPr>
                    <w:pStyle w:val="89"/>
                    <w:jc w:val="center"/>
                    <w:rPr>
                      <w:rFonts w:hint="default" w:ascii="Times New Roman" w:hAnsi="Times New Roman" w:eastAsia="宋体" w:cs="Times New Roman"/>
                      <w:color w:val="000000" w:themeColor="text1"/>
                      <w:highlight w:val="none"/>
                      <w14:textFill>
                        <w14:solidFill>
                          <w14:schemeClr w14:val="tx1"/>
                        </w14:solidFill>
                      </w14:textFill>
                    </w:rPr>
                  </w:pPr>
                </w:p>
              </w:tc>
              <w:tc>
                <w:tcPr>
                  <w:tcW w:w="1575" w:type="dxa"/>
                  <w:noWrap w:val="0"/>
                  <w:vAlign w:val="center"/>
                </w:tcPr>
                <w:p w14:paraId="1872C03C">
                  <w:pPr>
                    <w:pStyle w:val="89"/>
                    <w:jc w:val="cente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2"/>
                      <w:highlight w:val="none"/>
                      <w:lang w:val="en-US" w:eastAsia="zh-CN"/>
                      <w14:textFill>
                        <w14:solidFill>
                          <w14:schemeClr w14:val="tx1"/>
                        </w14:solidFill>
                      </w14:textFill>
                    </w:rPr>
                    <w:t>有机废气</w:t>
                  </w:r>
                </w:p>
              </w:tc>
              <w:tc>
                <w:tcPr>
                  <w:tcW w:w="3630" w:type="dxa"/>
                  <w:noWrap w:val="0"/>
                  <w:vAlign w:val="center"/>
                </w:tcPr>
                <w:p w14:paraId="20BE6C79">
                  <w:pPr>
                    <w:pStyle w:val="89"/>
                    <w:jc w:val="center"/>
                    <w:rPr>
                      <w:rFonts w:hint="default" w:ascii="Times New Roman" w:hAnsi="Times New Roman" w:eastAsia="宋体" w:cs="Times New Roman"/>
                      <w:color w:val="000000" w:themeColor="text1"/>
                      <w:szCs w:val="22"/>
                      <w:highlight w:val="none"/>
                      <w14:textFill>
                        <w14:solidFill>
                          <w14:schemeClr w14:val="tx1"/>
                        </w14:solidFill>
                      </w14:textFill>
                    </w:rPr>
                  </w:pPr>
                  <w:r>
                    <w:rPr>
                      <w:rFonts w:hint="eastAsia" w:ascii="Times New Roman" w:hAnsi="Times New Roman" w:eastAsia="宋体" w:cs="Times New Roman"/>
                      <w:color w:val="000000" w:themeColor="text1"/>
                      <w:szCs w:val="22"/>
                      <w:highlight w:val="none"/>
                      <w:lang w:val="en-US" w:eastAsia="zh-CN"/>
                      <w14:textFill>
                        <w14:solidFill>
                          <w14:schemeClr w14:val="tx1"/>
                        </w14:solidFill>
                      </w14:textFill>
                    </w:rPr>
                    <w:t>有机废气治理（集气罩+二级活性炭吸附+30m排气筒）</w:t>
                  </w:r>
                </w:p>
              </w:tc>
              <w:tc>
                <w:tcPr>
                  <w:tcW w:w="954" w:type="dxa"/>
                  <w:noWrap w:val="0"/>
                  <w:vAlign w:val="center"/>
                </w:tcPr>
                <w:p w14:paraId="53B1511D">
                  <w:pPr>
                    <w:pStyle w:val="89"/>
                    <w:jc w:val="center"/>
                    <w:rPr>
                      <w:rFonts w:hint="eastAsia" w:ascii="Times New Roman" w:hAnsi="Times New Roman" w:eastAsia="宋体" w:cs="Times New Roman"/>
                      <w:color w:val="000000" w:themeColor="text1"/>
                      <w:szCs w:val="22"/>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2"/>
                      <w:highlight w:val="none"/>
                      <w:lang w:val="en-US" w:eastAsia="zh-CN"/>
                      <w14:textFill>
                        <w14:solidFill>
                          <w14:schemeClr w14:val="tx1"/>
                        </w14:solidFill>
                      </w14:textFill>
                    </w:rPr>
                    <w:t>1</w:t>
                  </w:r>
                </w:p>
              </w:tc>
              <w:tc>
                <w:tcPr>
                  <w:tcW w:w="1095" w:type="dxa"/>
                  <w:noWrap w:val="0"/>
                  <w:vAlign w:val="center"/>
                </w:tcPr>
                <w:p w14:paraId="5B622D90">
                  <w:pPr>
                    <w:pStyle w:val="89"/>
                    <w:jc w:val="cente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r>
            <w:tr w14:paraId="2DA1D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866" w:type="dxa"/>
                  <w:vMerge w:val="continue"/>
                  <w:noWrap w:val="0"/>
                  <w:vAlign w:val="center"/>
                </w:tcPr>
                <w:p w14:paraId="3A135B26">
                  <w:pPr>
                    <w:pStyle w:val="89"/>
                    <w:jc w:val="center"/>
                    <w:rPr>
                      <w:rFonts w:hint="default" w:ascii="Times New Roman" w:hAnsi="Times New Roman" w:eastAsia="宋体" w:cs="Times New Roman"/>
                      <w:color w:val="000000" w:themeColor="text1"/>
                      <w:highlight w:val="none"/>
                      <w14:textFill>
                        <w14:solidFill>
                          <w14:schemeClr w14:val="tx1"/>
                        </w14:solidFill>
                      </w14:textFill>
                    </w:rPr>
                  </w:pPr>
                </w:p>
              </w:tc>
              <w:tc>
                <w:tcPr>
                  <w:tcW w:w="1575" w:type="dxa"/>
                  <w:noWrap w:val="0"/>
                  <w:vAlign w:val="center"/>
                </w:tcPr>
                <w:p w14:paraId="04FDC73C">
                  <w:pPr>
                    <w:pStyle w:val="89"/>
                    <w:jc w:val="cente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2"/>
                      <w:highlight w:val="none"/>
                      <w:lang w:val="en-US" w:eastAsia="zh-CN"/>
                      <w14:textFill>
                        <w14:solidFill>
                          <w14:schemeClr w14:val="tx1"/>
                        </w14:solidFill>
                      </w14:textFill>
                    </w:rPr>
                    <w:t>酸性废气</w:t>
                  </w:r>
                </w:p>
              </w:tc>
              <w:tc>
                <w:tcPr>
                  <w:tcW w:w="3630" w:type="dxa"/>
                  <w:noWrap w:val="0"/>
                  <w:vAlign w:val="center"/>
                </w:tcPr>
                <w:p w14:paraId="21858BBA">
                  <w:pPr>
                    <w:pStyle w:val="89"/>
                    <w:jc w:val="center"/>
                    <w:rPr>
                      <w:rFonts w:hint="default" w:ascii="Times New Roman" w:hAnsi="Times New Roman" w:eastAsia="宋体" w:cs="Times New Roman"/>
                      <w:color w:val="000000" w:themeColor="text1"/>
                      <w:szCs w:val="22"/>
                      <w:highlight w:val="none"/>
                      <w14:textFill>
                        <w14:solidFill>
                          <w14:schemeClr w14:val="tx1"/>
                        </w14:solidFill>
                      </w14:textFill>
                    </w:rPr>
                  </w:pPr>
                  <w:r>
                    <w:rPr>
                      <w:rFonts w:hint="eastAsia" w:ascii="Times New Roman" w:hAnsi="Times New Roman" w:eastAsia="宋体" w:cs="Times New Roman"/>
                      <w:color w:val="000000" w:themeColor="text1"/>
                      <w:szCs w:val="22"/>
                      <w:highlight w:val="none"/>
                      <w:lang w:val="en-US" w:eastAsia="zh-CN"/>
                      <w14:textFill>
                        <w14:solidFill>
                          <w14:schemeClr w14:val="tx1"/>
                        </w14:solidFill>
                      </w14:textFill>
                    </w:rPr>
                    <w:t>酸性废气治理（密闭集气管道+碱液喷淋塔+30m排气筒）</w:t>
                  </w:r>
                </w:p>
              </w:tc>
              <w:tc>
                <w:tcPr>
                  <w:tcW w:w="954" w:type="dxa"/>
                  <w:noWrap w:val="0"/>
                  <w:vAlign w:val="center"/>
                </w:tcPr>
                <w:p w14:paraId="3D892487">
                  <w:pPr>
                    <w:pStyle w:val="89"/>
                    <w:jc w:val="center"/>
                    <w:rPr>
                      <w:rFonts w:hint="eastAsia" w:ascii="Times New Roman" w:hAnsi="Times New Roman" w:eastAsia="宋体" w:cs="Times New Roman"/>
                      <w:color w:val="000000" w:themeColor="text1"/>
                      <w:szCs w:val="22"/>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2"/>
                      <w:highlight w:val="none"/>
                      <w:lang w:val="en-US" w:eastAsia="zh-CN"/>
                      <w14:textFill>
                        <w14:solidFill>
                          <w14:schemeClr w14:val="tx1"/>
                        </w14:solidFill>
                      </w14:textFill>
                    </w:rPr>
                    <w:t>1</w:t>
                  </w:r>
                </w:p>
              </w:tc>
              <w:tc>
                <w:tcPr>
                  <w:tcW w:w="1095" w:type="dxa"/>
                  <w:noWrap w:val="0"/>
                  <w:vAlign w:val="center"/>
                </w:tcPr>
                <w:p w14:paraId="52EB8A49">
                  <w:pPr>
                    <w:pStyle w:val="89"/>
                    <w:jc w:val="cente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r>
            <w:tr w14:paraId="44E31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866" w:type="dxa"/>
                  <w:vMerge w:val="continue"/>
                  <w:noWrap w:val="0"/>
                  <w:vAlign w:val="center"/>
                </w:tcPr>
                <w:p w14:paraId="2E56D2A0">
                  <w:pPr>
                    <w:pStyle w:val="89"/>
                    <w:jc w:val="center"/>
                    <w:rPr>
                      <w:rFonts w:hint="default" w:ascii="Times New Roman" w:hAnsi="Times New Roman" w:eastAsia="宋体" w:cs="Times New Roman"/>
                      <w:color w:val="000000" w:themeColor="text1"/>
                      <w:highlight w:val="none"/>
                      <w14:textFill>
                        <w14:solidFill>
                          <w14:schemeClr w14:val="tx1"/>
                        </w14:solidFill>
                      </w14:textFill>
                    </w:rPr>
                  </w:pPr>
                </w:p>
              </w:tc>
              <w:tc>
                <w:tcPr>
                  <w:tcW w:w="1575" w:type="dxa"/>
                  <w:noWrap w:val="0"/>
                  <w:vAlign w:val="center"/>
                </w:tcPr>
                <w:p w14:paraId="1F6B0AD2">
                  <w:pPr>
                    <w:pStyle w:val="89"/>
                    <w:jc w:val="cente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2"/>
                      <w:highlight w:val="none"/>
                      <w:lang w:val="en-US" w:eastAsia="zh-CN"/>
                      <w14:textFill>
                        <w14:solidFill>
                          <w14:schemeClr w14:val="tx1"/>
                        </w14:solidFill>
                      </w14:textFill>
                    </w:rPr>
                    <w:t>碱性废气</w:t>
                  </w:r>
                </w:p>
              </w:tc>
              <w:tc>
                <w:tcPr>
                  <w:tcW w:w="3630" w:type="dxa"/>
                  <w:noWrap w:val="0"/>
                  <w:vAlign w:val="center"/>
                </w:tcPr>
                <w:p w14:paraId="31C1F87B">
                  <w:pPr>
                    <w:pStyle w:val="89"/>
                    <w:jc w:val="center"/>
                    <w:rPr>
                      <w:rFonts w:hint="default" w:ascii="Times New Roman" w:hAnsi="Times New Roman" w:eastAsia="宋体" w:cs="Times New Roman"/>
                      <w:color w:val="000000" w:themeColor="text1"/>
                      <w:szCs w:val="22"/>
                      <w:highlight w:val="none"/>
                      <w14:textFill>
                        <w14:solidFill>
                          <w14:schemeClr w14:val="tx1"/>
                        </w14:solidFill>
                      </w14:textFill>
                    </w:rPr>
                  </w:pPr>
                  <w:r>
                    <w:rPr>
                      <w:rFonts w:hint="eastAsia" w:ascii="Times New Roman" w:hAnsi="Times New Roman" w:eastAsia="宋体" w:cs="Times New Roman"/>
                      <w:color w:val="000000" w:themeColor="text1"/>
                      <w:szCs w:val="22"/>
                      <w:highlight w:val="none"/>
                      <w:lang w:val="en-US" w:eastAsia="zh-CN"/>
                      <w14:textFill>
                        <w14:solidFill>
                          <w14:schemeClr w14:val="tx1"/>
                        </w14:solidFill>
                      </w14:textFill>
                    </w:rPr>
                    <w:t>碱性废气治理（密闭集气管道+稀硫酸喷淋塔+30m排气筒）</w:t>
                  </w:r>
                </w:p>
              </w:tc>
              <w:tc>
                <w:tcPr>
                  <w:tcW w:w="954" w:type="dxa"/>
                  <w:noWrap w:val="0"/>
                  <w:vAlign w:val="center"/>
                </w:tcPr>
                <w:p w14:paraId="5CB6BA62">
                  <w:pPr>
                    <w:pStyle w:val="89"/>
                    <w:jc w:val="center"/>
                    <w:rPr>
                      <w:rFonts w:hint="eastAsia" w:ascii="Times New Roman" w:hAnsi="Times New Roman" w:eastAsia="宋体" w:cs="Times New Roman"/>
                      <w:color w:val="000000" w:themeColor="text1"/>
                      <w:szCs w:val="22"/>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2"/>
                      <w:highlight w:val="none"/>
                      <w:lang w:val="en-US" w:eastAsia="zh-CN"/>
                      <w14:textFill>
                        <w14:solidFill>
                          <w14:schemeClr w14:val="tx1"/>
                        </w14:solidFill>
                      </w14:textFill>
                    </w:rPr>
                    <w:t>1</w:t>
                  </w:r>
                </w:p>
              </w:tc>
              <w:tc>
                <w:tcPr>
                  <w:tcW w:w="1095" w:type="dxa"/>
                  <w:noWrap w:val="0"/>
                  <w:vAlign w:val="center"/>
                </w:tcPr>
                <w:p w14:paraId="561FB907">
                  <w:pPr>
                    <w:pStyle w:val="89"/>
                    <w:jc w:val="cente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r>
            <w:tr w14:paraId="16AB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866" w:type="dxa"/>
                  <w:vMerge w:val="continue"/>
                  <w:noWrap w:val="0"/>
                  <w:vAlign w:val="center"/>
                </w:tcPr>
                <w:p w14:paraId="69329370">
                  <w:pPr>
                    <w:pStyle w:val="89"/>
                    <w:jc w:val="center"/>
                    <w:rPr>
                      <w:rFonts w:hint="default" w:ascii="Times New Roman" w:hAnsi="Times New Roman" w:eastAsia="宋体" w:cs="Times New Roman"/>
                      <w:color w:val="000000" w:themeColor="text1"/>
                      <w:highlight w:val="none"/>
                      <w14:textFill>
                        <w14:solidFill>
                          <w14:schemeClr w14:val="tx1"/>
                        </w14:solidFill>
                      </w14:textFill>
                    </w:rPr>
                  </w:pPr>
                </w:p>
              </w:tc>
              <w:tc>
                <w:tcPr>
                  <w:tcW w:w="1575" w:type="dxa"/>
                  <w:noWrap w:val="0"/>
                  <w:vAlign w:val="center"/>
                </w:tcPr>
                <w:p w14:paraId="103FAE18">
                  <w:pPr>
                    <w:pStyle w:val="89"/>
                    <w:jc w:val="cente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2"/>
                      <w:highlight w:val="none"/>
                      <w:lang w:val="en-US" w:eastAsia="zh-CN"/>
                      <w14:textFill>
                        <w14:solidFill>
                          <w14:schemeClr w14:val="tx1"/>
                        </w14:solidFill>
                      </w14:textFill>
                    </w:rPr>
                    <w:t>污水站恶臭</w:t>
                  </w:r>
                </w:p>
              </w:tc>
              <w:tc>
                <w:tcPr>
                  <w:tcW w:w="3630" w:type="dxa"/>
                  <w:noWrap w:val="0"/>
                  <w:vAlign w:val="center"/>
                </w:tcPr>
                <w:p w14:paraId="269BF1C7">
                  <w:pPr>
                    <w:pStyle w:val="89"/>
                    <w:jc w:val="center"/>
                    <w:rPr>
                      <w:rFonts w:hint="default" w:ascii="Times New Roman" w:hAnsi="Times New Roman" w:eastAsia="宋体" w:cs="Times New Roman"/>
                      <w:color w:val="000000" w:themeColor="text1"/>
                      <w:szCs w:val="22"/>
                      <w:highlight w:val="none"/>
                      <w14:textFill>
                        <w14:solidFill>
                          <w14:schemeClr w14:val="tx1"/>
                        </w14:solidFill>
                      </w14:textFill>
                    </w:rPr>
                  </w:pPr>
                  <w:r>
                    <w:rPr>
                      <w:rFonts w:hint="eastAsia" w:ascii="Times New Roman" w:hAnsi="Times New Roman" w:eastAsia="宋体" w:cs="Times New Roman"/>
                      <w:color w:val="000000" w:themeColor="text1"/>
                      <w:szCs w:val="22"/>
                      <w:highlight w:val="none"/>
                      <w:lang w:val="en-US" w:eastAsia="zh-CN"/>
                      <w14:textFill>
                        <w14:solidFill>
                          <w14:schemeClr w14:val="tx1"/>
                        </w14:solidFill>
                      </w14:textFill>
                    </w:rPr>
                    <w:t>污水处理站除臭剂等恶臭防控</w:t>
                  </w:r>
                </w:p>
              </w:tc>
              <w:tc>
                <w:tcPr>
                  <w:tcW w:w="954" w:type="dxa"/>
                  <w:noWrap w:val="0"/>
                  <w:vAlign w:val="center"/>
                </w:tcPr>
                <w:p w14:paraId="2AF1A811">
                  <w:pPr>
                    <w:pStyle w:val="89"/>
                    <w:jc w:val="center"/>
                    <w:rPr>
                      <w:rFonts w:hint="eastAsia" w:ascii="Times New Roman" w:hAnsi="Times New Roman" w:eastAsia="宋体" w:cs="Times New Roman"/>
                      <w:color w:val="000000" w:themeColor="text1"/>
                      <w:szCs w:val="22"/>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2"/>
                      <w:highlight w:val="none"/>
                      <w:lang w:val="en-US" w:eastAsia="zh-CN"/>
                      <w14:textFill>
                        <w14:solidFill>
                          <w14:schemeClr w14:val="tx1"/>
                        </w14:solidFill>
                      </w14:textFill>
                    </w:rPr>
                    <w:t>1</w:t>
                  </w:r>
                </w:p>
              </w:tc>
              <w:tc>
                <w:tcPr>
                  <w:tcW w:w="1095" w:type="dxa"/>
                  <w:noWrap w:val="0"/>
                  <w:vAlign w:val="center"/>
                </w:tcPr>
                <w:p w14:paraId="5FCA1408">
                  <w:pPr>
                    <w:pStyle w:val="89"/>
                    <w:jc w:val="center"/>
                    <w:rPr>
                      <w:rFonts w:hint="eastAsia" w:ascii="Times New Roman" w:hAnsi="Times New Roman" w:eastAsia="宋体" w:cs="Times New Roman"/>
                      <w:color w:val="000000" w:themeColor="text1"/>
                      <w:szCs w:val="22"/>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r>
            <w:tr w14:paraId="4432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866" w:type="dxa"/>
                  <w:vMerge w:val="restart"/>
                  <w:noWrap w:val="0"/>
                  <w:vAlign w:val="center"/>
                </w:tcPr>
                <w:p w14:paraId="003D0DD2">
                  <w:pPr>
                    <w:pStyle w:val="89"/>
                    <w:jc w:val="center"/>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废水</w:t>
                  </w:r>
                </w:p>
              </w:tc>
              <w:tc>
                <w:tcPr>
                  <w:tcW w:w="1575" w:type="dxa"/>
                  <w:noWrap w:val="0"/>
                  <w:vAlign w:val="center"/>
                </w:tcPr>
                <w:p w14:paraId="150DCA88">
                  <w:pPr>
                    <w:pStyle w:val="89"/>
                    <w:jc w:val="cente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2"/>
                      <w:highlight w:val="none"/>
                      <w:lang w:val="en-US" w:eastAsia="zh-CN"/>
                      <w14:textFill>
                        <w14:solidFill>
                          <w14:schemeClr w14:val="tx1"/>
                        </w14:solidFill>
                      </w14:textFill>
                    </w:rPr>
                    <w:t>生产废水</w:t>
                  </w:r>
                </w:p>
              </w:tc>
              <w:tc>
                <w:tcPr>
                  <w:tcW w:w="3630" w:type="dxa"/>
                  <w:noWrap w:val="0"/>
                  <w:vAlign w:val="center"/>
                </w:tcPr>
                <w:p w14:paraId="1FC0C76B">
                  <w:pPr>
                    <w:pStyle w:val="89"/>
                    <w:jc w:val="center"/>
                    <w:rPr>
                      <w:rFonts w:hint="eastAsia"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含氟废水预处理系统</w:t>
                  </w:r>
                  <w:r>
                    <w:rPr>
                      <w:rFonts w:hint="eastAsia" w:ascii="Times New Roman" w:hAnsi="Times New Roman" w:cs="Times New Roman"/>
                      <w:color w:val="000000" w:themeColor="text1"/>
                      <w:highlight w:val="none"/>
                      <w:lang w:eastAsia="zh-CN"/>
                      <w14:textFill>
                        <w14:solidFill>
                          <w14:schemeClr w14:val="tx1"/>
                        </w14:solidFill>
                      </w14:textFill>
                    </w:rPr>
                    <w:t>、综合污水处理站</w:t>
                  </w:r>
                </w:p>
              </w:tc>
              <w:tc>
                <w:tcPr>
                  <w:tcW w:w="954" w:type="dxa"/>
                  <w:noWrap w:val="0"/>
                  <w:vAlign w:val="center"/>
                </w:tcPr>
                <w:p w14:paraId="200AF6C4">
                  <w:pPr>
                    <w:pStyle w:val="89"/>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1</w:t>
                  </w:r>
                </w:p>
              </w:tc>
              <w:tc>
                <w:tcPr>
                  <w:tcW w:w="1095" w:type="dxa"/>
                  <w:noWrap w:val="0"/>
                  <w:vAlign w:val="center"/>
                </w:tcPr>
                <w:p w14:paraId="365C94BA">
                  <w:pPr>
                    <w:pStyle w:val="89"/>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r>
            <w:tr w14:paraId="502DA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866" w:type="dxa"/>
                  <w:vMerge w:val="continue"/>
                  <w:noWrap w:val="0"/>
                  <w:vAlign w:val="center"/>
                </w:tcPr>
                <w:p w14:paraId="623BA7C3">
                  <w:pPr>
                    <w:pStyle w:val="89"/>
                    <w:jc w:val="center"/>
                    <w:rPr>
                      <w:rFonts w:hint="default" w:ascii="Times New Roman" w:hAnsi="Times New Roman" w:eastAsia="宋体" w:cs="Times New Roman"/>
                      <w:bCs/>
                      <w:color w:val="000000" w:themeColor="text1"/>
                      <w:highlight w:val="none"/>
                      <w14:textFill>
                        <w14:solidFill>
                          <w14:schemeClr w14:val="tx1"/>
                        </w14:solidFill>
                      </w14:textFill>
                    </w:rPr>
                  </w:pPr>
                </w:p>
              </w:tc>
              <w:tc>
                <w:tcPr>
                  <w:tcW w:w="1575" w:type="dxa"/>
                  <w:noWrap w:val="0"/>
                  <w:vAlign w:val="center"/>
                </w:tcPr>
                <w:p w14:paraId="2483C38C">
                  <w:pPr>
                    <w:pStyle w:val="89"/>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生活污水</w:t>
                  </w:r>
                </w:p>
              </w:tc>
              <w:tc>
                <w:tcPr>
                  <w:tcW w:w="3630" w:type="dxa"/>
                  <w:noWrap w:val="0"/>
                  <w:vAlign w:val="center"/>
                </w:tcPr>
                <w:p w14:paraId="4384C85C">
                  <w:pPr>
                    <w:pStyle w:val="89"/>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依托厂区现有</w:t>
                  </w:r>
                  <w:r>
                    <w:rPr>
                      <w:rFonts w:hint="eastAsia" w:cs="Times New Roman"/>
                      <w:color w:val="000000" w:themeColor="text1"/>
                      <w:highlight w:val="none"/>
                      <w:lang w:val="en-US" w:eastAsia="zh-CN"/>
                      <w14:textFill>
                        <w14:solidFill>
                          <w14:schemeClr w14:val="tx1"/>
                        </w14:solidFill>
                      </w14:textFill>
                    </w:rPr>
                    <w:t>隔油+</w:t>
                  </w:r>
                  <w:r>
                    <w:rPr>
                      <w:rFonts w:hint="eastAsia" w:ascii="Times New Roman" w:hAnsi="Times New Roman" w:eastAsia="宋体" w:cs="Times New Roman"/>
                      <w:color w:val="000000" w:themeColor="text1"/>
                      <w:highlight w:val="none"/>
                      <w:lang w:val="en-US" w:eastAsia="zh-CN"/>
                      <w14:textFill>
                        <w14:solidFill>
                          <w14:schemeClr w14:val="tx1"/>
                        </w14:solidFill>
                      </w14:textFill>
                    </w:rPr>
                    <w:t>化粪池</w:t>
                  </w:r>
                </w:p>
              </w:tc>
              <w:tc>
                <w:tcPr>
                  <w:tcW w:w="954" w:type="dxa"/>
                  <w:noWrap w:val="0"/>
                  <w:vAlign w:val="center"/>
                </w:tcPr>
                <w:p w14:paraId="47E73BE2">
                  <w:pPr>
                    <w:pStyle w:val="89"/>
                    <w:jc w:val="center"/>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1</w:t>
                  </w:r>
                </w:p>
              </w:tc>
              <w:tc>
                <w:tcPr>
                  <w:tcW w:w="1095" w:type="dxa"/>
                  <w:noWrap w:val="0"/>
                  <w:vAlign w:val="center"/>
                </w:tcPr>
                <w:p w14:paraId="7B065E09">
                  <w:pPr>
                    <w:pStyle w:val="89"/>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r>
            <w:tr w14:paraId="2DEE3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866" w:type="dxa"/>
                  <w:noWrap w:val="0"/>
                  <w:vAlign w:val="center"/>
                </w:tcPr>
                <w:p w14:paraId="3B4CA25E">
                  <w:pPr>
                    <w:pStyle w:val="89"/>
                    <w:jc w:val="center"/>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噪声</w:t>
                  </w:r>
                </w:p>
              </w:tc>
              <w:tc>
                <w:tcPr>
                  <w:tcW w:w="1575" w:type="dxa"/>
                  <w:noWrap w:val="0"/>
                  <w:vAlign w:val="center"/>
                </w:tcPr>
                <w:p w14:paraId="4EF3DD30">
                  <w:pPr>
                    <w:pStyle w:val="89"/>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主要产噪设备</w:t>
                  </w:r>
                </w:p>
              </w:tc>
              <w:tc>
                <w:tcPr>
                  <w:tcW w:w="3630" w:type="dxa"/>
                  <w:noWrap w:val="0"/>
                  <w:vAlign w:val="center"/>
                </w:tcPr>
                <w:p w14:paraId="05435A0B">
                  <w:pPr>
                    <w:pStyle w:val="89"/>
                    <w:jc w:val="center"/>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生产</w:t>
                  </w:r>
                  <w:r>
                    <w:rPr>
                      <w:rFonts w:hint="eastAsia" w:ascii="Times New Roman" w:hAnsi="Times New Roman" w:eastAsia="宋体" w:cs="Times New Roman"/>
                      <w:color w:val="000000" w:themeColor="text1"/>
                      <w:highlight w:val="none"/>
                      <w:lang w:eastAsia="zh-CN"/>
                      <w14:textFill>
                        <w14:solidFill>
                          <w14:schemeClr w14:val="tx1"/>
                        </w14:solidFill>
                      </w14:textFill>
                    </w:rPr>
                    <w:t>设备</w:t>
                  </w:r>
                  <w:r>
                    <w:rPr>
                      <w:rFonts w:hint="default" w:ascii="Times New Roman" w:hAnsi="Times New Roman" w:eastAsia="宋体" w:cs="Times New Roman"/>
                      <w:color w:val="000000" w:themeColor="text1"/>
                      <w:highlight w:val="none"/>
                      <w14:textFill>
                        <w14:solidFill>
                          <w14:schemeClr w14:val="tx1"/>
                        </w14:solidFill>
                      </w14:textFill>
                    </w:rPr>
                    <w:t>基础减震+管道软接</w:t>
                  </w:r>
                  <w:r>
                    <w:rPr>
                      <w:rFonts w:hint="eastAsia" w:ascii="Times New Roman" w:hAnsi="Times New Roman" w:eastAsia="宋体" w:cs="Times New Roman"/>
                      <w:color w:val="000000" w:themeColor="text1"/>
                      <w:highlight w:val="none"/>
                      <w:lang w:eastAsia="zh-CN"/>
                      <w14:textFill>
                        <w14:solidFill>
                          <w14:schemeClr w14:val="tx1"/>
                        </w14:solidFill>
                      </w14:textFill>
                    </w:rPr>
                    <w:t>，生产车间内侧墙面吸声、门窗隔声</w:t>
                  </w:r>
                </w:p>
              </w:tc>
              <w:tc>
                <w:tcPr>
                  <w:tcW w:w="954" w:type="dxa"/>
                  <w:noWrap w:val="0"/>
                  <w:vAlign w:val="center"/>
                </w:tcPr>
                <w:p w14:paraId="3255EF58">
                  <w:pPr>
                    <w:pStyle w:val="89"/>
                    <w:jc w:val="center"/>
                    <w:rPr>
                      <w:rFonts w:hint="eastAsia" w:ascii="Times New Roman" w:hAnsi="Times New Roman" w:eastAsia="宋体" w:cs="Times New Roman"/>
                      <w:bCs/>
                      <w:color w:val="000000" w:themeColor="text1"/>
                      <w:highlight w:val="none"/>
                      <w:lang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1</w:t>
                  </w:r>
                </w:p>
              </w:tc>
              <w:tc>
                <w:tcPr>
                  <w:tcW w:w="1095" w:type="dxa"/>
                  <w:noWrap w:val="0"/>
                  <w:vAlign w:val="center"/>
                </w:tcPr>
                <w:p w14:paraId="7DDDA464">
                  <w:pPr>
                    <w:pStyle w:val="89"/>
                    <w:jc w:val="center"/>
                    <w:rPr>
                      <w:rFonts w:hint="default" w:ascii="Times New Roman" w:hAnsi="Times New Roman" w:eastAsia="宋体" w:cs="Times New Roman"/>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r>
            <w:tr w14:paraId="07566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866" w:type="dxa"/>
                  <w:vMerge w:val="restart"/>
                  <w:noWrap w:val="0"/>
                  <w:vAlign w:val="center"/>
                </w:tcPr>
                <w:p w14:paraId="0E71C636">
                  <w:pPr>
                    <w:pStyle w:val="89"/>
                    <w:jc w:val="center"/>
                    <w:rPr>
                      <w:rFonts w:hint="default" w:ascii="Times New Roman" w:hAnsi="Times New Roman" w:eastAsia="宋体" w:cs="Times New Roman"/>
                      <w:bCs/>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固废</w:t>
                  </w:r>
                </w:p>
              </w:tc>
              <w:tc>
                <w:tcPr>
                  <w:tcW w:w="1575" w:type="dxa"/>
                  <w:noWrap w:val="0"/>
                  <w:vAlign w:val="center"/>
                </w:tcPr>
                <w:p w14:paraId="1F6930F3">
                  <w:pPr>
                    <w:pStyle w:val="89"/>
                    <w:jc w:val="center"/>
                    <w:rPr>
                      <w:rFonts w:hint="eastAsia" w:ascii="Times New Roman" w:hAnsi="Times New Roman" w:eastAsia="宋体" w:cs="Times New Roman"/>
                      <w:color w:val="000000" w:themeColor="text1"/>
                      <w:highlight w:val="none"/>
                      <w:lang w:eastAsia="zh-CN"/>
                      <w14:textFill>
                        <w14:solidFill>
                          <w14:schemeClr w14:val="tx1"/>
                        </w14:solidFill>
                      </w14:textFill>
                    </w:rPr>
                  </w:pPr>
                  <w:r>
                    <w:rPr>
                      <w:rFonts w:hint="eastAsia" w:ascii="Times New Roman" w:hAnsi="Times New Roman" w:eastAsia="宋体" w:cs="Times New Roman"/>
                      <w:color w:val="000000" w:themeColor="text1"/>
                      <w:highlight w:val="none"/>
                      <w:lang w:eastAsia="zh-CN"/>
                      <w14:textFill>
                        <w14:solidFill>
                          <w14:schemeClr w14:val="tx1"/>
                        </w14:solidFill>
                      </w14:textFill>
                    </w:rPr>
                    <w:t>一般工业固废</w:t>
                  </w:r>
                </w:p>
              </w:tc>
              <w:tc>
                <w:tcPr>
                  <w:tcW w:w="3630" w:type="dxa"/>
                  <w:noWrap w:val="0"/>
                  <w:vAlign w:val="center"/>
                </w:tcPr>
                <w:p w14:paraId="1D395574">
                  <w:pPr>
                    <w:pStyle w:val="89"/>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eastAsia="zh-CN"/>
                      <w14:textFill>
                        <w14:solidFill>
                          <w14:schemeClr w14:val="tx1"/>
                        </w14:solidFill>
                      </w14:textFill>
                    </w:rPr>
                    <w:t>一般工业固废暂存间，包括</w:t>
                  </w:r>
                  <w:r>
                    <w:rPr>
                      <w:rFonts w:hint="eastAsia" w:ascii="Times New Roman" w:hAnsi="Times New Roman" w:eastAsia="宋体" w:cs="Times New Roman"/>
                      <w:color w:val="000000" w:themeColor="text1"/>
                      <w:highlight w:val="none"/>
                      <w:lang w:val="en-US" w:eastAsia="zh-CN"/>
                      <w14:textFill>
                        <w14:solidFill>
                          <w14:schemeClr w14:val="tx1"/>
                        </w14:solidFill>
                      </w14:textFill>
                    </w:rPr>
                    <w:t>土建、地面硬化、货架、包装袋及环保标识等</w:t>
                  </w:r>
                </w:p>
              </w:tc>
              <w:tc>
                <w:tcPr>
                  <w:tcW w:w="954" w:type="dxa"/>
                  <w:noWrap w:val="0"/>
                  <w:vAlign w:val="center"/>
                </w:tcPr>
                <w:p w14:paraId="793B6E9E">
                  <w:pPr>
                    <w:pStyle w:val="89"/>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1</w:t>
                  </w:r>
                </w:p>
              </w:tc>
              <w:tc>
                <w:tcPr>
                  <w:tcW w:w="1095" w:type="dxa"/>
                  <w:noWrap w:val="0"/>
                  <w:vAlign w:val="center"/>
                </w:tcPr>
                <w:p w14:paraId="70AC1179">
                  <w:pPr>
                    <w:pStyle w:val="89"/>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r>
            <w:tr w14:paraId="456C6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866" w:type="dxa"/>
                  <w:vMerge w:val="continue"/>
                  <w:noWrap w:val="0"/>
                  <w:vAlign w:val="center"/>
                </w:tcPr>
                <w:p w14:paraId="5FCF6750">
                  <w:pPr>
                    <w:pStyle w:val="89"/>
                    <w:jc w:val="center"/>
                    <w:rPr>
                      <w:rFonts w:hint="default" w:ascii="Times New Roman" w:hAnsi="Times New Roman" w:eastAsia="宋体" w:cs="Times New Roman"/>
                      <w:bCs/>
                      <w:color w:val="000000" w:themeColor="text1"/>
                      <w:highlight w:val="none"/>
                      <w14:textFill>
                        <w14:solidFill>
                          <w14:schemeClr w14:val="tx1"/>
                        </w14:solidFill>
                      </w14:textFill>
                    </w:rPr>
                  </w:pPr>
                </w:p>
              </w:tc>
              <w:tc>
                <w:tcPr>
                  <w:tcW w:w="1575" w:type="dxa"/>
                  <w:noWrap w:val="0"/>
                  <w:vAlign w:val="center"/>
                </w:tcPr>
                <w:p w14:paraId="45393EE0">
                  <w:pPr>
                    <w:pStyle w:val="89"/>
                    <w:jc w:val="center"/>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危险废物</w:t>
                  </w:r>
                </w:p>
              </w:tc>
              <w:tc>
                <w:tcPr>
                  <w:tcW w:w="3630" w:type="dxa"/>
                  <w:noWrap w:val="0"/>
                  <w:vAlign w:val="center"/>
                </w:tcPr>
                <w:p w14:paraId="1FC5C8DE">
                  <w:pPr>
                    <w:pStyle w:val="89"/>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危险废物暂存间</w:t>
                  </w:r>
                  <w:r>
                    <w:rPr>
                      <w:rFonts w:hint="eastAsia" w:ascii="Times New Roman" w:hAnsi="Times New Roman" w:eastAsia="宋体" w:cs="Times New Roman"/>
                      <w:color w:val="000000" w:themeColor="text1"/>
                      <w:highlight w:val="none"/>
                      <w:lang w:eastAsia="zh-CN"/>
                      <w14:textFill>
                        <w14:solidFill>
                          <w14:schemeClr w14:val="tx1"/>
                        </w14:solidFill>
                      </w14:textFill>
                    </w:rPr>
                    <w:t>，</w:t>
                  </w:r>
                  <w:r>
                    <w:rPr>
                      <w:rFonts w:hint="eastAsia" w:ascii="Times New Roman" w:hAnsi="Times New Roman" w:eastAsia="宋体" w:cs="Times New Roman"/>
                      <w:color w:val="000000" w:themeColor="text1"/>
                      <w:highlight w:val="none"/>
                      <w:lang w:val="en-US" w:eastAsia="zh-CN"/>
                      <w14:textFill>
                        <w14:solidFill>
                          <w14:schemeClr w14:val="tx1"/>
                        </w14:solidFill>
                      </w14:textFill>
                    </w:rPr>
                    <w:t>包括</w:t>
                  </w:r>
                  <w:r>
                    <w:rPr>
                      <w:rFonts w:hint="eastAsia" w:ascii="Times New Roman" w:hAnsi="Times New Roman" w:eastAsia="宋体" w:cs="Times New Roman"/>
                      <w:color w:val="000000" w:themeColor="text1"/>
                      <w:highlight w:val="none"/>
                      <w:lang w:eastAsia="zh-CN"/>
                      <w14:textFill>
                        <w14:solidFill>
                          <w14:schemeClr w14:val="tx1"/>
                        </w14:solidFill>
                      </w14:textFill>
                    </w:rPr>
                    <w:t>建、分区隔断、防风防雨防晒、防渗层施工、各类贮存容器、分类包装器材及防泄漏辅材、电子台账系统、危险废物警告标志</w:t>
                  </w:r>
                  <w:r>
                    <w:rPr>
                      <w:rFonts w:hint="eastAsia" w:ascii="Times New Roman" w:hAnsi="Times New Roman" w:eastAsia="宋体" w:cs="Times New Roman"/>
                      <w:color w:val="000000" w:themeColor="text1"/>
                      <w:highlight w:val="none"/>
                      <w:lang w:val="en-US" w:eastAsia="zh-CN"/>
                      <w14:textFill>
                        <w14:solidFill>
                          <w14:schemeClr w14:val="tx1"/>
                        </w14:solidFill>
                      </w14:textFill>
                    </w:rPr>
                    <w:t>等</w:t>
                  </w:r>
                </w:p>
              </w:tc>
              <w:tc>
                <w:tcPr>
                  <w:tcW w:w="954" w:type="dxa"/>
                  <w:noWrap w:val="0"/>
                  <w:vAlign w:val="center"/>
                </w:tcPr>
                <w:p w14:paraId="003FE769">
                  <w:pPr>
                    <w:pStyle w:val="89"/>
                    <w:jc w:val="center"/>
                    <w:rPr>
                      <w:rFonts w:hint="eastAsia" w:ascii="Times New Roman" w:hAnsi="Times New Roman" w:eastAsia="宋体" w:cs="Times New Roman"/>
                      <w:color w:val="000000" w:themeColor="text1"/>
                      <w:highlight w:val="none"/>
                      <w:lang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1</w:t>
                  </w:r>
                </w:p>
              </w:tc>
              <w:tc>
                <w:tcPr>
                  <w:tcW w:w="1095" w:type="dxa"/>
                  <w:noWrap w:val="0"/>
                  <w:vAlign w:val="center"/>
                </w:tcPr>
                <w:p w14:paraId="18816D08">
                  <w:pPr>
                    <w:pStyle w:val="89"/>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r>
            <w:tr w14:paraId="17143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441" w:type="dxa"/>
                  <w:gridSpan w:val="2"/>
                  <w:vMerge w:val="restart"/>
                  <w:noWrap w:val="0"/>
                  <w:vAlign w:val="center"/>
                </w:tcPr>
                <w:p w14:paraId="20C9CE15">
                  <w:pPr>
                    <w:pStyle w:val="89"/>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风险防范措施</w:t>
                  </w:r>
                </w:p>
              </w:tc>
              <w:tc>
                <w:tcPr>
                  <w:tcW w:w="3630" w:type="dxa"/>
                  <w:noWrap w:val="0"/>
                  <w:vAlign w:val="center"/>
                </w:tcPr>
                <w:p w14:paraId="3BB7CA78">
                  <w:pPr>
                    <w:pStyle w:val="89"/>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消防应急器材、个人防护用具</w:t>
                  </w:r>
                </w:p>
              </w:tc>
              <w:tc>
                <w:tcPr>
                  <w:tcW w:w="954" w:type="dxa"/>
                  <w:noWrap w:val="0"/>
                  <w:vAlign w:val="center"/>
                </w:tcPr>
                <w:p w14:paraId="3C5851CB">
                  <w:pPr>
                    <w:pStyle w:val="89"/>
                    <w:jc w:val="center"/>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1</w:t>
                  </w:r>
                </w:p>
              </w:tc>
              <w:tc>
                <w:tcPr>
                  <w:tcW w:w="1095" w:type="dxa"/>
                  <w:noWrap w:val="0"/>
                  <w:vAlign w:val="center"/>
                </w:tcPr>
                <w:p w14:paraId="77304D6E">
                  <w:pPr>
                    <w:pStyle w:val="89"/>
                    <w:jc w:val="center"/>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r>
            <w:tr w14:paraId="0FDE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441" w:type="dxa"/>
                  <w:gridSpan w:val="2"/>
                  <w:vMerge w:val="continue"/>
                  <w:noWrap w:val="0"/>
                  <w:vAlign w:val="center"/>
                </w:tcPr>
                <w:p w14:paraId="7A0B6D07">
                  <w:pPr>
                    <w:pStyle w:val="89"/>
                    <w:jc w:val="center"/>
                    <w:rPr>
                      <w:rFonts w:hint="default" w:ascii="Times New Roman" w:hAnsi="Times New Roman" w:eastAsia="宋体" w:cs="Times New Roman"/>
                      <w:color w:val="000000" w:themeColor="text1"/>
                      <w:highlight w:val="none"/>
                      <w14:textFill>
                        <w14:solidFill>
                          <w14:schemeClr w14:val="tx1"/>
                        </w14:solidFill>
                      </w14:textFill>
                    </w:rPr>
                  </w:pPr>
                </w:p>
              </w:tc>
              <w:tc>
                <w:tcPr>
                  <w:tcW w:w="3630" w:type="dxa"/>
                  <w:noWrap w:val="0"/>
                  <w:vAlign w:val="center"/>
                </w:tcPr>
                <w:p w14:paraId="3A4F06CF">
                  <w:pPr>
                    <w:pStyle w:val="89"/>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事故应急池</w:t>
                  </w:r>
                </w:p>
              </w:tc>
              <w:tc>
                <w:tcPr>
                  <w:tcW w:w="954" w:type="dxa"/>
                  <w:noWrap w:val="0"/>
                  <w:vAlign w:val="center"/>
                </w:tcPr>
                <w:p w14:paraId="7799A434">
                  <w:pPr>
                    <w:pStyle w:val="89"/>
                    <w:jc w:val="center"/>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1</w:t>
                  </w:r>
                </w:p>
              </w:tc>
              <w:tc>
                <w:tcPr>
                  <w:tcW w:w="1095" w:type="dxa"/>
                  <w:noWrap w:val="0"/>
                  <w:vAlign w:val="center"/>
                </w:tcPr>
                <w:p w14:paraId="5C4C36C5">
                  <w:pPr>
                    <w:pStyle w:val="89"/>
                    <w:jc w:val="center"/>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r>
            <w:tr w14:paraId="5865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441" w:type="dxa"/>
                  <w:gridSpan w:val="2"/>
                  <w:vMerge w:val="continue"/>
                  <w:noWrap w:val="0"/>
                  <w:vAlign w:val="center"/>
                </w:tcPr>
                <w:p w14:paraId="796B7B79">
                  <w:pPr>
                    <w:pStyle w:val="89"/>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p>
              </w:tc>
              <w:tc>
                <w:tcPr>
                  <w:tcW w:w="3630" w:type="dxa"/>
                  <w:noWrap w:val="0"/>
                  <w:vAlign w:val="center"/>
                </w:tcPr>
                <w:p w14:paraId="32765C71">
                  <w:pPr>
                    <w:pStyle w:val="89"/>
                    <w:jc w:val="center"/>
                    <w:rPr>
                      <w:rFonts w:hint="default"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边沟、厂区雨水阀门及截流设施</w:t>
                  </w:r>
                </w:p>
              </w:tc>
              <w:tc>
                <w:tcPr>
                  <w:tcW w:w="954" w:type="dxa"/>
                  <w:noWrap w:val="0"/>
                  <w:vAlign w:val="center"/>
                </w:tcPr>
                <w:p w14:paraId="7208BABB">
                  <w:pPr>
                    <w:pStyle w:val="89"/>
                    <w:jc w:val="center"/>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1</w:t>
                  </w:r>
                </w:p>
              </w:tc>
              <w:tc>
                <w:tcPr>
                  <w:tcW w:w="1095" w:type="dxa"/>
                  <w:noWrap w:val="0"/>
                  <w:vAlign w:val="center"/>
                </w:tcPr>
                <w:p w14:paraId="5708C4D1">
                  <w:pPr>
                    <w:pStyle w:val="89"/>
                    <w:jc w:val="center"/>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r>
            <w:tr w14:paraId="7FF16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2441" w:type="dxa"/>
                  <w:gridSpan w:val="2"/>
                  <w:vMerge w:val="continue"/>
                  <w:noWrap w:val="0"/>
                  <w:vAlign w:val="center"/>
                </w:tcPr>
                <w:p w14:paraId="3DC0F405">
                  <w:pPr>
                    <w:pStyle w:val="89"/>
                    <w:jc w:val="center"/>
                    <w:rPr>
                      <w:rFonts w:hint="eastAsia" w:ascii="Times New Roman" w:hAnsi="Times New Roman" w:eastAsia="宋体" w:cs="Times New Roman"/>
                      <w:color w:val="000000" w:themeColor="text1"/>
                      <w:highlight w:val="none"/>
                      <w:lang w:val="en-US" w:eastAsia="zh-CN"/>
                      <w14:textFill>
                        <w14:solidFill>
                          <w14:schemeClr w14:val="tx1"/>
                        </w14:solidFill>
                      </w14:textFill>
                    </w:rPr>
                  </w:pPr>
                </w:p>
              </w:tc>
              <w:tc>
                <w:tcPr>
                  <w:tcW w:w="3630" w:type="dxa"/>
                  <w:noWrap w:val="0"/>
                  <w:vAlign w:val="center"/>
                </w:tcPr>
                <w:p w14:paraId="700D0DAE">
                  <w:pPr>
                    <w:pStyle w:val="89"/>
                    <w:jc w:val="center"/>
                    <w:rPr>
                      <w:rFonts w:hint="eastAsia"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应急组织机构监理、应急预案编制</w:t>
                  </w:r>
                </w:p>
              </w:tc>
              <w:tc>
                <w:tcPr>
                  <w:tcW w:w="954" w:type="dxa"/>
                  <w:noWrap w:val="0"/>
                  <w:vAlign w:val="center"/>
                </w:tcPr>
                <w:p w14:paraId="022B2C82">
                  <w:pPr>
                    <w:pStyle w:val="89"/>
                    <w:jc w:val="center"/>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1</w:t>
                  </w:r>
                </w:p>
              </w:tc>
              <w:tc>
                <w:tcPr>
                  <w:tcW w:w="1095" w:type="dxa"/>
                  <w:noWrap w:val="0"/>
                  <w:vAlign w:val="center"/>
                </w:tcPr>
                <w:p w14:paraId="2E58DD4A">
                  <w:pPr>
                    <w:pStyle w:val="89"/>
                    <w:jc w:val="center"/>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r>
            <w:tr w14:paraId="31AA6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7025" w:type="dxa"/>
                  <w:gridSpan w:val="4"/>
                  <w:noWrap w:val="0"/>
                  <w:vAlign w:val="center"/>
                </w:tcPr>
                <w:p w14:paraId="47AD3CAB">
                  <w:pPr>
                    <w:pStyle w:val="89"/>
                    <w:jc w:val="center"/>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合计</w:t>
                  </w:r>
                </w:p>
              </w:tc>
              <w:tc>
                <w:tcPr>
                  <w:tcW w:w="1095" w:type="dxa"/>
                  <w:noWrap w:val="0"/>
                  <w:vAlign w:val="center"/>
                </w:tcPr>
                <w:p w14:paraId="6F267CC9">
                  <w:pPr>
                    <w:pStyle w:val="89"/>
                    <w:jc w:val="center"/>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2"/>
                      <w:highlight w:val="none"/>
                      <w:lang w:val="en-US" w:eastAsia="zh-CN"/>
                      <w14:textFill>
                        <w14:solidFill>
                          <w14:schemeClr w14:val="tx1"/>
                        </w14:solidFill>
                      </w14:textFill>
                    </w:rPr>
                    <w:t>**</w:t>
                  </w:r>
                </w:p>
              </w:tc>
            </w:tr>
          </w:tbl>
          <w:p w14:paraId="332426BA">
            <w:pPr>
              <w:pStyle w:val="37"/>
              <w:rPr>
                <w:color w:val="000000" w:themeColor="text1"/>
                <w:sz w:val="24"/>
                <w:szCs w:val="21"/>
                <w:highlight w:val="none"/>
                <w14:textFill>
                  <w14:solidFill>
                    <w14:schemeClr w14:val="tx1"/>
                  </w14:solidFill>
                </w14:textFill>
              </w:rPr>
            </w:pPr>
            <w:r>
              <w:rPr>
                <w:color w:val="000000" w:themeColor="text1"/>
                <w:sz w:val="24"/>
                <w:szCs w:val="21"/>
                <w:highlight w:val="none"/>
                <w14:textFill>
                  <w14:solidFill>
                    <w14:schemeClr w14:val="tx1"/>
                  </w14:solidFill>
                </w14:textFill>
              </w:rPr>
              <w:t>4.</w:t>
            </w:r>
            <w:r>
              <w:rPr>
                <w:rFonts w:hint="eastAsia"/>
                <w:color w:val="000000" w:themeColor="text1"/>
                <w:sz w:val="24"/>
                <w:szCs w:val="21"/>
                <w:highlight w:val="none"/>
                <w:lang w:val="en-US" w:eastAsia="zh-CN"/>
                <w14:textFill>
                  <w14:solidFill>
                    <w14:schemeClr w14:val="tx1"/>
                  </w14:solidFill>
                </w14:textFill>
              </w:rPr>
              <w:t>9</w:t>
            </w:r>
            <w:r>
              <w:rPr>
                <w:color w:val="000000" w:themeColor="text1"/>
                <w:sz w:val="24"/>
                <w:szCs w:val="21"/>
                <w:highlight w:val="none"/>
                <w14:textFill>
                  <w14:solidFill>
                    <w14:schemeClr w14:val="tx1"/>
                  </w14:solidFill>
                </w14:textFill>
              </w:rPr>
              <w:t>自行监测计划</w:t>
            </w:r>
          </w:p>
          <w:p w14:paraId="043C67B7">
            <w:pPr>
              <w:pStyle w:val="66"/>
              <w:ind w:firstLine="420"/>
              <w:rPr>
                <w:color w:val="000000" w:themeColor="text1"/>
                <w:sz w:val="24"/>
                <w:szCs w:val="32"/>
                <w:highlight w:val="none"/>
                <w14:textFill>
                  <w14:solidFill>
                    <w14:schemeClr w14:val="tx1"/>
                  </w14:solidFill>
                </w14:textFill>
              </w:rPr>
            </w:pPr>
            <w:r>
              <w:rPr>
                <w:color w:val="000000" w:themeColor="text1"/>
                <w:sz w:val="24"/>
                <w:szCs w:val="32"/>
                <w:highlight w:val="none"/>
                <w14:textFill>
                  <w14:solidFill>
                    <w14:schemeClr w14:val="tx1"/>
                  </w14:solidFill>
                </w14:textFill>
              </w:rPr>
              <w:t>为切实控制本工程治理设施的有效运行和污染物达标排放，落实排放总量控制制度，本环评根据《建设项目环境保护管理条例》第八条的规定，对建设项目提出环境监测计划建议。</w:t>
            </w:r>
          </w:p>
          <w:p w14:paraId="6A634C0C">
            <w:pPr>
              <w:pStyle w:val="66"/>
              <w:ind w:firstLine="420"/>
              <w:rPr>
                <w:rFonts w:hint="eastAsia"/>
                <w:color w:val="000000" w:themeColor="text1"/>
                <w:sz w:val="24"/>
                <w:szCs w:val="32"/>
                <w:highlight w:val="none"/>
                <w:lang w:val="en-US" w:eastAsia="zh-CN"/>
                <w14:textFill>
                  <w14:solidFill>
                    <w14:schemeClr w14:val="tx1"/>
                  </w14:solidFill>
                </w14:textFill>
              </w:rPr>
            </w:pPr>
            <w:r>
              <w:rPr>
                <w:color w:val="000000" w:themeColor="text1"/>
                <w:sz w:val="24"/>
                <w:szCs w:val="32"/>
                <w:highlight w:val="none"/>
                <w14:textFill>
                  <w14:solidFill>
                    <w14:schemeClr w14:val="tx1"/>
                  </w14:solidFill>
                </w14:textFill>
              </w:rPr>
              <w:t>根据</w:t>
            </w:r>
            <w:r>
              <w:rPr>
                <w:rFonts w:hint="eastAsia"/>
                <w:color w:val="000000" w:themeColor="text1"/>
                <w:sz w:val="24"/>
                <w:szCs w:val="32"/>
                <w:highlight w:val="none"/>
                <w14:textFill>
                  <w14:solidFill>
                    <w14:schemeClr w14:val="tx1"/>
                  </w14:solidFill>
                </w14:textFill>
              </w:rPr>
              <w:t>《排污许可证申请与核发技术规范  电子工业》( HJ 1031-2019）</w:t>
            </w:r>
            <w:r>
              <w:rPr>
                <w:rFonts w:hint="eastAsia"/>
                <w:color w:val="000000" w:themeColor="text1"/>
                <w:sz w:val="24"/>
                <w:szCs w:val="32"/>
                <w:highlight w:val="none"/>
                <w:lang w:eastAsia="zh-CN"/>
                <w14:textFill>
                  <w14:solidFill>
                    <w14:schemeClr w14:val="tx1"/>
                  </w14:solidFill>
                </w14:textFill>
              </w:rPr>
              <w:t>、排污单位自行监测技术指南 电子工业（HJ 1253—2022）、</w:t>
            </w:r>
            <w:r>
              <w:rPr>
                <w:color w:val="000000" w:themeColor="text1"/>
                <w:sz w:val="24"/>
                <w:szCs w:val="32"/>
                <w:highlight w:val="none"/>
                <w14:textFill>
                  <w14:solidFill>
                    <w14:schemeClr w14:val="tx1"/>
                  </w14:solidFill>
                </w14:textFill>
              </w:rPr>
              <w:t xml:space="preserve">《排污单位自行监测技术指南 </w:t>
            </w:r>
            <w:r>
              <w:rPr>
                <w:rFonts w:hint="eastAsia"/>
                <w:color w:val="000000" w:themeColor="text1"/>
                <w:sz w:val="24"/>
                <w:szCs w:val="32"/>
                <w:highlight w:val="none"/>
                <w:lang w:val="en-US" w:eastAsia="zh-CN"/>
                <w14:textFill>
                  <w14:solidFill>
                    <w14:schemeClr w14:val="tx1"/>
                  </w14:solidFill>
                </w14:textFill>
              </w:rPr>
              <w:t>总则</w:t>
            </w:r>
            <w:r>
              <w:rPr>
                <w:color w:val="000000" w:themeColor="text1"/>
                <w:sz w:val="24"/>
                <w:szCs w:val="32"/>
                <w:highlight w:val="none"/>
                <w14:textFill>
                  <w14:solidFill>
                    <w14:schemeClr w14:val="tx1"/>
                  </w14:solidFill>
                </w14:textFill>
              </w:rPr>
              <w:t>》（HJ8</w:t>
            </w:r>
            <w:r>
              <w:rPr>
                <w:rFonts w:hint="eastAsia"/>
                <w:color w:val="000000" w:themeColor="text1"/>
                <w:sz w:val="24"/>
                <w:szCs w:val="32"/>
                <w:highlight w:val="none"/>
                <w:lang w:val="en-US" w:eastAsia="zh-CN"/>
                <w14:textFill>
                  <w14:solidFill>
                    <w14:schemeClr w14:val="tx1"/>
                  </w14:solidFill>
                </w14:textFill>
              </w:rPr>
              <w:t>19</w:t>
            </w:r>
            <w:r>
              <w:rPr>
                <w:color w:val="000000" w:themeColor="text1"/>
                <w:sz w:val="24"/>
                <w:szCs w:val="32"/>
                <w:highlight w:val="none"/>
                <w14:textFill>
                  <w14:solidFill>
                    <w14:schemeClr w14:val="tx1"/>
                  </w14:solidFill>
                </w14:textFill>
              </w:rPr>
              <w:t>-2017），</w:t>
            </w:r>
            <w:r>
              <w:rPr>
                <w:rFonts w:hint="eastAsia"/>
                <w:color w:val="000000" w:themeColor="text1"/>
                <w:sz w:val="24"/>
                <w:szCs w:val="32"/>
                <w:highlight w:val="none"/>
                <w14:textFill>
                  <w14:solidFill>
                    <w14:schemeClr w14:val="tx1"/>
                  </w14:solidFill>
                </w14:textFill>
              </w:rPr>
              <w:t>本项目实施后，</w:t>
            </w:r>
            <w:r>
              <w:rPr>
                <w:rFonts w:hint="eastAsia"/>
                <w:b w:val="0"/>
                <w:bCs/>
                <w:color w:val="000000" w:themeColor="text1"/>
                <w:sz w:val="24"/>
                <w:szCs w:val="32"/>
                <w:highlight w:val="none"/>
                <w14:textFill>
                  <w14:solidFill>
                    <w14:schemeClr w14:val="tx1"/>
                  </w14:solidFill>
                </w14:textFill>
              </w:rPr>
              <w:t>全厂运营期环境监测计划</w:t>
            </w:r>
            <w:r>
              <w:rPr>
                <w:b w:val="0"/>
                <w:bCs/>
                <w:color w:val="000000" w:themeColor="text1"/>
                <w:sz w:val="24"/>
                <w:szCs w:val="32"/>
                <w:highlight w:val="none"/>
                <w14:textFill>
                  <w14:solidFill>
                    <w14:schemeClr w14:val="tx1"/>
                  </w14:solidFill>
                </w14:textFill>
              </w:rPr>
              <w:t>见</w:t>
            </w:r>
            <w:r>
              <w:rPr>
                <w:rFonts w:hint="eastAsia"/>
                <w:b w:val="0"/>
                <w:bCs/>
                <w:color w:val="000000" w:themeColor="text1"/>
                <w:sz w:val="24"/>
                <w:szCs w:val="32"/>
                <w:highlight w:val="none"/>
                <w14:textFill>
                  <w14:solidFill>
                    <w14:schemeClr w14:val="tx1"/>
                  </w14:solidFill>
                </w14:textFill>
              </w:rPr>
              <w:t>下</w:t>
            </w:r>
            <w:r>
              <w:rPr>
                <w:b w:val="0"/>
                <w:bCs/>
                <w:color w:val="000000" w:themeColor="text1"/>
                <w:sz w:val="24"/>
                <w:szCs w:val="32"/>
                <w:highlight w:val="none"/>
                <w14:textFill>
                  <w14:solidFill>
                    <w14:schemeClr w14:val="tx1"/>
                  </w14:solidFill>
                </w14:textFill>
              </w:rPr>
              <w:t>表</w:t>
            </w:r>
            <w:r>
              <w:rPr>
                <w:rFonts w:hint="eastAsia"/>
                <w:color w:val="000000" w:themeColor="text1"/>
                <w:sz w:val="24"/>
                <w:szCs w:val="32"/>
                <w:highlight w:val="none"/>
                <w:lang w:val="en-US" w:eastAsia="zh-CN"/>
                <w14:textFill>
                  <w14:solidFill>
                    <w14:schemeClr w14:val="tx1"/>
                  </w14:solidFill>
                </w14:textFill>
              </w:rPr>
              <w:t>。</w:t>
            </w:r>
          </w:p>
          <w:p w14:paraId="7D09FAF8">
            <w:pPr>
              <w:pStyle w:val="69"/>
              <w:spacing w:line="360" w:lineRule="auto"/>
              <w:rPr>
                <w:rFonts w:hint="default"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 xml:space="preserve">表 </w:t>
            </w:r>
            <w:r>
              <w:rPr>
                <w:rFonts w:hint="eastAsia" w:eastAsia="宋体" w:cs="宋体"/>
                <w:b/>
                <w:color w:val="000000" w:themeColor="text1"/>
                <w:kern w:val="2"/>
                <w:sz w:val="24"/>
                <w:szCs w:val="24"/>
                <w:highlight w:val="none"/>
                <w:lang w:val="en-US" w:eastAsia="zh-CN" w:bidi="ar-SA"/>
                <w14:textFill>
                  <w14:solidFill>
                    <w14:schemeClr w14:val="tx1"/>
                  </w14:solidFill>
                </w14:textFill>
              </w:rPr>
              <w:t>4.9-1</w:t>
            </w:r>
            <w:r>
              <w:rPr>
                <w:rFonts w:hint="default"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 xml:space="preserve">  本项目运营期监测计划</w:t>
            </w:r>
          </w:p>
          <w:tbl>
            <w:tblPr>
              <w:tblStyle w:val="30"/>
              <w:tblW w:w="4998" w:type="pct"/>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1710"/>
              <w:gridCol w:w="2250"/>
              <w:gridCol w:w="1107"/>
              <w:gridCol w:w="1108"/>
              <w:gridCol w:w="1087"/>
            </w:tblGrid>
            <w:tr w14:paraId="54F6A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527" w:type="pct"/>
                  <w:vMerge w:val="restart"/>
                  <w:tcBorders>
                    <w:tl2br w:val="nil"/>
                    <w:tr2bl w:val="nil"/>
                  </w:tcBorders>
                  <w:vAlign w:val="center"/>
                </w:tcPr>
                <w:p w14:paraId="6CA69D76">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监测内容</w:t>
                  </w:r>
                </w:p>
              </w:tc>
              <w:tc>
                <w:tcPr>
                  <w:tcW w:w="1053" w:type="pct"/>
                  <w:vMerge w:val="restart"/>
                  <w:tcBorders>
                    <w:tl2br w:val="nil"/>
                    <w:tr2bl w:val="nil"/>
                  </w:tcBorders>
                  <w:vAlign w:val="center"/>
                </w:tcPr>
                <w:p w14:paraId="69FA0BE2">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监测位置</w:t>
                  </w:r>
                </w:p>
              </w:tc>
              <w:tc>
                <w:tcPr>
                  <w:tcW w:w="1385" w:type="pct"/>
                  <w:vMerge w:val="restart"/>
                  <w:tcBorders>
                    <w:tl2br w:val="nil"/>
                    <w:tr2bl w:val="nil"/>
                  </w:tcBorders>
                  <w:vAlign w:val="center"/>
                </w:tcPr>
                <w:p w14:paraId="66B0E2BA">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监测项目</w:t>
                  </w:r>
                </w:p>
              </w:tc>
              <w:tc>
                <w:tcPr>
                  <w:tcW w:w="1364" w:type="pct"/>
                  <w:gridSpan w:val="2"/>
                  <w:tcBorders>
                    <w:tl2br w:val="nil"/>
                    <w:tr2bl w:val="nil"/>
                  </w:tcBorders>
                  <w:vAlign w:val="center"/>
                </w:tcPr>
                <w:p w14:paraId="5BFF1EAE">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监测频率</w:t>
                  </w:r>
                </w:p>
              </w:tc>
              <w:tc>
                <w:tcPr>
                  <w:tcW w:w="669" w:type="pct"/>
                  <w:vMerge w:val="restart"/>
                  <w:tcBorders>
                    <w:tl2br w:val="nil"/>
                    <w:tr2bl w:val="nil"/>
                  </w:tcBorders>
                  <w:vAlign w:val="center"/>
                </w:tcPr>
                <w:p w14:paraId="70D1547D">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监测单位</w:t>
                  </w:r>
                </w:p>
              </w:tc>
            </w:tr>
            <w:tr w14:paraId="49647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527" w:type="pct"/>
                  <w:vMerge w:val="continue"/>
                  <w:tcBorders>
                    <w:tl2br w:val="nil"/>
                    <w:tr2bl w:val="nil"/>
                  </w:tcBorders>
                  <w:vAlign w:val="center"/>
                </w:tcPr>
                <w:p w14:paraId="5F7D1681">
                  <w:pPr>
                    <w:pStyle w:val="110"/>
                    <w:rPr>
                      <w:color w:val="000000" w:themeColor="text1"/>
                      <w:highlight w:val="none"/>
                      <w14:textFill>
                        <w14:solidFill>
                          <w14:schemeClr w14:val="tx1"/>
                        </w14:solidFill>
                      </w14:textFill>
                    </w:rPr>
                  </w:pPr>
                </w:p>
              </w:tc>
              <w:tc>
                <w:tcPr>
                  <w:tcW w:w="1053" w:type="pct"/>
                  <w:vMerge w:val="continue"/>
                  <w:tcBorders>
                    <w:tl2br w:val="nil"/>
                    <w:tr2bl w:val="nil"/>
                  </w:tcBorders>
                  <w:vAlign w:val="center"/>
                </w:tcPr>
                <w:p w14:paraId="14219BBC">
                  <w:pPr>
                    <w:pStyle w:val="110"/>
                    <w:rPr>
                      <w:color w:val="000000" w:themeColor="text1"/>
                      <w:highlight w:val="none"/>
                      <w14:textFill>
                        <w14:solidFill>
                          <w14:schemeClr w14:val="tx1"/>
                        </w14:solidFill>
                      </w14:textFill>
                    </w:rPr>
                  </w:pPr>
                </w:p>
              </w:tc>
              <w:tc>
                <w:tcPr>
                  <w:tcW w:w="1385" w:type="pct"/>
                  <w:vMerge w:val="continue"/>
                  <w:tcBorders>
                    <w:tl2br w:val="nil"/>
                    <w:tr2bl w:val="nil"/>
                  </w:tcBorders>
                  <w:vAlign w:val="center"/>
                </w:tcPr>
                <w:p w14:paraId="6ABCA1EC">
                  <w:pPr>
                    <w:pStyle w:val="110"/>
                    <w:rPr>
                      <w:color w:val="000000" w:themeColor="text1"/>
                      <w:highlight w:val="none"/>
                      <w14:textFill>
                        <w14:solidFill>
                          <w14:schemeClr w14:val="tx1"/>
                        </w14:solidFill>
                      </w14:textFill>
                    </w:rPr>
                  </w:pPr>
                </w:p>
              </w:tc>
              <w:tc>
                <w:tcPr>
                  <w:tcW w:w="681" w:type="pct"/>
                  <w:tcBorders>
                    <w:tl2br w:val="nil"/>
                    <w:tr2bl w:val="nil"/>
                  </w:tcBorders>
                  <w:vAlign w:val="center"/>
                </w:tcPr>
                <w:p w14:paraId="5E6C62BF">
                  <w:pPr>
                    <w:pStyle w:val="11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重点排污单位</w:t>
                  </w:r>
                </w:p>
              </w:tc>
              <w:tc>
                <w:tcPr>
                  <w:tcW w:w="682" w:type="pct"/>
                  <w:tcBorders>
                    <w:tl2br w:val="nil"/>
                    <w:tr2bl w:val="nil"/>
                  </w:tcBorders>
                  <w:vAlign w:val="center"/>
                </w:tcPr>
                <w:p w14:paraId="67306B45">
                  <w:pPr>
                    <w:pStyle w:val="11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非重点排污单位</w:t>
                  </w:r>
                </w:p>
              </w:tc>
              <w:tc>
                <w:tcPr>
                  <w:tcW w:w="669" w:type="pct"/>
                  <w:vMerge w:val="continue"/>
                  <w:tcBorders>
                    <w:tl2br w:val="nil"/>
                    <w:tr2bl w:val="nil"/>
                  </w:tcBorders>
                  <w:vAlign w:val="center"/>
                </w:tcPr>
                <w:p w14:paraId="577CEA82">
                  <w:pPr>
                    <w:pStyle w:val="110"/>
                    <w:rPr>
                      <w:color w:val="000000" w:themeColor="text1"/>
                      <w:highlight w:val="none"/>
                      <w14:textFill>
                        <w14:solidFill>
                          <w14:schemeClr w14:val="tx1"/>
                        </w14:solidFill>
                      </w14:textFill>
                    </w:rPr>
                  </w:pPr>
                </w:p>
              </w:tc>
            </w:tr>
            <w:tr w14:paraId="476C5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pct"/>
                  <w:vMerge w:val="restart"/>
                  <w:tcBorders>
                    <w:tl2br w:val="nil"/>
                    <w:tr2bl w:val="nil"/>
                  </w:tcBorders>
                  <w:vAlign w:val="center"/>
                </w:tcPr>
                <w:p w14:paraId="5AECC318">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废气</w:t>
                  </w:r>
                </w:p>
              </w:tc>
              <w:tc>
                <w:tcPr>
                  <w:tcW w:w="1053" w:type="pct"/>
                  <w:tcBorders>
                    <w:tl2br w:val="nil"/>
                    <w:tr2bl w:val="nil"/>
                  </w:tcBorders>
                  <w:vAlign w:val="center"/>
                </w:tcPr>
                <w:p w14:paraId="7168FC14">
                  <w:pPr>
                    <w:pStyle w:val="110"/>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粉尘废气排放口</w:t>
                  </w:r>
                </w:p>
              </w:tc>
              <w:tc>
                <w:tcPr>
                  <w:tcW w:w="1385" w:type="pct"/>
                  <w:tcBorders>
                    <w:tl2br w:val="nil"/>
                    <w:tr2bl w:val="nil"/>
                  </w:tcBorders>
                  <w:vAlign w:val="center"/>
                </w:tcPr>
                <w:p w14:paraId="45DA5E09">
                  <w:pPr>
                    <w:pStyle w:val="110"/>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颗粒物</w:t>
                  </w:r>
                </w:p>
              </w:tc>
              <w:tc>
                <w:tcPr>
                  <w:tcW w:w="681" w:type="pct"/>
                  <w:tcBorders>
                    <w:tl2br w:val="nil"/>
                    <w:tr2bl w:val="nil"/>
                  </w:tcBorders>
                  <w:vAlign w:val="center"/>
                </w:tcPr>
                <w:p w14:paraId="7BB8B977">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1次/</w:t>
                  </w:r>
                  <w:r>
                    <w:rPr>
                      <w:rFonts w:hint="eastAsia"/>
                      <w:color w:val="000000" w:themeColor="text1"/>
                      <w:highlight w:val="none"/>
                      <w:lang w:val="en-US" w:eastAsia="zh-CN"/>
                      <w14:textFill>
                        <w14:solidFill>
                          <w14:schemeClr w14:val="tx1"/>
                        </w14:solidFill>
                      </w14:textFill>
                    </w:rPr>
                    <w:t>半</w:t>
                  </w:r>
                  <w:r>
                    <w:rPr>
                      <w:color w:val="000000" w:themeColor="text1"/>
                      <w:highlight w:val="none"/>
                      <w14:textFill>
                        <w14:solidFill>
                          <w14:schemeClr w14:val="tx1"/>
                        </w14:solidFill>
                      </w14:textFill>
                    </w:rPr>
                    <w:t>年</w:t>
                  </w:r>
                </w:p>
              </w:tc>
              <w:tc>
                <w:tcPr>
                  <w:tcW w:w="682" w:type="pct"/>
                  <w:tcBorders>
                    <w:tl2br w:val="nil"/>
                    <w:tr2bl w:val="nil"/>
                  </w:tcBorders>
                  <w:vAlign w:val="center"/>
                </w:tcPr>
                <w:p w14:paraId="2CF22469">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1次/年</w:t>
                  </w:r>
                </w:p>
              </w:tc>
              <w:tc>
                <w:tcPr>
                  <w:tcW w:w="669" w:type="pct"/>
                  <w:vMerge w:val="restart"/>
                  <w:tcBorders>
                    <w:tl2br w:val="nil"/>
                    <w:tr2bl w:val="nil"/>
                  </w:tcBorders>
                  <w:vAlign w:val="center"/>
                </w:tcPr>
                <w:p w14:paraId="2C33BC50">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委托有资质单位</w:t>
                  </w:r>
                </w:p>
              </w:tc>
            </w:tr>
            <w:tr w14:paraId="4DB20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pct"/>
                  <w:vMerge w:val="continue"/>
                  <w:tcBorders>
                    <w:tl2br w:val="nil"/>
                    <w:tr2bl w:val="nil"/>
                  </w:tcBorders>
                  <w:vAlign w:val="center"/>
                </w:tcPr>
                <w:p w14:paraId="1B1C0AB8">
                  <w:pPr>
                    <w:pStyle w:val="110"/>
                    <w:rPr>
                      <w:color w:val="000000" w:themeColor="text1"/>
                      <w:highlight w:val="none"/>
                      <w14:textFill>
                        <w14:solidFill>
                          <w14:schemeClr w14:val="tx1"/>
                        </w14:solidFill>
                      </w14:textFill>
                    </w:rPr>
                  </w:pPr>
                </w:p>
              </w:tc>
              <w:tc>
                <w:tcPr>
                  <w:tcW w:w="1053" w:type="pct"/>
                  <w:tcBorders>
                    <w:tl2br w:val="nil"/>
                    <w:tr2bl w:val="nil"/>
                  </w:tcBorders>
                  <w:vAlign w:val="center"/>
                </w:tcPr>
                <w:p w14:paraId="45CF0864">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酸性废气</w:t>
                  </w:r>
                  <w:r>
                    <w:rPr>
                      <w:rFonts w:hint="eastAsia"/>
                      <w:color w:val="000000" w:themeColor="text1"/>
                      <w:highlight w:val="none"/>
                      <w:lang w:val="en-US" w:eastAsia="zh-CN"/>
                      <w14:textFill>
                        <w14:solidFill>
                          <w14:schemeClr w14:val="tx1"/>
                        </w14:solidFill>
                      </w14:textFill>
                    </w:rPr>
                    <w:t>排放口</w:t>
                  </w:r>
                </w:p>
              </w:tc>
              <w:tc>
                <w:tcPr>
                  <w:tcW w:w="1385" w:type="pct"/>
                  <w:tcBorders>
                    <w:tl2br w:val="nil"/>
                    <w:tr2bl w:val="nil"/>
                  </w:tcBorders>
                  <w:vAlign w:val="center"/>
                </w:tcPr>
                <w:p w14:paraId="2FFB159D">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氮氧化物、氟化物、硫酸雾、氯化氢</w:t>
                  </w:r>
                </w:p>
              </w:tc>
              <w:tc>
                <w:tcPr>
                  <w:tcW w:w="681" w:type="pct"/>
                  <w:tcBorders>
                    <w:tl2br w:val="nil"/>
                    <w:tr2bl w:val="nil"/>
                  </w:tcBorders>
                  <w:vAlign w:val="center"/>
                </w:tcPr>
                <w:p w14:paraId="687378DE">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1次/</w:t>
                  </w:r>
                  <w:r>
                    <w:rPr>
                      <w:rFonts w:hint="eastAsia"/>
                      <w:color w:val="000000" w:themeColor="text1"/>
                      <w:highlight w:val="none"/>
                      <w:lang w:val="en-US" w:eastAsia="zh-CN"/>
                      <w14:textFill>
                        <w14:solidFill>
                          <w14:schemeClr w14:val="tx1"/>
                        </w14:solidFill>
                      </w14:textFill>
                    </w:rPr>
                    <w:t>半</w:t>
                  </w:r>
                  <w:r>
                    <w:rPr>
                      <w:color w:val="000000" w:themeColor="text1"/>
                      <w:highlight w:val="none"/>
                      <w14:textFill>
                        <w14:solidFill>
                          <w14:schemeClr w14:val="tx1"/>
                        </w14:solidFill>
                      </w14:textFill>
                    </w:rPr>
                    <w:t>年</w:t>
                  </w:r>
                </w:p>
              </w:tc>
              <w:tc>
                <w:tcPr>
                  <w:tcW w:w="682" w:type="pct"/>
                  <w:tcBorders>
                    <w:tl2br w:val="nil"/>
                    <w:tr2bl w:val="nil"/>
                  </w:tcBorders>
                  <w:vAlign w:val="center"/>
                </w:tcPr>
                <w:p w14:paraId="52DC72A0">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1次/年</w:t>
                  </w:r>
                </w:p>
              </w:tc>
              <w:tc>
                <w:tcPr>
                  <w:tcW w:w="669" w:type="pct"/>
                  <w:vMerge w:val="continue"/>
                  <w:tcBorders>
                    <w:tl2br w:val="nil"/>
                    <w:tr2bl w:val="nil"/>
                  </w:tcBorders>
                  <w:vAlign w:val="center"/>
                </w:tcPr>
                <w:p w14:paraId="12FF0D4C">
                  <w:pPr>
                    <w:pStyle w:val="110"/>
                    <w:rPr>
                      <w:color w:val="000000" w:themeColor="text1"/>
                      <w:highlight w:val="none"/>
                      <w14:textFill>
                        <w14:solidFill>
                          <w14:schemeClr w14:val="tx1"/>
                        </w14:solidFill>
                      </w14:textFill>
                    </w:rPr>
                  </w:pPr>
                </w:p>
              </w:tc>
            </w:tr>
            <w:tr w14:paraId="106B8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pct"/>
                  <w:vMerge w:val="continue"/>
                  <w:tcBorders>
                    <w:tl2br w:val="nil"/>
                    <w:tr2bl w:val="nil"/>
                  </w:tcBorders>
                  <w:vAlign w:val="center"/>
                </w:tcPr>
                <w:p w14:paraId="648267F7">
                  <w:pPr>
                    <w:pStyle w:val="110"/>
                    <w:rPr>
                      <w:color w:val="000000" w:themeColor="text1"/>
                      <w:highlight w:val="none"/>
                      <w14:textFill>
                        <w14:solidFill>
                          <w14:schemeClr w14:val="tx1"/>
                        </w14:solidFill>
                      </w14:textFill>
                    </w:rPr>
                  </w:pPr>
                </w:p>
              </w:tc>
              <w:tc>
                <w:tcPr>
                  <w:tcW w:w="1053" w:type="pct"/>
                  <w:tcBorders>
                    <w:tl2br w:val="nil"/>
                    <w:tr2bl w:val="nil"/>
                  </w:tcBorders>
                  <w:vAlign w:val="center"/>
                </w:tcPr>
                <w:p w14:paraId="5E5F877D">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有机废气</w:t>
                  </w:r>
                  <w:r>
                    <w:rPr>
                      <w:rFonts w:hint="eastAsia"/>
                      <w:color w:val="000000" w:themeColor="text1"/>
                      <w:highlight w:val="none"/>
                      <w:lang w:val="en-US" w:eastAsia="zh-CN"/>
                      <w14:textFill>
                        <w14:solidFill>
                          <w14:schemeClr w14:val="tx1"/>
                        </w14:solidFill>
                      </w14:textFill>
                    </w:rPr>
                    <w:t>排放口</w:t>
                  </w:r>
                </w:p>
              </w:tc>
              <w:tc>
                <w:tcPr>
                  <w:tcW w:w="1385" w:type="pct"/>
                  <w:tcBorders>
                    <w:tl2br w:val="nil"/>
                    <w:tr2bl w:val="nil"/>
                  </w:tcBorders>
                  <w:vAlign w:val="center"/>
                </w:tcPr>
                <w:p w14:paraId="60FF0448">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非甲烷总烃</w:t>
                  </w:r>
                </w:p>
              </w:tc>
              <w:tc>
                <w:tcPr>
                  <w:tcW w:w="681" w:type="pct"/>
                  <w:tcBorders>
                    <w:tl2br w:val="nil"/>
                    <w:tr2bl w:val="nil"/>
                  </w:tcBorders>
                  <w:vAlign w:val="center"/>
                </w:tcPr>
                <w:p w14:paraId="2CAB255D">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1次/</w:t>
                  </w:r>
                  <w:r>
                    <w:rPr>
                      <w:rFonts w:hint="eastAsia"/>
                      <w:color w:val="000000" w:themeColor="text1"/>
                      <w:highlight w:val="none"/>
                      <w:lang w:val="en-US" w:eastAsia="zh-CN"/>
                      <w14:textFill>
                        <w14:solidFill>
                          <w14:schemeClr w14:val="tx1"/>
                        </w14:solidFill>
                      </w14:textFill>
                    </w:rPr>
                    <w:t>半</w:t>
                  </w:r>
                  <w:r>
                    <w:rPr>
                      <w:color w:val="000000" w:themeColor="text1"/>
                      <w:highlight w:val="none"/>
                      <w14:textFill>
                        <w14:solidFill>
                          <w14:schemeClr w14:val="tx1"/>
                        </w14:solidFill>
                      </w14:textFill>
                    </w:rPr>
                    <w:t>年</w:t>
                  </w:r>
                </w:p>
              </w:tc>
              <w:tc>
                <w:tcPr>
                  <w:tcW w:w="682" w:type="pct"/>
                  <w:tcBorders>
                    <w:tl2br w:val="nil"/>
                    <w:tr2bl w:val="nil"/>
                  </w:tcBorders>
                  <w:vAlign w:val="center"/>
                </w:tcPr>
                <w:p w14:paraId="1FBDFB85">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1次/年</w:t>
                  </w:r>
                </w:p>
              </w:tc>
              <w:tc>
                <w:tcPr>
                  <w:tcW w:w="669" w:type="pct"/>
                  <w:vMerge w:val="continue"/>
                  <w:tcBorders>
                    <w:tl2br w:val="nil"/>
                    <w:tr2bl w:val="nil"/>
                  </w:tcBorders>
                  <w:vAlign w:val="center"/>
                </w:tcPr>
                <w:p w14:paraId="24C60E12">
                  <w:pPr>
                    <w:pStyle w:val="110"/>
                    <w:rPr>
                      <w:color w:val="000000" w:themeColor="text1"/>
                      <w:highlight w:val="none"/>
                      <w14:textFill>
                        <w14:solidFill>
                          <w14:schemeClr w14:val="tx1"/>
                        </w14:solidFill>
                      </w14:textFill>
                    </w:rPr>
                  </w:pPr>
                </w:p>
              </w:tc>
            </w:tr>
            <w:tr w14:paraId="606F6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pct"/>
                  <w:vMerge w:val="continue"/>
                  <w:tcBorders>
                    <w:tl2br w:val="nil"/>
                    <w:tr2bl w:val="nil"/>
                  </w:tcBorders>
                  <w:vAlign w:val="center"/>
                </w:tcPr>
                <w:p w14:paraId="43E3B644">
                  <w:pPr>
                    <w:pStyle w:val="110"/>
                    <w:rPr>
                      <w:color w:val="000000" w:themeColor="text1"/>
                      <w:highlight w:val="none"/>
                      <w14:textFill>
                        <w14:solidFill>
                          <w14:schemeClr w14:val="tx1"/>
                        </w14:solidFill>
                      </w14:textFill>
                    </w:rPr>
                  </w:pPr>
                </w:p>
              </w:tc>
              <w:tc>
                <w:tcPr>
                  <w:tcW w:w="1053" w:type="pct"/>
                  <w:tcBorders>
                    <w:tl2br w:val="nil"/>
                    <w:tr2bl w:val="nil"/>
                  </w:tcBorders>
                  <w:vAlign w:val="center"/>
                </w:tcPr>
                <w:p w14:paraId="01A87A89">
                  <w:pPr>
                    <w:pStyle w:val="110"/>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碱性</w:t>
                  </w:r>
                  <w:r>
                    <w:rPr>
                      <w:color w:val="000000" w:themeColor="text1"/>
                      <w:highlight w:val="none"/>
                      <w14:textFill>
                        <w14:solidFill>
                          <w14:schemeClr w14:val="tx1"/>
                        </w14:solidFill>
                      </w14:textFill>
                    </w:rPr>
                    <w:t>废气</w:t>
                  </w:r>
                  <w:r>
                    <w:rPr>
                      <w:rFonts w:hint="eastAsia"/>
                      <w:color w:val="000000" w:themeColor="text1"/>
                      <w:highlight w:val="none"/>
                      <w:lang w:val="en-US" w:eastAsia="zh-CN"/>
                      <w14:textFill>
                        <w14:solidFill>
                          <w14:schemeClr w14:val="tx1"/>
                        </w14:solidFill>
                      </w14:textFill>
                    </w:rPr>
                    <w:t>排放口</w:t>
                  </w:r>
                </w:p>
              </w:tc>
              <w:tc>
                <w:tcPr>
                  <w:tcW w:w="1385" w:type="pct"/>
                  <w:tcBorders>
                    <w:tl2br w:val="nil"/>
                    <w:tr2bl w:val="nil"/>
                  </w:tcBorders>
                  <w:vAlign w:val="center"/>
                </w:tcPr>
                <w:p w14:paraId="7B91FA6B">
                  <w:pPr>
                    <w:pStyle w:val="11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TMAH</w:t>
                  </w:r>
                </w:p>
              </w:tc>
              <w:tc>
                <w:tcPr>
                  <w:tcW w:w="681" w:type="pct"/>
                  <w:tcBorders>
                    <w:tl2br w:val="nil"/>
                    <w:tr2bl w:val="nil"/>
                  </w:tcBorders>
                  <w:vAlign w:val="center"/>
                </w:tcPr>
                <w:p w14:paraId="18EF059F">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1次/</w:t>
                  </w:r>
                  <w:r>
                    <w:rPr>
                      <w:rFonts w:hint="eastAsia"/>
                      <w:color w:val="000000" w:themeColor="text1"/>
                      <w:highlight w:val="none"/>
                      <w:lang w:val="en-US" w:eastAsia="zh-CN"/>
                      <w14:textFill>
                        <w14:solidFill>
                          <w14:schemeClr w14:val="tx1"/>
                        </w14:solidFill>
                      </w14:textFill>
                    </w:rPr>
                    <w:t>半</w:t>
                  </w:r>
                  <w:r>
                    <w:rPr>
                      <w:color w:val="000000" w:themeColor="text1"/>
                      <w:highlight w:val="none"/>
                      <w14:textFill>
                        <w14:solidFill>
                          <w14:schemeClr w14:val="tx1"/>
                        </w14:solidFill>
                      </w14:textFill>
                    </w:rPr>
                    <w:t>年</w:t>
                  </w:r>
                </w:p>
              </w:tc>
              <w:tc>
                <w:tcPr>
                  <w:tcW w:w="682" w:type="pct"/>
                  <w:tcBorders>
                    <w:tl2br w:val="nil"/>
                    <w:tr2bl w:val="nil"/>
                  </w:tcBorders>
                  <w:vAlign w:val="center"/>
                </w:tcPr>
                <w:p w14:paraId="22F98354">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1次/年</w:t>
                  </w:r>
                </w:p>
              </w:tc>
              <w:tc>
                <w:tcPr>
                  <w:tcW w:w="669" w:type="pct"/>
                  <w:vMerge w:val="continue"/>
                  <w:tcBorders>
                    <w:tl2br w:val="nil"/>
                    <w:tr2bl w:val="nil"/>
                  </w:tcBorders>
                  <w:vAlign w:val="center"/>
                </w:tcPr>
                <w:p w14:paraId="1EC5EB26">
                  <w:pPr>
                    <w:pStyle w:val="110"/>
                    <w:rPr>
                      <w:color w:val="000000" w:themeColor="text1"/>
                      <w:highlight w:val="none"/>
                      <w14:textFill>
                        <w14:solidFill>
                          <w14:schemeClr w14:val="tx1"/>
                        </w14:solidFill>
                      </w14:textFill>
                    </w:rPr>
                  </w:pPr>
                </w:p>
              </w:tc>
            </w:tr>
            <w:tr w14:paraId="75A84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pct"/>
                  <w:vMerge w:val="continue"/>
                  <w:tcBorders>
                    <w:tl2br w:val="nil"/>
                    <w:tr2bl w:val="nil"/>
                  </w:tcBorders>
                  <w:vAlign w:val="center"/>
                </w:tcPr>
                <w:p w14:paraId="7D17F25E">
                  <w:pPr>
                    <w:pStyle w:val="110"/>
                    <w:rPr>
                      <w:color w:val="000000" w:themeColor="text1"/>
                      <w:highlight w:val="none"/>
                      <w14:textFill>
                        <w14:solidFill>
                          <w14:schemeClr w14:val="tx1"/>
                        </w14:solidFill>
                      </w14:textFill>
                    </w:rPr>
                  </w:pPr>
                </w:p>
              </w:tc>
              <w:tc>
                <w:tcPr>
                  <w:tcW w:w="1053" w:type="pct"/>
                  <w:tcBorders>
                    <w:tl2br w:val="nil"/>
                    <w:tr2bl w:val="nil"/>
                  </w:tcBorders>
                  <w:vAlign w:val="center"/>
                </w:tcPr>
                <w:p w14:paraId="40237336">
                  <w:pPr>
                    <w:pStyle w:val="11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厂界</w:t>
                  </w:r>
                </w:p>
              </w:tc>
              <w:tc>
                <w:tcPr>
                  <w:tcW w:w="1385" w:type="pct"/>
                  <w:tcBorders>
                    <w:tl2br w:val="nil"/>
                    <w:tr2bl w:val="nil"/>
                  </w:tcBorders>
                  <w:vAlign w:val="center"/>
                </w:tcPr>
                <w:p w14:paraId="50703749">
                  <w:pPr>
                    <w:pStyle w:val="11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颗粒物、</w:t>
                  </w:r>
                  <w:r>
                    <w:rPr>
                      <w:color w:val="000000" w:themeColor="text1"/>
                      <w:highlight w:val="none"/>
                      <w14:textFill>
                        <w14:solidFill>
                          <w14:schemeClr w14:val="tx1"/>
                        </w14:solidFill>
                      </w14:textFill>
                    </w:rPr>
                    <w:t>氮氧化物、氟化物、硫酸雾、氯化氢</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非甲烷总烃</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氨</w:t>
                  </w:r>
                  <w:r>
                    <w:rPr>
                      <w:rFonts w:hint="eastAsia"/>
                      <w:color w:val="000000" w:themeColor="text1"/>
                      <w:highlight w:val="none"/>
                      <w:lang w:eastAsia="zh-CN"/>
                      <w14:textFill>
                        <w14:solidFill>
                          <w14:schemeClr w14:val="tx1"/>
                        </w14:solidFill>
                      </w14:textFill>
                    </w:rPr>
                    <w:t>、</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硫化氢、臭气浓度</w:t>
                  </w:r>
                </w:p>
              </w:tc>
              <w:tc>
                <w:tcPr>
                  <w:tcW w:w="681" w:type="pct"/>
                  <w:tcBorders>
                    <w:tl2br w:val="nil"/>
                    <w:tr2bl w:val="nil"/>
                  </w:tcBorders>
                  <w:vAlign w:val="center"/>
                </w:tcPr>
                <w:p w14:paraId="0C299FC6">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1次/</w:t>
                  </w:r>
                  <w:r>
                    <w:rPr>
                      <w:rFonts w:hint="eastAsia"/>
                      <w:color w:val="000000" w:themeColor="text1"/>
                      <w:highlight w:val="none"/>
                      <w:lang w:val="en-US" w:eastAsia="zh-CN"/>
                      <w14:textFill>
                        <w14:solidFill>
                          <w14:schemeClr w14:val="tx1"/>
                        </w14:solidFill>
                      </w14:textFill>
                    </w:rPr>
                    <w:t>半</w:t>
                  </w:r>
                  <w:r>
                    <w:rPr>
                      <w:color w:val="000000" w:themeColor="text1"/>
                      <w:highlight w:val="none"/>
                      <w14:textFill>
                        <w14:solidFill>
                          <w14:schemeClr w14:val="tx1"/>
                        </w14:solidFill>
                      </w14:textFill>
                    </w:rPr>
                    <w:t>年</w:t>
                  </w:r>
                </w:p>
              </w:tc>
              <w:tc>
                <w:tcPr>
                  <w:tcW w:w="682" w:type="pct"/>
                  <w:tcBorders>
                    <w:tl2br w:val="nil"/>
                    <w:tr2bl w:val="nil"/>
                  </w:tcBorders>
                  <w:vAlign w:val="center"/>
                </w:tcPr>
                <w:p w14:paraId="5E1B43EA">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1次/年</w:t>
                  </w:r>
                </w:p>
              </w:tc>
              <w:tc>
                <w:tcPr>
                  <w:tcW w:w="669" w:type="pct"/>
                  <w:vMerge w:val="continue"/>
                  <w:tcBorders>
                    <w:tl2br w:val="nil"/>
                    <w:tr2bl w:val="nil"/>
                  </w:tcBorders>
                  <w:vAlign w:val="center"/>
                </w:tcPr>
                <w:p w14:paraId="43799A67">
                  <w:pPr>
                    <w:pStyle w:val="110"/>
                    <w:rPr>
                      <w:color w:val="000000" w:themeColor="text1"/>
                      <w:highlight w:val="none"/>
                      <w14:textFill>
                        <w14:solidFill>
                          <w14:schemeClr w14:val="tx1"/>
                        </w14:solidFill>
                      </w14:textFill>
                    </w:rPr>
                  </w:pPr>
                </w:p>
              </w:tc>
            </w:tr>
            <w:tr w14:paraId="7BBA7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527" w:type="pct"/>
                  <w:vMerge w:val="restart"/>
                  <w:tcBorders>
                    <w:tl2br w:val="nil"/>
                    <w:tr2bl w:val="nil"/>
                  </w:tcBorders>
                  <w:vAlign w:val="center"/>
                </w:tcPr>
                <w:p w14:paraId="02DDBA88">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废水</w:t>
                  </w:r>
                </w:p>
              </w:tc>
              <w:tc>
                <w:tcPr>
                  <w:tcW w:w="1053" w:type="pct"/>
                  <w:vMerge w:val="restart"/>
                  <w:tcBorders>
                    <w:tl2br w:val="nil"/>
                    <w:tr2bl w:val="nil"/>
                  </w:tcBorders>
                  <w:vAlign w:val="center"/>
                </w:tcPr>
                <w:p w14:paraId="49216100">
                  <w:pPr>
                    <w:pStyle w:val="110"/>
                    <w:rPr>
                      <w:rFonts w:hint="eastAsia" w:eastAsia="宋体"/>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生产废水</w:t>
                  </w:r>
                  <w:r>
                    <w:rPr>
                      <w:rFonts w:hint="eastAsia"/>
                      <w:color w:val="000000" w:themeColor="text1"/>
                      <w:highlight w:val="none"/>
                      <w:lang w:val="en-US" w:eastAsia="zh-CN"/>
                      <w14:textFill>
                        <w14:solidFill>
                          <w14:schemeClr w14:val="tx1"/>
                        </w14:solidFill>
                      </w14:textFill>
                    </w:rPr>
                    <w:t>排放口</w:t>
                  </w:r>
                </w:p>
              </w:tc>
              <w:tc>
                <w:tcPr>
                  <w:tcW w:w="1385" w:type="pct"/>
                  <w:tcBorders>
                    <w:tl2br w:val="nil"/>
                    <w:tr2bl w:val="nil"/>
                  </w:tcBorders>
                  <w:vAlign w:val="center"/>
                </w:tcPr>
                <w:p w14:paraId="7C3ACBB0">
                  <w:pPr>
                    <w:pStyle w:val="110"/>
                    <w:rPr>
                      <w:rFonts w:hint="eastAsia" w:eastAsia="宋体"/>
                      <w:color w:val="000000" w:themeColor="text1"/>
                      <w:highlight w:val="none"/>
                      <w:lang w:val="en-US" w:eastAsia="zh-CN"/>
                      <w14:textFill>
                        <w14:solidFill>
                          <w14:schemeClr w14:val="tx1"/>
                        </w14:solidFill>
                      </w14:textFill>
                    </w:rPr>
                  </w:pPr>
                  <w:r>
                    <w:rPr>
                      <w:color w:val="000000" w:themeColor="text1"/>
                      <w:highlight w:val="none"/>
                      <w14:textFill>
                        <w14:solidFill>
                          <w14:schemeClr w14:val="tx1"/>
                        </w14:solidFill>
                      </w14:textFill>
                    </w:rPr>
                    <w:t>流量、</w:t>
                  </w:r>
                  <w:r>
                    <w:rPr>
                      <w:rFonts w:hint="eastAsia"/>
                      <w:color w:val="000000" w:themeColor="text1"/>
                      <w:highlight w:val="none"/>
                      <w:lang w:val="en-US" w:eastAsia="zh-CN"/>
                      <w14:textFill>
                        <w14:solidFill>
                          <w14:schemeClr w14:val="tx1"/>
                        </w14:solidFill>
                      </w14:textFill>
                    </w:rPr>
                    <w:t>pH</w:t>
                  </w:r>
                  <w:r>
                    <w:rPr>
                      <w:color w:val="000000" w:themeColor="text1"/>
                      <w:highlight w:val="none"/>
                      <w14:textFill>
                        <w14:solidFill>
                          <w14:schemeClr w14:val="tx1"/>
                        </w14:solidFill>
                      </w14:textFill>
                    </w:rPr>
                    <w:t>、COD、NH</w:t>
                  </w:r>
                  <w:r>
                    <w:rPr>
                      <w:color w:val="000000" w:themeColor="text1"/>
                      <w:highlight w:val="none"/>
                      <w:vertAlign w:val="subscript"/>
                      <w14:textFill>
                        <w14:solidFill>
                          <w14:schemeClr w14:val="tx1"/>
                        </w14:solidFill>
                      </w14:textFill>
                    </w:rPr>
                    <w:t>3</w:t>
                  </w:r>
                  <w:r>
                    <w:rPr>
                      <w:color w:val="000000" w:themeColor="text1"/>
                      <w:highlight w:val="none"/>
                      <w14:textFill>
                        <w14:solidFill>
                          <w14:schemeClr w14:val="tx1"/>
                        </w14:solidFill>
                      </w14:textFill>
                    </w:rPr>
                    <w:t>-N</w:t>
                  </w:r>
                </w:p>
              </w:tc>
              <w:tc>
                <w:tcPr>
                  <w:tcW w:w="681" w:type="pct"/>
                  <w:tcBorders>
                    <w:tl2br w:val="nil"/>
                    <w:tr2bl w:val="nil"/>
                  </w:tcBorders>
                  <w:vAlign w:val="center"/>
                </w:tcPr>
                <w:p w14:paraId="4291E6F7">
                  <w:pPr>
                    <w:jc w:val="cente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自动监测</w:t>
                  </w:r>
                </w:p>
              </w:tc>
              <w:tc>
                <w:tcPr>
                  <w:tcW w:w="682" w:type="pct"/>
                  <w:tcBorders>
                    <w:tl2br w:val="nil"/>
                    <w:tr2bl w:val="nil"/>
                  </w:tcBorders>
                  <w:vAlign w:val="center"/>
                </w:tcPr>
                <w:p w14:paraId="27DBC546">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1次/年</w:t>
                  </w:r>
                </w:p>
              </w:tc>
              <w:tc>
                <w:tcPr>
                  <w:tcW w:w="669" w:type="pct"/>
                  <w:vMerge w:val="continue"/>
                  <w:tcBorders>
                    <w:tl2br w:val="nil"/>
                    <w:tr2bl w:val="nil"/>
                  </w:tcBorders>
                  <w:vAlign w:val="center"/>
                </w:tcPr>
                <w:p w14:paraId="001A7B22">
                  <w:pPr>
                    <w:pStyle w:val="110"/>
                    <w:rPr>
                      <w:color w:val="000000" w:themeColor="text1"/>
                      <w:highlight w:val="none"/>
                      <w14:textFill>
                        <w14:solidFill>
                          <w14:schemeClr w14:val="tx1"/>
                        </w14:solidFill>
                      </w14:textFill>
                    </w:rPr>
                  </w:pPr>
                </w:p>
              </w:tc>
            </w:tr>
            <w:tr w14:paraId="79FEA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527" w:type="pct"/>
                  <w:vMerge w:val="continue"/>
                  <w:tcBorders>
                    <w:tl2br w:val="nil"/>
                    <w:tr2bl w:val="nil"/>
                  </w:tcBorders>
                  <w:vAlign w:val="center"/>
                </w:tcPr>
                <w:p w14:paraId="189CB224">
                  <w:pPr>
                    <w:pStyle w:val="110"/>
                    <w:rPr>
                      <w:color w:val="000000" w:themeColor="text1"/>
                      <w:highlight w:val="none"/>
                      <w14:textFill>
                        <w14:solidFill>
                          <w14:schemeClr w14:val="tx1"/>
                        </w14:solidFill>
                      </w14:textFill>
                    </w:rPr>
                  </w:pPr>
                </w:p>
              </w:tc>
              <w:tc>
                <w:tcPr>
                  <w:tcW w:w="1053" w:type="pct"/>
                  <w:vMerge w:val="continue"/>
                  <w:tcBorders>
                    <w:tl2br w:val="nil"/>
                    <w:tr2bl w:val="nil"/>
                  </w:tcBorders>
                  <w:vAlign w:val="center"/>
                </w:tcPr>
                <w:p w14:paraId="28973A24">
                  <w:pPr>
                    <w:pStyle w:val="110"/>
                    <w:rPr>
                      <w:color w:val="000000" w:themeColor="text1"/>
                      <w:highlight w:val="none"/>
                      <w14:textFill>
                        <w14:solidFill>
                          <w14:schemeClr w14:val="tx1"/>
                        </w14:solidFill>
                      </w14:textFill>
                    </w:rPr>
                  </w:pPr>
                </w:p>
              </w:tc>
              <w:tc>
                <w:tcPr>
                  <w:tcW w:w="1385" w:type="pct"/>
                  <w:tcBorders>
                    <w:tl2br w:val="nil"/>
                    <w:tr2bl w:val="nil"/>
                  </w:tcBorders>
                  <w:vAlign w:val="center"/>
                </w:tcPr>
                <w:p w14:paraId="442ED1D5">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悬浮物、石油类、总氮、总磷、</w:t>
                  </w:r>
                  <w:r>
                    <w:rPr>
                      <w:rFonts w:hint="eastAsia"/>
                      <w:color w:val="000000" w:themeColor="text1"/>
                      <w:highlight w:val="none"/>
                      <w14:textFill>
                        <w14:solidFill>
                          <w14:schemeClr w14:val="tx1"/>
                        </w14:solidFill>
                      </w14:textFill>
                    </w:rPr>
                    <w:t>阴离子表面活性剂、</w:t>
                  </w:r>
                  <w:r>
                    <w:rPr>
                      <w:color w:val="000000" w:themeColor="text1"/>
                      <w:highlight w:val="none"/>
                      <w14:textFill>
                        <w14:solidFill>
                          <w14:schemeClr w14:val="tx1"/>
                        </w14:solidFill>
                      </w14:textFill>
                    </w:rPr>
                    <w:t>氟化物</w:t>
                  </w:r>
                </w:p>
              </w:tc>
              <w:tc>
                <w:tcPr>
                  <w:tcW w:w="1107" w:type="dxa"/>
                  <w:tcBorders>
                    <w:tl2br w:val="nil"/>
                    <w:tr2bl w:val="nil"/>
                  </w:tcBorders>
                  <w:vAlign w:val="center"/>
                </w:tcPr>
                <w:p w14:paraId="02637AE9">
                  <w:pPr>
                    <w:jc w:val="center"/>
                    <w:rPr>
                      <w:rFonts w:hint="eastAsia" w:eastAsia="宋体"/>
                      <w:color w:val="000000" w:themeColor="text1"/>
                      <w:highlight w:val="none"/>
                      <w:lang w:val="en-US" w:eastAsia="zh-CN"/>
                      <w14:textFill>
                        <w14:solidFill>
                          <w14:schemeClr w14:val="tx1"/>
                        </w14:solidFill>
                      </w14:textFill>
                    </w:rPr>
                  </w:pPr>
                  <w:r>
                    <w:rPr>
                      <w:color w:val="000000" w:themeColor="text1"/>
                      <w:highlight w:val="none"/>
                      <w14:textFill>
                        <w14:solidFill>
                          <w14:schemeClr w14:val="tx1"/>
                        </w14:solidFill>
                      </w14:textFill>
                    </w:rPr>
                    <w:t>1次/</w:t>
                  </w:r>
                  <w:r>
                    <w:rPr>
                      <w:rFonts w:hint="eastAsia"/>
                      <w:color w:val="000000" w:themeColor="text1"/>
                      <w:highlight w:val="none"/>
                      <w:lang w:val="en-US" w:eastAsia="zh-CN"/>
                      <w14:textFill>
                        <w14:solidFill>
                          <w14:schemeClr w14:val="tx1"/>
                        </w14:solidFill>
                      </w14:textFill>
                    </w:rPr>
                    <w:t>月</w:t>
                  </w:r>
                </w:p>
              </w:tc>
              <w:tc>
                <w:tcPr>
                  <w:tcW w:w="1108" w:type="dxa"/>
                  <w:tcBorders>
                    <w:tl2br w:val="nil"/>
                    <w:tr2bl w:val="nil"/>
                  </w:tcBorders>
                  <w:vAlign w:val="center"/>
                </w:tcPr>
                <w:p w14:paraId="5D2A9A75">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1次/年</w:t>
                  </w:r>
                </w:p>
              </w:tc>
              <w:tc>
                <w:tcPr>
                  <w:tcW w:w="669" w:type="pct"/>
                  <w:vMerge w:val="continue"/>
                  <w:tcBorders>
                    <w:tl2br w:val="nil"/>
                    <w:tr2bl w:val="nil"/>
                  </w:tcBorders>
                  <w:vAlign w:val="center"/>
                </w:tcPr>
                <w:p w14:paraId="2F6C37A4">
                  <w:pPr>
                    <w:pStyle w:val="110"/>
                    <w:rPr>
                      <w:color w:val="000000" w:themeColor="text1"/>
                      <w:highlight w:val="none"/>
                      <w14:textFill>
                        <w14:solidFill>
                          <w14:schemeClr w14:val="tx1"/>
                        </w14:solidFill>
                      </w14:textFill>
                    </w:rPr>
                  </w:pPr>
                </w:p>
              </w:tc>
            </w:tr>
            <w:tr w14:paraId="13861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pct"/>
                  <w:tcBorders>
                    <w:tl2br w:val="nil"/>
                    <w:tr2bl w:val="nil"/>
                  </w:tcBorders>
                  <w:vAlign w:val="center"/>
                </w:tcPr>
                <w:p w14:paraId="51B43100">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噪声</w:t>
                  </w:r>
                </w:p>
              </w:tc>
              <w:tc>
                <w:tcPr>
                  <w:tcW w:w="1053" w:type="pct"/>
                  <w:tcBorders>
                    <w:tl2br w:val="nil"/>
                    <w:tr2bl w:val="nil"/>
                  </w:tcBorders>
                  <w:vAlign w:val="center"/>
                </w:tcPr>
                <w:p w14:paraId="7DA0E2A7">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东、西、南、北厂界外1m</w:t>
                  </w:r>
                </w:p>
              </w:tc>
              <w:tc>
                <w:tcPr>
                  <w:tcW w:w="1385" w:type="pct"/>
                  <w:tcBorders>
                    <w:tl2br w:val="nil"/>
                    <w:tr2bl w:val="nil"/>
                  </w:tcBorders>
                  <w:vAlign w:val="center"/>
                </w:tcPr>
                <w:p w14:paraId="5C2B81C3">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等效连续A声级</w:t>
                  </w:r>
                </w:p>
              </w:tc>
              <w:tc>
                <w:tcPr>
                  <w:tcW w:w="681" w:type="pct"/>
                  <w:tcBorders>
                    <w:tl2br w:val="nil"/>
                    <w:tr2bl w:val="nil"/>
                  </w:tcBorders>
                  <w:vAlign w:val="center"/>
                </w:tcPr>
                <w:p w14:paraId="4A5D7BE5">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1次/季</w:t>
                  </w:r>
                </w:p>
              </w:tc>
              <w:tc>
                <w:tcPr>
                  <w:tcW w:w="682" w:type="pct"/>
                  <w:tcBorders>
                    <w:tl2br w:val="nil"/>
                    <w:tr2bl w:val="nil"/>
                  </w:tcBorders>
                  <w:vAlign w:val="center"/>
                </w:tcPr>
                <w:p w14:paraId="23622AE5">
                  <w:pPr>
                    <w:pStyle w:val="11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1次/季</w:t>
                  </w:r>
                </w:p>
              </w:tc>
              <w:tc>
                <w:tcPr>
                  <w:tcW w:w="669" w:type="pct"/>
                  <w:vMerge w:val="continue"/>
                  <w:tcBorders>
                    <w:tl2br w:val="nil"/>
                    <w:tr2bl w:val="nil"/>
                  </w:tcBorders>
                  <w:vAlign w:val="center"/>
                </w:tcPr>
                <w:p w14:paraId="630B2A43">
                  <w:pPr>
                    <w:pStyle w:val="110"/>
                    <w:rPr>
                      <w:color w:val="000000" w:themeColor="text1"/>
                      <w:highlight w:val="none"/>
                      <w14:textFill>
                        <w14:solidFill>
                          <w14:schemeClr w14:val="tx1"/>
                        </w14:solidFill>
                      </w14:textFill>
                    </w:rPr>
                  </w:pPr>
                </w:p>
              </w:tc>
            </w:tr>
          </w:tbl>
          <w:p w14:paraId="0D871D6E">
            <w:pPr>
              <w:pStyle w:val="66"/>
              <w:ind w:firstLine="42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注：目前企业不在福州市2025年环境监管重点单位名录内，后续企业根据福州市生态环境每年发布的环境监管重点单位名录确定企业是否为重点排污单位，从而确定监测频率。</w:t>
            </w:r>
          </w:p>
          <w:p w14:paraId="6C9B2B8E">
            <w:pPr>
              <w:pStyle w:val="37"/>
              <w:rPr>
                <w:rFonts w:hint="default"/>
                <w:color w:val="000000" w:themeColor="text1"/>
                <w:sz w:val="24"/>
                <w:szCs w:val="21"/>
                <w:highlight w:val="none"/>
                <w:lang w:val="en-US"/>
                <w14:textFill>
                  <w14:solidFill>
                    <w14:schemeClr w14:val="tx1"/>
                  </w14:solidFill>
                </w14:textFill>
              </w:rPr>
            </w:pPr>
            <w:r>
              <w:rPr>
                <w:color w:val="000000" w:themeColor="text1"/>
                <w:sz w:val="24"/>
                <w:szCs w:val="21"/>
                <w:highlight w:val="none"/>
                <w14:textFill>
                  <w14:solidFill>
                    <w14:schemeClr w14:val="tx1"/>
                  </w14:solidFill>
                </w14:textFill>
              </w:rPr>
              <w:t>4.</w:t>
            </w:r>
            <w:r>
              <w:rPr>
                <w:rFonts w:hint="eastAsia"/>
                <w:color w:val="000000" w:themeColor="text1"/>
                <w:sz w:val="24"/>
                <w:szCs w:val="21"/>
                <w:highlight w:val="none"/>
                <w:lang w:val="en-US" w:eastAsia="zh-CN"/>
                <w14:textFill>
                  <w14:solidFill>
                    <w14:schemeClr w14:val="tx1"/>
                  </w14:solidFill>
                </w14:textFill>
              </w:rPr>
              <w:t>10“三本账”分析</w:t>
            </w:r>
          </w:p>
          <w:p w14:paraId="37A29AB8">
            <w:pPr>
              <w:pStyle w:val="66"/>
              <w:ind w:firstLine="420"/>
              <w:rPr>
                <w:rFonts w:hint="eastAsia"/>
                <w:color w:val="000000" w:themeColor="text1"/>
                <w:sz w:val="24"/>
                <w:szCs w:val="32"/>
                <w:highlight w:val="none"/>
                <w:lang w:val="en-US" w:eastAsia="zh-CN"/>
                <w14:textFill>
                  <w14:solidFill>
                    <w14:schemeClr w14:val="tx1"/>
                  </w14:solidFill>
                </w14:textFill>
              </w:rPr>
            </w:pPr>
            <w:r>
              <w:rPr>
                <w:rFonts w:hint="eastAsia"/>
                <w:color w:val="000000" w:themeColor="text1"/>
                <w:sz w:val="24"/>
                <w:szCs w:val="32"/>
                <w:highlight w:val="none"/>
                <w:lang w:val="en-US" w:eastAsia="zh-CN"/>
                <w14:textFill>
                  <w14:solidFill>
                    <w14:schemeClr w14:val="tx1"/>
                  </w14:solidFill>
                </w14:textFill>
              </w:rPr>
              <w:t>本项目建成后，建设单位主要污染物排放“三本账”统计情况见下表。</w:t>
            </w:r>
          </w:p>
          <w:p w14:paraId="324860B5">
            <w:pPr>
              <w:pStyle w:val="69"/>
              <w:spacing w:line="360" w:lineRule="auto"/>
              <w:rPr>
                <w:rFonts w:hint="default"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表4.</w:t>
            </w: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10</w:t>
            </w:r>
            <w:r>
              <w:rPr>
                <w:rFonts w:hint="default"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w:t>
            </w:r>
            <w:r>
              <w:rPr>
                <w:rFonts w:hint="eastAsia"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1  本项目建成后建设单位主要污染物排放“三本账”</w:t>
            </w:r>
            <w:r>
              <w:rPr>
                <w:rFonts w:hint="default" w:ascii="Times New Roman" w:hAnsi="Times New Roman" w:eastAsia="宋体" w:cs="宋体"/>
                <w:b/>
                <w:color w:val="000000" w:themeColor="text1"/>
                <w:kern w:val="2"/>
                <w:sz w:val="24"/>
                <w:szCs w:val="24"/>
                <w:highlight w:val="none"/>
                <w:lang w:val="en-US" w:eastAsia="zh-CN" w:bidi="ar-SA"/>
                <w14:textFill>
                  <w14:solidFill>
                    <w14:schemeClr w14:val="tx1"/>
                  </w14:solidFill>
                </w14:textFill>
              </w:rPr>
              <w:t>统计表</w:t>
            </w:r>
          </w:p>
          <w:tbl>
            <w:tblPr>
              <w:tblStyle w:val="30"/>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350"/>
              <w:gridCol w:w="1170"/>
              <w:gridCol w:w="1335"/>
              <w:gridCol w:w="945"/>
              <w:gridCol w:w="1470"/>
              <w:gridCol w:w="1156"/>
            </w:tblGrid>
            <w:tr w14:paraId="1812F2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684" w:type="dxa"/>
                  <w:tcBorders>
                    <w:tl2br w:val="single" w:color="auto" w:sz="4" w:space="0"/>
                  </w:tcBorders>
                  <w:tcMar>
                    <w:left w:w="28" w:type="dxa"/>
                    <w:right w:w="28" w:type="dxa"/>
                  </w:tcMar>
                  <w:vAlign w:val="center"/>
                </w:tcPr>
                <w:p w14:paraId="2455754D">
                  <w:pPr>
                    <w:pStyle w:val="57"/>
                    <w:spacing w:beforeLines="0" w:afterLines="0" w:line="240" w:lineRule="auto"/>
                    <w:jc w:val="right"/>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项目</w:t>
                  </w:r>
                </w:p>
                <w:p w14:paraId="2C5D7AC0">
                  <w:pPr>
                    <w:pStyle w:val="57"/>
                    <w:spacing w:beforeLines="0" w:afterLines="0" w:line="240" w:lineRule="auto"/>
                    <w:jc w:val="left"/>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分类</w:t>
                  </w:r>
                </w:p>
              </w:tc>
              <w:tc>
                <w:tcPr>
                  <w:tcW w:w="1350" w:type="dxa"/>
                  <w:tcMar>
                    <w:left w:w="28" w:type="dxa"/>
                    <w:right w:w="28" w:type="dxa"/>
                  </w:tcMar>
                  <w:vAlign w:val="center"/>
                </w:tcPr>
                <w:p w14:paraId="7D31703D">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污染物名称</w:t>
                  </w:r>
                </w:p>
              </w:tc>
              <w:tc>
                <w:tcPr>
                  <w:tcW w:w="1170" w:type="dxa"/>
                  <w:tcMar>
                    <w:left w:w="28" w:type="dxa"/>
                    <w:right w:w="28" w:type="dxa"/>
                  </w:tcMar>
                  <w:vAlign w:val="center"/>
                </w:tcPr>
                <w:p w14:paraId="51A7324D">
                  <w:pPr>
                    <w:pStyle w:val="57"/>
                    <w:spacing w:beforeLines="0" w:afterLines="0" w:line="240" w:lineRule="auto"/>
                    <w:rPr>
                      <w:rFonts w:hint="eastAsia" w:ascii="Times New Roman" w:hAnsi="Times New Roman" w:eastAsia="宋体" w:cs="Times New Roman"/>
                      <w:snapToGrid w:val="0"/>
                      <w:color w:val="000000" w:themeColor="text1"/>
                      <w:spacing w:val="0"/>
                      <w:kern w:val="21"/>
                      <w:sz w:val="21"/>
                      <w:szCs w:val="21"/>
                      <w:highlight w:val="none"/>
                      <w:lang w:eastAsia="zh-CN"/>
                      <w14:textFill>
                        <w14:solidFill>
                          <w14:schemeClr w14:val="tx1"/>
                        </w14:solidFill>
                      </w14:textFill>
                    </w:rPr>
                  </w:pP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现有工程排放量（固体废物产生量）</w:t>
                  </w:r>
                  <w:r>
                    <w:rPr>
                      <w:rFonts w:hint="eastAsia" w:ascii="Times New Roman" w:hAnsi="Times New Roman" w:eastAsia="宋体" w:cs="Times New Roman"/>
                      <w:snapToGrid w:val="0"/>
                      <w:color w:val="000000" w:themeColor="text1"/>
                      <w:spacing w:val="0"/>
                      <w:kern w:val="21"/>
                      <w:sz w:val="21"/>
                      <w:szCs w:val="21"/>
                      <w:highlight w:val="none"/>
                      <w:lang w:eastAsia="zh-CN"/>
                      <w14:textFill>
                        <w14:solidFill>
                          <w14:schemeClr w14:val="tx1"/>
                        </w14:solidFill>
                      </w14:textFill>
                    </w:rPr>
                    <w:t>（</w:t>
                  </w:r>
                  <w:r>
                    <w:rPr>
                      <w:rFonts w:hint="eastAsia" w:ascii="Times New Roman" w:hAnsi="Times New Roman" w:eastAsia="宋体" w:cs="Times New Roman"/>
                      <w:snapToGrid w:val="0"/>
                      <w:color w:val="000000" w:themeColor="text1"/>
                      <w:spacing w:val="0"/>
                      <w:kern w:val="21"/>
                      <w:sz w:val="21"/>
                      <w:szCs w:val="21"/>
                      <w:highlight w:val="none"/>
                      <w:lang w:val="en-US" w:eastAsia="zh-CN"/>
                      <w14:textFill>
                        <w14:solidFill>
                          <w14:schemeClr w14:val="tx1"/>
                        </w14:solidFill>
                      </w14:textFill>
                    </w:rPr>
                    <w:t>t/a</w:t>
                  </w:r>
                  <w:r>
                    <w:rPr>
                      <w:rFonts w:hint="eastAsia" w:ascii="Times New Roman" w:hAnsi="Times New Roman" w:eastAsia="宋体" w:cs="Times New Roman"/>
                      <w:snapToGrid w:val="0"/>
                      <w:color w:val="000000" w:themeColor="text1"/>
                      <w:spacing w:val="0"/>
                      <w:kern w:val="21"/>
                      <w:sz w:val="21"/>
                      <w:szCs w:val="21"/>
                      <w:highlight w:val="none"/>
                      <w:lang w:eastAsia="zh-CN"/>
                      <w14:textFill>
                        <w14:solidFill>
                          <w14:schemeClr w14:val="tx1"/>
                        </w14:solidFill>
                      </w14:textFill>
                    </w:rPr>
                    <w:t>）</w:t>
                  </w:r>
                </w:p>
              </w:tc>
              <w:tc>
                <w:tcPr>
                  <w:tcW w:w="1335" w:type="dxa"/>
                  <w:tcMar>
                    <w:left w:w="28" w:type="dxa"/>
                    <w:right w:w="28" w:type="dxa"/>
                  </w:tcMar>
                  <w:vAlign w:val="center"/>
                </w:tcPr>
                <w:p w14:paraId="73D2D432">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本项目排放量（固体废物产生量）</w:t>
                  </w:r>
                  <w:r>
                    <w:rPr>
                      <w:rFonts w:hint="eastAsia" w:ascii="Times New Roman" w:hAnsi="Times New Roman" w:eastAsia="宋体" w:cs="Times New Roman"/>
                      <w:snapToGrid w:val="0"/>
                      <w:color w:val="000000" w:themeColor="text1"/>
                      <w:spacing w:val="0"/>
                      <w:kern w:val="21"/>
                      <w:sz w:val="21"/>
                      <w:szCs w:val="21"/>
                      <w:highlight w:val="none"/>
                      <w:lang w:eastAsia="zh-CN"/>
                      <w14:textFill>
                        <w14:solidFill>
                          <w14:schemeClr w14:val="tx1"/>
                        </w14:solidFill>
                      </w14:textFill>
                    </w:rPr>
                    <w:t>（</w:t>
                  </w:r>
                  <w:r>
                    <w:rPr>
                      <w:rFonts w:hint="eastAsia" w:ascii="Times New Roman" w:hAnsi="Times New Roman" w:eastAsia="宋体" w:cs="Times New Roman"/>
                      <w:snapToGrid w:val="0"/>
                      <w:color w:val="000000" w:themeColor="text1"/>
                      <w:spacing w:val="0"/>
                      <w:kern w:val="21"/>
                      <w:sz w:val="21"/>
                      <w:szCs w:val="21"/>
                      <w:highlight w:val="none"/>
                      <w:lang w:val="en-US" w:eastAsia="zh-CN"/>
                      <w14:textFill>
                        <w14:solidFill>
                          <w14:schemeClr w14:val="tx1"/>
                        </w14:solidFill>
                      </w14:textFill>
                    </w:rPr>
                    <w:t>t/a</w:t>
                  </w:r>
                  <w:r>
                    <w:rPr>
                      <w:rFonts w:hint="eastAsia" w:ascii="Times New Roman" w:hAnsi="Times New Roman" w:eastAsia="宋体" w:cs="Times New Roman"/>
                      <w:snapToGrid w:val="0"/>
                      <w:color w:val="000000" w:themeColor="text1"/>
                      <w:spacing w:val="0"/>
                      <w:kern w:val="21"/>
                      <w:sz w:val="21"/>
                      <w:szCs w:val="21"/>
                      <w:highlight w:val="none"/>
                      <w:lang w:eastAsia="zh-CN"/>
                      <w14:textFill>
                        <w14:solidFill>
                          <w14:schemeClr w14:val="tx1"/>
                        </w14:solidFill>
                      </w14:textFill>
                    </w:rPr>
                    <w:t>）</w:t>
                  </w:r>
                </w:p>
              </w:tc>
              <w:tc>
                <w:tcPr>
                  <w:tcW w:w="945" w:type="dxa"/>
                  <w:tcMar>
                    <w:left w:w="28" w:type="dxa"/>
                    <w:right w:w="28" w:type="dxa"/>
                  </w:tcMar>
                  <w:vAlign w:val="center"/>
                </w:tcPr>
                <w:p w14:paraId="433788A0">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以新带老削减量</w:t>
                  </w:r>
                  <w:r>
                    <w:rPr>
                      <w:rFonts w:hint="eastAsia" w:ascii="Times New Roman" w:hAnsi="Times New Roman" w:eastAsia="宋体" w:cs="Times New Roman"/>
                      <w:snapToGrid w:val="0"/>
                      <w:color w:val="000000" w:themeColor="text1"/>
                      <w:spacing w:val="0"/>
                      <w:kern w:val="21"/>
                      <w:sz w:val="21"/>
                      <w:szCs w:val="21"/>
                      <w:highlight w:val="none"/>
                      <w:lang w:eastAsia="zh-CN"/>
                      <w14:textFill>
                        <w14:solidFill>
                          <w14:schemeClr w14:val="tx1"/>
                        </w14:solidFill>
                      </w14:textFill>
                    </w:rPr>
                    <w:t>（</w:t>
                  </w:r>
                  <w:r>
                    <w:rPr>
                      <w:rFonts w:hint="eastAsia" w:ascii="Times New Roman" w:hAnsi="Times New Roman" w:eastAsia="宋体" w:cs="Times New Roman"/>
                      <w:snapToGrid w:val="0"/>
                      <w:color w:val="000000" w:themeColor="text1"/>
                      <w:spacing w:val="0"/>
                      <w:kern w:val="21"/>
                      <w:sz w:val="21"/>
                      <w:szCs w:val="21"/>
                      <w:highlight w:val="none"/>
                      <w:lang w:val="en-US" w:eastAsia="zh-CN"/>
                      <w14:textFill>
                        <w14:solidFill>
                          <w14:schemeClr w14:val="tx1"/>
                        </w14:solidFill>
                      </w14:textFill>
                    </w:rPr>
                    <w:t>t/a</w:t>
                  </w:r>
                  <w:r>
                    <w:rPr>
                      <w:rFonts w:hint="eastAsia" w:ascii="Times New Roman" w:hAnsi="Times New Roman" w:eastAsia="宋体" w:cs="Times New Roman"/>
                      <w:snapToGrid w:val="0"/>
                      <w:color w:val="000000" w:themeColor="text1"/>
                      <w:spacing w:val="0"/>
                      <w:kern w:val="21"/>
                      <w:sz w:val="21"/>
                      <w:szCs w:val="21"/>
                      <w:highlight w:val="none"/>
                      <w:lang w:eastAsia="zh-CN"/>
                      <w14:textFill>
                        <w14:solidFill>
                          <w14:schemeClr w14:val="tx1"/>
                        </w14:solidFill>
                      </w14:textFill>
                    </w:rPr>
                    <w:t>）</w:t>
                  </w:r>
                </w:p>
              </w:tc>
              <w:tc>
                <w:tcPr>
                  <w:tcW w:w="1470" w:type="dxa"/>
                  <w:tcMar>
                    <w:left w:w="28" w:type="dxa"/>
                    <w:right w:w="28" w:type="dxa"/>
                  </w:tcMar>
                  <w:vAlign w:val="center"/>
                </w:tcPr>
                <w:p w14:paraId="73948527">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本项目建成后全厂排放量（固体废物产生量）</w:t>
                  </w:r>
                  <w:r>
                    <w:rPr>
                      <w:rFonts w:hint="eastAsia" w:ascii="Times New Roman" w:hAnsi="Times New Roman" w:eastAsia="宋体" w:cs="Times New Roman"/>
                      <w:snapToGrid w:val="0"/>
                      <w:color w:val="000000" w:themeColor="text1"/>
                      <w:spacing w:val="0"/>
                      <w:kern w:val="21"/>
                      <w:sz w:val="21"/>
                      <w:szCs w:val="21"/>
                      <w:highlight w:val="none"/>
                      <w:lang w:eastAsia="zh-CN"/>
                      <w14:textFill>
                        <w14:solidFill>
                          <w14:schemeClr w14:val="tx1"/>
                        </w14:solidFill>
                      </w14:textFill>
                    </w:rPr>
                    <w:t>（</w:t>
                  </w:r>
                  <w:r>
                    <w:rPr>
                      <w:rFonts w:hint="eastAsia" w:ascii="Times New Roman" w:hAnsi="Times New Roman" w:eastAsia="宋体" w:cs="Times New Roman"/>
                      <w:snapToGrid w:val="0"/>
                      <w:color w:val="000000" w:themeColor="text1"/>
                      <w:spacing w:val="0"/>
                      <w:kern w:val="21"/>
                      <w:sz w:val="21"/>
                      <w:szCs w:val="21"/>
                      <w:highlight w:val="none"/>
                      <w:lang w:val="en-US" w:eastAsia="zh-CN"/>
                      <w14:textFill>
                        <w14:solidFill>
                          <w14:schemeClr w14:val="tx1"/>
                        </w14:solidFill>
                      </w14:textFill>
                    </w:rPr>
                    <w:t>t/a</w:t>
                  </w:r>
                  <w:r>
                    <w:rPr>
                      <w:rFonts w:hint="eastAsia" w:ascii="Times New Roman" w:hAnsi="Times New Roman" w:eastAsia="宋体" w:cs="Times New Roman"/>
                      <w:snapToGrid w:val="0"/>
                      <w:color w:val="000000" w:themeColor="text1"/>
                      <w:spacing w:val="0"/>
                      <w:kern w:val="21"/>
                      <w:sz w:val="21"/>
                      <w:szCs w:val="21"/>
                      <w:highlight w:val="none"/>
                      <w:lang w:eastAsia="zh-CN"/>
                      <w14:textFill>
                        <w14:solidFill>
                          <w14:schemeClr w14:val="tx1"/>
                        </w14:solidFill>
                      </w14:textFill>
                    </w:rPr>
                    <w:t>）</w:t>
                  </w:r>
                </w:p>
              </w:tc>
              <w:tc>
                <w:tcPr>
                  <w:tcW w:w="1156" w:type="dxa"/>
                  <w:tcMar>
                    <w:left w:w="28" w:type="dxa"/>
                    <w:right w:w="28" w:type="dxa"/>
                  </w:tcMar>
                  <w:vAlign w:val="center"/>
                </w:tcPr>
                <w:p w14:paraId="02B400B2">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r>
                    <w:rPr>
                      <w:rFonts w:hint="eastAsia" w:ascii="Times New Roman" w:hAnsi="Times New Roman" w:eastAsia="宋体" w:cs="Times New Roman"/>
                      <w:snapToGrid w:val="0"/>
                      <w:color w:val="000000" w:themeColor="text1"/>
                      <w:spacing w:val="0"/>
                      <w:kern w:val="21"/>
                      <w:sz w:val="21"/>
                      <w:szCs w:val="21"/>
                      <w:highlight w:val="none"/>
                      <w:lang w:val="en-US" w:eastAsia="zh-CN"/>
                      <w14:textFill>
                        <w14:solidFill>
                          <w14:schemeClr w14:val="tx1"/>
                        </w14:solidFill>
                      </w14:textFill>
                    </w:rPr>
                    <w:t>增减</w:t>
                  </w: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量</w:t>
                  </w:r>
                  <w:r>
                    <w:rPr>
                      <w:rFonts w:hint="eastAsia" w:ascii="Times New Roman" w:hAnsi="Times New Roman" w:eastAsia="宋体" w:cs="Times New Roman"/>
                      <w:snapToGrid w:val="0"/>
                      <w:color w:val="000000" w:themeColor="text1"/>
                      <w:spacing w:val="0"/>
                      <w:kern w:val="21"/>
                      <w:sz w:val="21"/>
                      <w:szCs w:val="21"/>
                      <w:highlight w:val="none"/>
                      <w:lang w:eastAsia="zh-CN"/>
                      <w14:textFill>
                        <w14:solidFill>
                          <w14:schemeClr w14:val="tx1"/>
                        </w14:solidFill>
                      </w14:textFill>
                    </w:rPr>
                    <w:t>（</w:t>
                  </w:r>
                  <w:r>
                    <w:rPr>
                      <w:rFonts w:hint="eastAsia" w:ascii="Times New Roman" w:hAnsi="Times New Roman" w:eastAsia="宋体" w:cs="Times New Roman"/>
                      <w:snapToGrid w:val="0"/>
                      <w:color w:val="000000" w:themeColor="text1"/>
                      <w:spacing w:val="0"/>
                      <w:kern w:val="21"/>
                      <w:sz w:val="21"/>
                      <w:szCs w:val="21"/>
                      <w:highlight w:val="none"/>
                      <w:lang w:val="en-US" w:eastAsia="zh-CN"/>
                      <w14:textFill>
                        <w14:solidFill>
                          <w14:schemeClr w14:val="tx1"/>
                        </w14:solidFill>
                      </w14:textFill>
                    </w:rPr>
                    <w:t>t/a</w:t>
                  </w:r>
                  <w:r>
                    <w:rPr>
                      <w:rFonts w:hint="eastAsia" w:ascii="Times New Roman" w:hAnsi="Times New Roman" w:eastAsia="宋体" w:cs="Times New Roman"/>
                      <w:snapToGrid w:val="0"/>
                      <w:color w:val="000000" w:themeColor="text1"/>
                      <w:spacing w:val="0"/>
                      <w:kern w:val="21"/>
                      <w:sz w:val="21"/>
                      <w:szCs w:val="21"/>
                      <w:highlight w:val="none"/>
                      <w:lang w:eastAsia="zh-CN"/>
                      <w14:textFill>
                        <w14:solidFill>
                          <w14:schemeClr w14:val="tx1"/>
                        </w14:solidFill>
                      </w14:textFill>
                    </w:rPr>
                    <w:t>）</w:t>
                  </w:r>
                </w:p>
              </w:tc>
            </w:tr>
            <w:tr w14:paraId="6D1F92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4" w:type="dxa"/>
                  <w:vMerge w:val="restart"/>
                  <w:vAlign w:val="center"/>
                </w:tcPr>
                <w:p w14:paraId="4E372867">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废气</w:t>
                  </w:r>
                </w:p>
              </w:tc>
              <w:tc>
                <w:tcPr>
                  <w:tcW w:w="1350" w:type="dxa"/>
                  <w:vAlign w:val="center"/>
                </w:tcPr>
                <w:p w14:paraId="185EF3FB">
                  <w:pPr>
                    <w:widowControl/>
                    <w:jc w:val="center"/>
                    <w:rPr>
                      <w:rFonts w:hint="default" w:ascii="Times New Roman" w:hAnsi="Times New Roman" w:eastAsia="宋体" w:cs="Times New Roman"/>
                      <w:color w:val="000000" w:themeColor="text1"/>
                      <w:spacing w:val="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颗粒物</w:t>
                  </w:r>
                </w:p>
              </w:tc>
              <w:tc>
                <w:tcPr>
                  <w:tcW w:w="1170" w:type="dxa"/>
                  <w:vAlign w:val="center"/>
                </w:tcPr>
                <w:p w14:paraId="3399928E">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0.0541</w:t>
                  </w:r>
                </w:p>
              </w:tc>
              <w:tc>
                <w:tcPr>
                  <w:tcW w:w="1335" w:type="dxa"/>
                  <w:vAlign w:val="center"/>
                </w:tcPr>
                <w:p w14:paraId="339FD890">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0.0009</w:t>
                  </w:r>
                </w:p>
              </w:tc>
              <w:tc>
                <w:tcPr>
                  <w:tcW w:w="945" w:type="dxa"/>
                  <w:vAlign w:val="center"/>
                </w:tcPr>
                <w:p w14:paraId="36796287">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470" w:type="dxa"/>
                  <w:vAlign w:val="center"/>
                </w:tcPr>
                <w:p w14:paraId="585013F0">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lang w:val="en-US"/>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0.0550</w:t>
                  </w:r>
                </w:p>
              </w:tc>
              <w:tc>
                <w:tcPr>
                  <w:tcW w:w="1156" w:type="dxa"/>
                  <w:vAlign w:val="center"/>
                </w:tcPr>
                <w:p w14:paraId="3805EDB4">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+0.0009</w:t>
                  </w:r>
                </w:p>
              </w:tc>
            </w:tr>
            <w:tr w14:paraId="35520B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4" w:type="dxa"/>
                  <w:vMerge w:val="continue"/>
                  <w:vAlign w:val="center"/>
                </w:tcPr>
                <w:p w14:paraId="3FA956B9">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p>
              </w:tc>
              <w:tc>
                <w:tcPr>
                  <w:tcW w:w="1350" w:type="dxa"/>
                  <w:vAlign w:val="center"/>
                </w:tcPr>
                <w:p w14:paraId="32A3FD52">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非甲烷总烃</w:t>
                  </w:r>
                </w:p>
              </w:tc>
              <w:tc>
                <w:tcPr>
                  <w:tcW w:w="1170" w:type="dxa"/>
                  <w:vAlign w:val="center"/>
                </w:tcPr>
                <w:p w14:paraId="09BF9716">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0.3322</w:t>
                  </w:r>
                </w:p>
              </w:tc>
              <w:tc>
                <w:tcPr>
                  <w:tcW w:w="1335" w:type="dxa"/>
                  <w:vAlign w:val="center"/>
                </w:tcPr>
                <w:p w14:paraId="103F4D68">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1.6273</w:t>
                  </w:r>
                </w:p>
              </w:tc>
              <w:tc>
                <w:tcPr>
                  <w:tcW w:w="945" w:type="dxa"/>
                  <w:vAlign w:val="center"/>
                </w:tcPr>
                <w:p w14:paraId="73F2D917">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470" w:type="dxa"/>
                  <w:vAlign w:val="center"/>
                </w:tcPr>
                <w:p w14:paraId="6C4A2DD8">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lang w:val="en-US"/>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1.9595</w:t>
                  </w:r>
                </w:p>
              </w:tc>
              <w:tc>
                <w:tcPr>
                  <w:tcW w:w="1156" w:type="dxa"/>
                  <w:vAlign w:val="center"/>
                </w:tcPr>
                <w:p w14:paraId="4355433F">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lang w:val="en-US"/>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+1.6273</w:t>
                  </w:r>
                </w:p>
              </w:tc>
            </w:tr>
            <w:tr w14:paraId="513AAE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4" w:type="dxa"/>
                  <w:vMerge w:val="continue"/>
                  <w:vAlign w:val="center"/>
                </w:tcPr>
                <w:p w14:paraId="50935ED7">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p>
              </w:tc>
              <w:tc>
                <w:tcPr>
                  <w:tcW w:w="1350" w:type="dxa"/>
                  <w:vAlign w:val="center"/>
                </w:tcPr>
                <w:p w14:paraId="01D1125A">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硫酸雾</w:t>
                  </w:r>
                </w:p>
              </w:tc>
              <w:tc>
                <w:tcPr>
                  <w:tcW w:w="1170" w:type="dxa"/>
                  <w:vAlign w:val="center"/>
                </w:tcPr>
                <w:p w14:paraId="159DBD85">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335" w:type="dxa"/>
                  <w:vAlign w:val="center"/>
                </w:tcPr>
                <w:p w14:paraId="06FA45E2">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0.0019</w:t>
                  </w:r>
                </w:p>
              </w:tc>
              <w:tc>
                <w:tcPr>
                  <w:tcW w:w="945" w:type="dxa"/>
                  <w:vAlign w:val="center"/>
                </w:tcPr>
                <w:p w14:paraId="75E7C65B">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470" w:type="dxa"/>
                  <w:vAlign w:val="center"/>
                </w:tcPr>
                <w:p w14:paraId="5869A566">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0.0019</w:t>
                  </w:r>
                </w:p>
              </w:tc>
              <w:tc>
                <w:tcPr>
                  <w:tcW w:w="1156" w:type="dxa"/>
                  <w:vAlign w:val="center"/>
                </w:tcPr>
                <w:p w14:paraId="70028FA9">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+0.0019</w:t>
                  </w:r>
                </w:p>
              </w:tc>
            </w:tr>
            <w:tr w14:paraId="6CE34B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4" w:type="dxa"/>
                  <w:vMerge w:val="continue"/>
                  <w:vAlign w:val="center"/>
                </w:tcPr>
                <w:p w14:paraId="08E352C6">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p>
              </w:tc>
              <w:tc>
                <w:tcPr>
                  <w:tcW w:w="1350" w:type="dxa"/>
                  <w:vAlign w:val="center"/>
                </w:tcPr>
                <w:p w14:paraId="51BE5CED">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硝酸雾（以NOx计）</w:t>
                  </w:r>
                </w:p>
              </w:tc>
              <w:tc>
                <w:tcPr>
                  <w:tcW w:w="1170" w:type="dxa"/>
                  <w:vAlign w:val="center"/>
                </w:tcPr>
                <w:p w14:paraId="3282E88B">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335" w:type="dxa"/>
                  <w:vAlign w:val="center"/>
                </w:tcPr>
                <w:p w14:paraId="0072FD11">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0.0001</w:t>
                  </w:r>
                </w:p>
              </w:tc>
              <w:tc>
                <w:tcPr>
                  <w:tcW w:w="945" w:type="dxa"/>
                  <w:vAlign w:val="center"/>
                </w:tcPr>
                <w:p w14:paraId="484F3A3D">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470" w:type="dxa"/>
                  <w:vAlign w:val="center"/>
                </w:tcPr>
                <w:p w14:paraId="25F3B59B">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0.0001</w:t>
                  </w:r>
                </w:p>
              </w:tc>
              <w:tc>
                <w:tcPr>
                  <w:tcW w:w="1156" w:type="dxa"/>
                  <w:vAlign w:val="center"/>
                </w:tcPr>
                <w:p w14:paraId="02486F0B">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+0.0001</w:t>
                  </w:r>
                </w:p>
              </w:tc>
            </w:tr>
            <w:tr w14:paraId="785ED8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4" w:type="dxa"/>
                  <w:vMerge w:val="continue"/>
                  <w:vAlign w:val="center"/>
                </w:tcPr>
                <w:p w14:paraId="7C1E6467">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p>
              </w:tc>
              <w:tc>
                <w:tcPr>
                  <w:tcW w:w="1350" w:type="dxa"/>
                  <w:vAlign w:val="center"/>
                </w:tcPr>
                <w:p w14:paraId="554E8BCD">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氟化物</w:t>
                  </w:r>
                </w:p>
              </w:tc>
              <w:tc>
                <w:tcPr>
                  <w:tcW w:w="1170" w:type="dxa"/>
                  <w:vAlign w:val="center"/>
                </w:tcPr>
                <w:p w14:paraId="46E4CE6D">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335" w:type="dxa"/>
                  <w:vAlign w:val="center"/>
                </w:tcPr>
                <w:p w14:paraId="4F22BA55">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0.0008</w:t>
                  </w:r>
                </w:p>
              </w:tc>
              <w:tc>
                <w:tcPr>
                  <w:tcW w:w="945" w:type="dxa"/>
                  <w:vAlign w:val="center"/>
                </w:tcPr>
                <w:p w14:paraId="28DBB3CC">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470" w:type="dxa"/>
                  <w:vAlign w:val="center"/>
                </w:tcPr>
                <w:p w14:paraId="05BDDFA7">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0.0008</w:t>
                  </w:r>
                </w:p>
              </w:tc>
              <w:tc>
                <w:tcPr>
                  <w:tcW w:w="1156" w:type="dxa"/>
                  <w:vAlign w:val="center"/>
                </w:tcPr>
                <w:p w14:paraId="46B28B9E">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+0.0008</w:t>
                  </w:r>
                </w:p>
              </w:tc>
            </w:tr>
            <w:tr w14:paraId="60D4F8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4" w:type="dxa"/>
                  <w:vMerge w:val="continue"/>
                  <w:vAlign w:val="center"/>
                </w:tcPr>
                <w:p w14:paraId="2A764F80">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p>
              </w:tc>
              <w:tc>
                <w:tcPr>
                  <w:tcW w:w="1350" w:type="dxa"/>
                  <w:vAlign w:val="center"/>
                </w:tcPr>
                <w:p w14:paraId="16101D0C">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氯化氢</w:t>
                  </w:r>
                </w:p>
              </w:tc>
              <w:tc>
                <w:tcPr>
                  <w:tcW w:w="1170" w:type="dxa"/>
                  <w:vAlign w:val="center"/>
                </w:tcPr>
                <w:p w14:paraId="3A801F00">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335" w:type="dxa"/>
                  <w:vAlign w:val="center"/>
                </w:tcPr>
                <w:p w14:paraId="124B0CB8">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0.000021</w:t>
                  </w:r>
                </w:p>
              </w:tc>
              <w:tc>
                <w:tcPr>
                  <w:tcW w:w="945" w:type="dxa"/>
                  <w:vAlign w:val="center"/>
                </w:tcPr>
                <w:p w14:paraId="2883D097">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470" w:type="dxa"/>
                  <w:vAlign w:val="center"/>
                </w:tcPr>
                <w:p w14:paraId="55A8263C">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0.000021</w:t>
                  </w:r>
                </w:p>
              </w:tc>
              <w:tc>
                <w:tcPr>
                  <w:tcW w:w="1156" w:type="dxa"/>
                  <w:vAlign w:val="center"/>
                </w:tcPr>
                <w:p w14:paraId="7F15BD8D">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+0.000021</w:t>
                  </w:r>
                </w:p>
              </w:tc>
            </w:tr>
            <w:tr w14:paraId="38B1C6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4" w:type="dxa"/>
                  <w:vMerge w:val="continue"/>
                  <w:vAlign w:val="center"/>
                </w:tcPr>
                <w:p w14:paraId="35DD104D">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p>
              </w:tc>
              <w:tc>
                <w:tcPr>
                  <w:tcW w:w="1350" w:type="dxa"/>
                  <w:vAlign w:val="center"/>
                </w:tcPr>
                <w:p w14:paraId="75CE2B57">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TMAH</w:t>
                  </w:r>
                </w:p>
              </w:tc>
              <w:tc>
                <w:tcPr>
                  <w:tcW w:w="1170" w:type="dxa"/>
                  <w:vAlign w:val="center"/>
                </w:tcPr>
                <w:p w14:paraId="21F449C2">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335" w:type="dxa"/>
                  <w:vAlign w:val="center"/>
                </w:tcPr>
                <w:p w14:paraId="250C5E53">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0.0002</w:t>
                  </w:r>
                </w:p>
              </w:tc>
              <w:tc>
                <w:tcPr>
                  <w:tcW w:w="945" w:type="dxa"/>
                  <w:vAlign w:val="center"/>
                </w:tcPr>
                <w:p w14:paraId="5C2A8C71">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470" w:type="dxa"/>
                  <w:vAlign w:val="center"/>
                </w:tcPr>
                <w:p w14:paraId="020B9F26">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0.0002</w:t>
                  </w:r>
                </w:p>
              </w:tc>
              <w:tc>
                <w:tcPr>
                  <w:tcW w:w="1156" w:type="dxa"/>
                  <w:vAlign w:val="center"/>
                </w:tcPr>
                <w:p w14:paraId="0D7A4804">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+0.0002</w:t>
                  </w:r>
                </w:p>
              </w:tc>
            </w:tr>
            <w:tr w14:paraId="2FB97B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4" w:type="dxa"/>
                  <w:vMerge w:val="restart"/>
                  <w:vAlign w:val="center"/>
                </w:tcPr>
                <w:p w14:paraId="0BE1C347">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废水</w:t>
                  </w:r>
                </w:p>
              </w:tc>
              <w:tc>
                <w:tcPr>
                  <w:tcW w:w="1350" w:type="dxa"/>
                  <w:vAlign w:val="center"/>
                </w:tcPr>
                <w:p w14:paraId="1E5E394F">
                  <w:pPr>
                    <w:jc w:val="cente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废水量</w:t>
                  </w:r>
                </w:p>
              </w:tc>
              <w:tc>
                <w:tcPr>
                  <w:tcW w:w="1170" w:type="dxa"/>
                  <w:vAlign w:val="center"/>
                </w:tcPr>
                <w:p w14:paraId="04FB806F">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3780</w:t>
                  </w:r>
                </w:p>
              </w:tc>
              <w:tc>
                <w:tcPr>
                  <w:tcW w:w="1335" w:type="dxa"/>
                  <w:vAlign w:val="center"/>
                </w:tcPr>
                <w:p w14:paraId="34489613">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8460</w:t>
                  </w:r>
                </w:p>
              </w:tc>
              <w:tc>
                <w:tcPr>
                  <w:tcW w:w="945" w:type="dxa"/>
                  <w:vAlign w:val="center"/>
                </w:tcPr>
                <w:p w14:paraId="524D118E">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470" w:type="dxa"/>
                  <w:vAlign w:val="center"/>
                </w:tcPr>
                <w:p w14:paraId="2FF5E997">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12240</w:t>
                  </w:r>
                </w:p>
              </w:tc>
              <w:tc>
                <w:tcPr>
                  <w:tcW w:w="1156" w:type="dxa"/>
                  <w:vAlign w:val="center"/>
                </w:tcPr>
                <w:p w14:paraId="493D8315">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+8460</w:t>
                  </w:r>
                </w:p>
              </w:tc>
            </w:tr>
            <w:tr w14:paraId="3265CF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4" w:type="dxa"/>
                  <w:vMerge w:val="continue"/>
                  <w:vAlign w:val="center"/>
                </w:tcPr>
                <w:p w14:paraId="625B4B0A">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p>
              </w:tc>
              <w:tc>
                <w:tcPr>
                  <w:tcW w:w="1350" w:type="dxa"/>
                  <w:vAlign w:val="center"/>
                </w:tcPr>
                <w:p w14:paraId="2E2D1030">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COD</w:t>
                  </w:r>
                </w:p>
              </w:tc>
              <w:tc>
                <w:tcPr>
                  <w:tcW w:w="1170" w:type="dxa"/>
                  <w:vAlign w:val="center"/>
                </w:tcPr>
                <w:p w14:paraId="7F237C6F">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0.189</w:t>
                  </w:r>
                </w:p>
              </w:tc>
              <w:tc>
                <w:tcPr>
                  <w:tcW w:w="1335" w:type="dxa"/>
                  <w:vAlign w:val="center"/>
                </w:tcPr>
                <w:p w14:paraId="073C9687">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0.5456</w:t>
                  </w:r>
                </w:p>
              </w:tc>
              <w:tc>
                <w:tcPr>
                  <w:tcW w:w="945" w:type="dxa"/>
                  <w:vAlign w:val="center"/>
                </w:tcPr>
                <w:p w14:paraId="3769AF3E">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470" w:type="dxa"/>
                  <w:vAlign w:val="center"/>
                </w:tcPr>
                <w:p w14:paraId="0374120B">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0.7346</w:t>
                  </w:r>
                </w:p>
              </w:tc>
              <w:tc>
                <w:tcPr>
                  <w:tcW w:w="1156" w:type="dxa"/>
                  <w:vAlign w:val="center"/>
                </w:tcPr>
                <w:p w14:paraId="042D757B">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+0.5456</w:t>
                  </w:r>
                </w:p>
              </w:tc>
            </w:tr>
            <w:tr w14:paraId="07DE58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4" w:type="dxa"/>
                  <w:vMerge w:val="continue"/>
                  <w:vAlign w:val="center"/>
                </w:tcPr>
                <w:p w14:paraId="11E0D540">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p>
              </w:tc>
              <w:tc>
                <w:tcPr>
                  <w:tcW w:w="1350" w:type="dxa"/>
                  <w:vAlign w:val="center"/>
                </w:tcPr>
                <w:p w14:paraId="76CCED2F">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NH</w:t>
                  </w:r>
                  <w:r>
                    <w:rPr>
                      <w:rFonts w:hint="default" w:ascii="Times New Roman" w:hAnsi="Times New Roman" w:eastAsia="宋体" w:cs="Times New Roman"/>
                      <w:color w:val="000000" w:themeColor="text1"/>
                      <w:spacing w:val="0"/>
                      <w:sz w:val="21"/>
                      <w:szCs w:val="21"/>
                      <w:highlight w:val="none"/>
                      <w:vertAlign w:val="subscript"/>
                      <w14:textFill>
                        <w14:solidFill>
                          <w14:schemeClr w14:val="tx1"/>
                        </w14:solidFill>
                      </w14:textFill>
                    </w:rPr>
                    <w:t>3</w:t>
                  </w: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-N</w:t>
                  </w:r>
                </w:p>
              </w:tc>
              <w:tc>
                <w:tcPr>
                  <w:tcW w:w="1170" w:type="dxa"/>
                  <w:vAlign w:val="center"/>
                </w:tcPr>
                <w:p w14:paraId="1EFB401E">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0.019</w:t>
                  </w:r>
                </w:p>
              </w:tc>
              <w:tc>
                <w:tcPr>
                  <w:tcW w:w="1335" w:type="dxa"/>
                  <w:vAlign w:val="center"/>
                </w:tcPr>
                <w:p w14:paraId="3858DB4D">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lang w:val="en-US"/>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0.1355</w:t>
                  </w:r>
                </w:p>
              </w:tc>
              <w:tc>
                <w:tcPr>
                  <w:tcW w:w="945" w:type="dxa"/>
                  <w:vAlign w:val="center"/>
                </w:tcPr>
                <w:p w14:paraId="4184AAC9">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470" w:type="dxa"/>
                  <w:vAlign w:val="center"/>
                </w:tcPr>
                <w:p w14:paraId="184083CD">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0.1545</w:t>
                  </w:r>
                </w:p>
              </w:tc>
              <w:tc>
                <w:tcPr>
                  <w:tcW w:w="1156" w:type="dxa"/>
                  <w:vAlign w:val="center"/>
                </w:tcPr>
                <w:p w14:paraId="3EA4431E">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+0.1355</w:t>
                  </w:r>
                </w:p>
              </w:tc>
            </w:tr>
            <w:tr w14:paraId="7B5534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4" w:type="dxa"/>
                  <w:vMerge w:val="restart"/>
                  <w:vAlign w:val="center"/>
                </w:tcPr>
                <w:p w14:paraId="6B58A641">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一般工业</w:t>
                  </w:r>
                </w:p>
                <w:p w14:paraId="2E945626">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固体废物</w:t>
                  </w:r>
                </w:p>
              </w:tc>
              <w:tc>
                <w:tcPr>
                  <w:tcW w:w="1350" w:type="dxa"/>
                  <w:vAlign w:val="center"/>
                </w:tcPr>
                <w:p w14:paraId="709A59EA">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不合格产品</w:t>
                  </w:r>
                </w:p>
              </w:tc>
              <w:tc>
                <w:tcPr>
                  <w:tcW w:w="1170" w:type="dxa"/>
                  <w:vAlign w:val="center"/>
                </w:tcPr>
                <w:p w14:paraId="7B131F9D">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0.8</w:t>
                  </w:r>
                </w:p>
              </w:tc>
              <w:tc>
                <w:tcPr>
                  <w:tcW w:w="1335" w:type="dxa"/>
                  <w:vAlign w:val="center"/>
                </w:tcPr>
                <w:p w14:paraId="5796FE3F">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0.6</w:t>
                  </w:r>
                </w:p>
              </w:tc>
              <w:tc>
                <w:tcPr>
                  <w:tcW w:w="945" w:type="dxa"/>
                  <w:vAlign w:val="center"/>
                </w:tcPr>
                <w:p w14:paraId="6ED3897E">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470" w:type="dxa"/>
                  <w:vAlign w:val="center"/>
                </w:tcPr>
                <w:p w14:paraId="04329D3F">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lang w:val="en-US"/>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1.4</w:t>
                  </w:r>
                </w:p>
              </w:tc>
              <w:tc>
                <w:tcPr>
                  <w:tcW w:w="1156" w:type="dxa"/>
                  <w:vAlign w:val="center"/>
                </w:tcPr>
                <w:p w14:paraId="23DA3532">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lang w:val="en-US"/>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+0.6</w:t>
                  </w:r>
                </w:p>
              </w:tc>
            </w:tr>
            <w:tr w14:paraId="1BC943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4" w:type="dxa"/>
                  <w:vMerge w:val="continue"/>
                  <w:vAlign w:val="center"/>
                </w:tcPr>
                <w:p w14:paraId="7CAD1E9F">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p>
              </w:tc>
              <w:tc>
                <w:tcPr>
                  <w:tcW w:w="1350" w:type="dxa"/>
                  <w:vAlign w:val="center"/>
                </w:tcPr>
                <w:p w14:paraId="74B0AA59">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沉淀废渣</w:t>
                  </w:r>
                </w:p>
              </w:tc>
              <w:tc>
                <w:tcPr>
                  <w:tcW w:w="1170" w:type="dxa"/>
                  <w:vAlign w:val="center"/>
                </w:tcPr>
                <w:p w14:paraId="2F3C2C03">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2</w:t>
                  </w:r>
                </w:p>
              </w:tc>
              <w:tc>
                <w:tcPr>
                  <w:tcW w:w="1335" w:type="dxa"/>
                  <w:vAlign w:val="center"/>
                </w:tcPr>
                <w:p w14:paraId="00FF1143">
                  <w:pPr>
                    <w:jc w:val="center"/>
                    <w:rPr>
                      <w:rFonts w:hint="default" w:ascii="Times New Roman" w:hAnsi="Times New Roman" w:eastAsia="宋体" w:cs="Times New Roman"/>
                      <w:color w:val="000000" w:themeColor="text1"/>
                      <w:spacing w:val="0"/>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1</w:t>
                  </w:r>
                </w:p>
              </w:tc>
              <w:tc>
                <w:tcPr>
                  <w:tcW w:w="945" w:type="dxa"/>
                  <w:vAlign w:val="center"/>
                </w:tcPr>
                <w:p w14:paraId="7EA3ED16">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470" w:type="dxa"/>
                  <w:vAlign w:val="center"/>
                </w:tcPr>
                <w:p w14:paraId="0322D9E9">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3</w:t>
                  </w:r>
                </w:p>
              </w:tc>
              <w:tc>
                <w:tcPr>
                  <w:tcW w:w="1156" w:type="dxa"/>
                  <w:vAlign w:val="center"/>
                </w:tcPr>
                <w:p w14:paraId="780ECC49">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lang w:val="en-US"/>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+1</w:t>
                  </w:r>
                </w:p>
              </w:tc>
            </w:tr>
            <w:tr w14:paraId="059545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4" w:type="dxa"/>
                  <w:vMerge w:val="continue"/>
                  <w:vAlign w:val="center"/>
                </w:tcPr>
                <w:p w14:paraId="2F5D409C">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p>
              </w:tc>
              <w:tc>
                <w:tcPr>
                  <w:tcW w:w="1350" w:type="dxa"/>
                  <w:vAlign w:val="center"/>
                </w:tcPr>
                <w:p w14:paraId="2431648E">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废包装材料</w:t>
                  </w:r>
                </w:p>
              </w:tc>
              <w:tc>
                <w:tcPr>
                  <w:tcW w:w="1170" w:type="dxa"/>
                  <w:vAlign w:val="center"/>
                </w:tcPr>
                <w:p w14:paraId="2494D942">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0.2</w:t>
                  </w:r>
                </w:p>
              </w:tc>
              <w:tc>
                <w:tcPr>
                  <w:tcW w:w="1335" w:type="dxa"/>
                  <w:vAlign w:val="center"/>
                </w:tcPr>
                <w:p w14:paraId="7051ADA4">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0.1</w:t>
                  </w:r>
                </w:p>
              </w:tc>
              <w:tc>
                <w:tcPr>
                  <w:tcW w:w="945" w:type="dxa"/>
                  <w:vAlign w:val="center"/>
                </w:tcPr>
                <w:p w14:paraId="55B8A460">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470" w:type="dxa"/>
                  <w:vAlign w:val="center"/>
                </w:tcPr>
                <w:p w14:paraId="31C95B03">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0.3</w:t>
                  </w:r>
                </w:p>
              </w:tc>
              <w:tc>
                <w:tcPr>
                  <w:tcW w:w="1156" w:type="dxa"/>
                  <w:vAlign w:val="center"/>
                </w:tcPr>
                <w:p w14:paraId="1A3786BD">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+0.1</w:t>
                  </w:r>
                </w:p>
              </w:tc>
            </w:tr>
            <w:tr w14:paraId="0918F9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4" w:type="dxa"/>
                  <w:vMerge w:val="continue"/>
                  <w:vAlign w:val="center"/>
                </w:tcPr>
                <w:p w14:paraId="1FB8C228">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p>
              </w:tc>
              <w:tc>
                <w:tcPr>
                  <w:tcW w:w="1350" w:type="dxa"/>
                  <w:vAlign w:val="center"/>
                </w:tcPr>
                <w:p w14:paraId="21EFC598">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废金刚砂</w:t>
                  </w:r>
                </w:p>
              </w:tc>
              <w:tc>
                <w:tcPr>
                  <w:tcW w:w="1170" w:type="dxa"/>
                  <w:vAlign w:val="center"/>
                </w:tcPr>
                <w:p w14:paraId="78D7F32B">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0.3</w:t>
                  </w:r>
                </w:p>
              </w:tc>
              <w:tc>
                <w:tcPr>
                  <w:tcW w:w="1335" w:type="dxa"/>
                  <w:vAlign w:val="center"/>
                </w:tcPr>
                <w:p w14:paraId="66CEA846">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4.3</w:t>
                  </w:r>
                </w:p>
              </w:tc>
              <w:tc>
                <w:tcPr>
                  <w:tcW w:w="945" w:type="dxa"/>
                  <w:vAlign w:val="center"/>
                </w:tcPr>
                <w:p w14:paraId="579E35E3">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470" w:type="dxa"/>
                  <w:vAlign w:val="center"/>
                </w:tcPr>
                <w:p w14:paraId="6769A765">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4.6</w:t>
                  </w:r>
                </w:p>
              </w:tc>
              <w:tc>
                <w:tcPr>
                  <w:tcW w:w="1156" w:type="dxa"/>
                  <w:vAlign w:val="center"/>
                </w:tcPr>
                <w:p w14:paraId="02FEA5A2">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+4.3</w:t>
                  </w:r>
                </w:p>
              </w:tc>
            </w:tr>
            <w:tr w14:paraId="46AF6C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4" w:type="dxa"/>
                  <w:vMerge w:val="continue"/>
                  <w:vAlign w:val="center"/>
                </w:tcPr>
                <w:p w14:paraId="002DD7D7">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p>
              </w:tc>
              <w:tc>
                <w:tcPr>
                  <w:tcW w:w="1350" w:type="dxa"/>
                  <w:vAlign w:val="center"/>
                </w:tcPr>
                <w:p w14:paraId="06D0E85C">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废边角料</w:t>
                  </w:r>
                </w:p>
              </w:tc>
              <w:tc>
                <w:tcPr>
                  <w:tcW w:w="1170" w:type="dxa"/>
                  <w:vAlign w:val="center"/>
                </w:tcPr>
                <w:p w14:paraId="3486F2F0">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3.2</w:t>
                  </w:r>
                </w:p>
              </w:tc>
              <w:tc>
                <w:tcPr>
                  <w:tcW w:w="1335" w:type="dxa"/>
                  <w:vAlign w:val="center"/>
                </w:tcPr>
                <w:p w14:paraId="7218CB6B">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0.2</w:t>
                  </w:r>
                </w:p>
              </w:tc>
              <w:tc>
                <w:tcPr>
                  <w:tcW w:w="945" w:type="dxa"/>
                  <w:vAlign w:val="center"/>
                </w:tcPr>
                <w:p w14:paraId="46ED361D">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470" w:type="dxa"/>
                  <w:vAlign w:val="center"/>
                </w:tcPr>
                <w:p w14:paraId="2F616D28">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3.4</w:t>
                  </w:r>
                </w:p>
              </w:tc>
              <w:tc>
                <w:tcPr>
                  <w:tcW w:w="1156" w:type="dxa"/>
                  <w:vAlign w:val="center"/>
                </w:tcPr>
                <w:p w14:paraId="697A1803">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+0.2</w:t>
                  </w:r>
                </w:p>
              </w:tc>
            </w:tr>
            <w:tr w14:paraId="08BB6E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4" w:type="dxa"/>
                  <w:vMerge w:val="continue"/>
                  <w:vAlign w:val="center"/>
                </w:tcPr>
                <w:p w14:paraId="142C7310">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p>
              </w:tc>
              <w:tc>
                <w:tcPr>
                  <w:tcW w:w="1350" w:type="dxa"/>
                  <w:vAlign w:val="center"/>
                </w:tcPr>
                <w:p w14:paraId="72C2DECD">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污水站沉渣</w:t>
                  </w:r>
                </w:p>
              </w:tc>
              <w:tc>
                <w:tcPr>
                  <w:tcW w:w="1170" w:type="dxa"/>
                  <w:vAlign w:val="center"/>
                </w:tcPr>
                <w:p w14:paraId="40DEC62C">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2</w:t>
                  </w:r>
                </w:p>
              </w:tc>
              <w:tc>
                <w:tcPr>
                  <w:tcW w:w="1335" w:type="dxa"/>
                  <w:vAlign w:val="center"/>
                </w:tcPr>
                <w:p w14:paraId="41CD0D33">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945" w:type="dxa"/>
                  <w:vAlign w:val="center"/>
                </w:tcPr>
                <w:p w14:paraId="2C4A231B">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470" w:type="dxa"/>
                  <w:vAlign w:val="center"/>
                </w:tcPr>
                <w:p w14:paraId="52ED0BFC">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2</w:t>
                  </w:r>
                </w:p>
              </w:tc>
              <w:tc>
                <w:tcPr>
                  <w:tcW w:w="1156" w:type="dxa"/>
                  <w:vAlign w:val="center"/>
                </w:tcPr>
                <w:p w14:paraId="54C92A8B">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w:t>
                  </w:r>
                </w:p>
              </w:tc>
            </w:tr>
            <w:tr w14:paraId="5AC7EE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4" w:type="dxa"/>
                  <w:vMerge w:val="continue"/>
                  <w:vAlign w:val="center"/>
                </w:tcPr>
                <w:p w14:paraId="726DB3D8">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p>
              </w:tc>
              <w:tc>
                <w:tcPr>
                  <w:tcW w:w="1350" w:type="dxa"/>
                  <w:vAlign w:val="center"/>
                </w:tcPr>
                <w:p w14:paraId="6D6E982C">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废树脂</w:t>
                  </w:r>
                </w:p>
              </w:tc>
              <w:tc>
                <w:tcPr>
                  <w:tcW w:w="1170" w:type="dxa"/>
                  <w:vAlign w:val="center"/>
                </w:tcPr>
                <w:p w14:paraId="463D886D">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11.76</w:t>
                  </w:r>
                </w:p>
              </w:tc>
              <w:tc>
                <w:tcPr>
                  <w:tcW w:w="1335" w:type="dxa"/>
                  <w:vAlign w:val="center"/>
                </w:tcPr>
                <w:p w14:paraId="1E15A974">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42</w:t>
                  </w:r>
                </w:p>
              </w:tc>
              <w:tc>
                <w:tcPr>
                  <w:tcW w:w="945" w:type="dxa"/>
                  <w:vAlign w:val="center"/>
                </w:tcPr>
                <w:p w14:paraId="3E4FCAE8">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470" w:type="dxa"/>
                  <w:vAlign w:val="center"/>
                </w:tcPr>
                <w:p w14:paraId="723A0CCF">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53.76</w:t>
                  </w:r>
                </w:p>
              </w:tc>
              <w:tc>
                <w:tcPr>
                  <w:tcW w:w="1156" w:type="dxa"/>
                  <w:vAlign w:val="center"/>
                </w:tcPr>
                <w:p w14:paraId="2DD54EEA">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+42</w:t>
                  </w:r>
                </w:p>
              </w:tc>
            </w:tr>
            <w:tr w14:paraId="2A9781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4" w:type="dxa"/>
                  <w:vMerge w:val="restart"/>
                  <w:vAlign w:val="center"/>
                </w:tcPr>
                <w:p w14:paraId="2BEC7982">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t>危险废物</w:t>
                  </w:r>
                </w:p>
              </w:tc>
              <w:tc>
                <w:tcPr>
                  <w:tcW w:w="1350" w:type="dxa"/>
                  <w:vAlign w:val="center"/>
                </w:tcPr>
                <w:p w14:paraId="005329C7">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eastAsia="zh-CN"/>
                      <w14:textFill>
                        <w14:solidFill>
                          <w14:schemeClr w14:val="tx1"/>
                        </w14:solidFill>
                      </w14:textFill>
                    </w:rPr>
                    <w:t>废切削液</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0"/>
                      <w:sz w:val="21"/>
                      <w:szCs w:val="21"/>
                      <w:highlight w:val="none"/>
                      <w:lang w:eastAsia="zh-CN"/>
                      <w14:textFill>
                        <w14:solidFill>
                          <w14:schemeClr w14:val="tx1"/>
                        </w14:solidFill>
                      </w14:textFill>
                    </w:rPr>
                    <w:t>磨削液</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0"/>
                      <w:sz w:val="21"/>
                      <w:szCs w:val="21"/>
                      <w:highlight w:val="none"/>
                      <w:lang w:eastAsia="zh-CN"/>
                      <w14:textFill>
                        <w14:solidFill>
                          <w14:schemeClr w14:val="tx1"/>
                        </w14:solidFill>
                      </w14:textFill>
                    </w:rPr>
                    <w:t>冷却液</w:t>
                  </w:r>
                </w:p>
              </w:tc>
              <w:tc>
                <w:tcPr>
                  <w:tcW w:w="1170" w:type="dxa"/>
                  <w:vAlign w:val="center"/>
                </w:tcPr>
                <w:p w14:paraId="3497CB5A">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0.4</w:t>
                  </w:r>
                </w:p>
              </w:tc>
              <w:tc>
                <w:tcPr>
                  <w:tcW w:w="1335" w:type="dxa"/>
                  <w:vAlign w:val="center"/>
                </w:tcPr>
                <w:p w14:paraId="3D2A18B3">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5.8</w:t>
                  </w:r>
                </w:p>
              </w:tc>
              <w:tc>
                <w:tcPr>
                  <w:tcW w:w="945" w:type="dxa"/>
                  <w:vAlign w:val="center"/>
                </w:tcPr>
                <w:p w14:paraId="6E57C09B">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470" w:type="dxa"/>
                  <w:vAlign w:val="center"/>
                </w:tcPr>
                <w:p w14:paraId="3F153BCC">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6.2</w:t>
                  </w:r>
                </w:p>
              </w:tc>
              <w:tc>
                <w:tcPr>
                  <w:tcW w:w="1156" w:type="dxa"/>
                  <w:vAlign w:val="center"/>
                </w:tcPr>
                <w:p w14:paraId="7376A92F">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+5.8</w:t>
                  </w:r>
                </w:p>
              </w:tc>
            </w:tr>
            <w:tr w14:paraId="085856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4" w:type="dxa"/>
                  <w:vMerge w:val="continue"/>
                  <w:vAlign w:val="center"/>
                </w:tcPr>
                <w:p w14:paraId="60DC1339">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p>
              </w:tc>
              <w:tc>
                <w:tcPr>
                  <w:tcW w:w="1350" w:type="dxa"/>
                  <w:vAlign w:val="center"/>
                </w:tcPr>
                <w:p w14:paraId="06453263">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废胶桶</w:t>
                  </w:r>
                </w:p>
              </w:tc>
              <w:tc>
                <w:tcPr>
                  <w:tcW w:w="1170" w:type="dxa"/>
                  <w:vAlign w:val="center"/>
                </w:tcPr>
                <w:p w14:paraId="31CBA2C6">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0.5</w:t>
                  </w:r>
                </w:p>
              </w:tc>
              <w:tc>
                <w:tcPr>
                  <w:tcW w:w="1335" w:type="dxa"/>
                  <w:vAlign w:val="center"/>
                </w:tcPr>
                <w:p w14:paraId="699276C2">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0.5</w:t>
                  </w:r>
                </w:p>
              </w:tc>
              <w:tc>
                <w:tcPr>
                  <w:tcW w:w="945" w:type="dxa"/>
                  <w:vAlign w:val="center"/>
                </w:tcPr>
                <w:p w14:paraId="00596217">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470" w:type="dxa"/>
                  <w:vAlign w:val="center"/>
                </w:tcPr>
                <w:p w14:paraId="4DC0C701">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1</w:t>
                  </w:r>
                </w:p>
              </w:tc>
              <w:tc>
                <w:tcPr>
                  <w:tcW w:w="1156" w:type="dxa"/>
                  <w:vAlign w:val="center"/>
                </w:tcPr>
                <w:p w14:paraId="5C4276E6">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+0.5</w:t>
                  </w:r>
                </w:p>
              </w:tc>
            </w:tr>
            <w:tr w14:paraId="789A06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4" w:type="dxa"/>
                  <w:vMerge w:val="continue"/>
                  <w:vAlign w:val="center"/>
                </w:tcPr>
                <w:p w14:paraId="3C16A410">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p>
              </w:tc>
              <w:tc>
                <w:tcPr>
                  <w:tcW w:w="1350" w:type="dxa"/>
                  <w:vAlign w:val="center"/>
                </w:tcPr>
                <w:p w14:paraId="7C56AB0A">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废有机溶剂空瓶</w:t>
                  </w:r>
                </w:p>
              </w:tc>
              <w:tc>
                <w:tcPr>
                  <w:tcW w:w="1170" w:type="dxa"/>
                  <w:vAlign w:val="center"/>
                </w:tcPr>
                <w:p w14:paraId="21B77613">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0.027</w:t>
                  </w:r>
                </w:p>
              </w:tc>
              <w:tc>
                <w:tcPr>
                  <w:tcW w:w="1335" w:type="dxa"/>
                  <w:vAlign w:val="center"/>
                </w:tcPr>
                <w:p w14:paraId="32D57574">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0.1</w:t>
                  </w:r>
                </w:p>
              </w:tc>
              <w:tc>
                <w:tcPr>
                  <w:tcW w:w="945" w:type="dxa"/>
                  <w:vAlign w:val="center"/>
                </w:tcPr>
                <w:p w14:paraId="22B465D4">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470" w:type="dxa"/>
                  <w:vAlign w:val="center"/>
                </w:tcPr>
                <w:p w14:paraId="2EA28B09">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0.127</w:t>
                  </w:r>
                </w:p>
              </w:tc>
              <w:tc>
                <w:tcPr>
                  <w:tcW w:w="1156" w:type="dxa"/>
                  <w:vAlign w:val="center"/>
                </w:tcPr>
                <w:p w14:paraId="026EC695">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+0.1</w:t>
                  </w:r>
                </w:p>
              </w:tc>
            </w:tr>
            <w:tr w14:paraId="260663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4" w:type="dxa"/>
                  <w:vMerge w:val="continue"/>
                  <w:vAlign w:val="center"/>
                </w:tcPr>
                <w:p w14:paraId="27B4BE61">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p>
              </w:tc>
              <w:tc>
                <w:tcPr>
                  <w:tcW w:w="1350" w:type="dxa"/>
                  <w:vAlign w:val="center"/>
                </w:tcPr>
                <w:p w14:paraId="2EC72209">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废晶体</w:t>
                  </w:r>
                </w:p>
              </w:tc>
              <w:tc>
                <w:tcPr>
                  <w:tcW w:w="1170" w:type="dxa"/>
                  <w:vAlign w:val="center"/>
                </w:tcPr>
                <w:p w14:paraId="0825762F">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0.2</w:t>
                  </w:r>
                </w:p>
              </w:tc>
              <w:tc>
                <w:tcPr>
                  <w:tcW w:w="1335" w:type="dxa"/>
                  <w:vAlign w:val="center"/>
                </w:tcPr>
                <w:p w14:paraId="02E49DEA">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945" w:type="dxa"/>
                  <w:vAlign w:val="center"/>
                </w:tcPr>
                <w:p w14:paraId="41051B91">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470" w:type="dxa"/>
                  <w:vAlign w:val="center"/>
                </w:tcPr>
                <w:p w14:paraId="7795815C">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0.2</w:t>
                  </w:r>
                </w:p>
              </w:tc>
              <w:tc>
                <w:tcPr>
                  <w:tcW w:w="1156" w:type="dxa"/>
                  <w:vAlign w:val="center"/>
                </w:tcPr>
                <w:p w14:paraId="0283151F">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w:t>
                  </w:r>
                </w:p>
              </w:tc>
            </w:tr>
            <w:tr w14:paraId="7BCFB6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4" w:type="dxa"/>
                  <w:vMerge w:val="continue"/>
                  <w:vAlign w:val="center"/>
                </w:tcPr>
                <w:p w14:paraId="6CD60DF1">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p>
              </w:tc>
              <w:tc>
                <w:tcPr>
                  <w:tcW w:w="1350" w:type="dxa"/>
                  <w:vAlign w:val="center"/>
                </w:tcPr>
                <w:p w14:paraId="001EDDF4">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熔料炉渣</w:t>
                  </w:r>
                </w:p>
              </w:tc>
              <w:tc>
                <w:tcPr>
                  <w:tcW w:w="1170" w:type="dxa"/>
                  <w:vAlign w:val="center"/>
                </w:tcPr>
                <w:p w14:paraId="4A34AD34">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0.5</w:t>
                  </w:r>
                </w:p>
              </w:tc>
              <w:tc>
                <w:tcPr>
                  <w:tcW w:w="1335" w:type="dxa"/>
                  <w:vAlign w:val="center"/>
                </w:tcPr>
                <w:p w14:paraId="3823885C">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945" w:type="dxa"/>
                  <w:vAlign w:val="center"/>
                </w:tcPr>
                <w:p w14:paraId="2B67B2A4">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470" w:type="dxa"/>
                  <w:vAlign w:val="center"/>
                </w:tcPr>
                <w:p w14:paraId="187FB50D">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0.5</w:t>
                  </w:r>
                </w:p>
              </w:tc>
              <w:tc>
                <w:tcPr>
                  <w:tcW w:w="1156" w:type="dxa"/>
                  <w:vAlign w:val="center"/>
                </w:tcPr>
                <w:p w14:paraId="7CA3FAB2">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w:t>
                  </w:r>
                </w:p>
              </w:tc>
            </w:tr>
            <w:tr w14:paraId="423EA6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4" w:type="dxa"/>
                  <w:vMerge w:val="continue"/>
                  <w:vAlign w:val="center"/>
                </w:tcPr>
                <w:p w14:paraId="79A9EC05">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p>
              </w:tc>
              <w:tc>
                <w:tcPr>
                  <w:tcW w:w="1350" w:type="dxa"/>
                  <w:vAlign w:val="center"/>
                </w:tcPr>
                <w:p w14:paraId="5B001C25">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清洗废液</w:t>
                  </w:r>
                </w:p>
              </w:tc>
              <w:tc>
                <w:tcPr>
                  <w:tcW w:w="1170" w:type="dxa"/>
                  <w:vAlign w:val="center"/>
                </w:tcPr>
                <w:p w14:paraId="18B3FBA4">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113.44</w:t>
                  </w:r>
                </w:p>
              </w:tc>
              <w:tc>
                <w:tcPr>
                  <w:tcW w:w="1335" w:type="dxa"/>
                  <w:vAlign w:val="center"/>
                </w:tcPr>
                <w:p w14:paraId="7CD429C9">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10.82</w:t>
                  </w:r>
                </w:p>
              </w:tc>
              <w:tc>
                <w:tcPr>
                  <w:tcW w:w="945" w:type="dxa"/>
                  <w:vAlign w:val="center"/>
                </w:tcPr>
                <w:p w14:paraId="7D5DD0E3">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470" w:type="dxa"/>
                  <w:vAlign w:val="center"/>
                </w:tcPr>
                <w:p w14:paraId="04A1786A">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124.26</w:t>
                  </w:r>
                </w:p>
              </w:tc>
              <w:tc>
                <w:tcPr>
                  <w:tcW w:w="1156" w:type="dxa"/>
                  <w:vAlign w:val="center"/>
                </w:tcPr>
                <w:p w14:paraId="0EA8109B">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+10.82</w:t>
                  </w:r>
                </w:p>
              </w:tc>
            </w:tr>
            <w:tr w14:paraId="3AA32F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4" w:type="dxa"/>
                  <w:vMerge w:val="continue"/>
                  <w:vAlign w:val="center"/>
                </w:tcPr>
                <w:p w14:paraId="7966AC97">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p>
              </w:tc>
              <w:tc>
                <w:tcPr>
                  <w:tcW w:w="1350" w:type="dxa"/>
                  <w:vAlign w:val="center"/>
                </w:tcPr>
                <w:p w14:paraId="79A41C6E">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废活性炭</w:t>
                  </w:r>
                </w:p>
              </w:tc>
              <w:tc>
                <w:tcPr>
                  <w:tcW w:w="1170" w:type="dxa"/>
                  <w:vAlign w:val="center"/>
                </w:tcPr>
                <w:p w14:paraId="7F3A9695">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24</w:t>
                  </w:r>
                </w:p>
              </w:tc>
              <w:tc>
                <w:tcPr>
                  <w:tcW w:w="1335" w:type="dxa"/>
                  <w:vAlign w:val="center"/>
                </w:tcPr>
                <w:p w14:paraId="7618895E">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55.4631</w:t>
                  </w:r>
                </w:p>
              </w:tc>
              <w:tc>
                <w:tcPr>
                  <w:tcW w:w="945" w:type="dxa"/>
                  <w:vAlign w:val="center"/>
                </w:tcPr>
                <w:p w14:paraId="7FF7D1B5">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470" w:type="dxa"/>
                  <w:vAlign w:val="center"/>
                </w:tcPr>
                <w:p w14:paraId="5B61DBBD">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79.4631</w:t>
                  </w:r>
                </w:p>
              </w:tc>
              <w:tc>
                <w:tcPr>
                  <w:tcW w:w="1156" w:type="dxa"/>
                  <w:vAlign w:val="center"/>
                </w:tcPr>
                <w:p w14:paraId="0D91306A">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+55.4631</w:t>
                  </w:r>
                </w:p>
              </w:tc>
            </w:tr>
            <w:tr w14:paraId="01EB69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4" w:type="dxa"/>
                  <w:vMerge w:val="continue"/>
                  <w:vAlign w:val="center"/>
                </w:tcPr>
                <w:p w14:paraId="2DE3FBDC">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p>
              </w:tc>
              <w:tc>
                <w:tcPr>
                  <w:tcW w:w="1350" w:type="dxa"/>
                  <w:vAlign w:val="center"/>
                </w:tcPr>
                <w:p w14:paraId="7BD4C142">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含油抹布</w:t>
                  </w:r>
                </w:p>
              </w:tc>
              <w:tc>
                <w:tcPr>
                  <w:tcW w:w="1170" w:type="dxa"/>
                  <w:vAlign w:val="center"/>
                </w:tcPr>
                <w:p w14:paraId="6D17425C">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0.002</w:t>
                  </w:r>
                </w:p>
              </w:tc>
              <w:tc>
                <w:tcPr>
                  <w:tcW w:w="1335" w:type="dxa"/>
                  <w:vAlign w:val="center"/>
                </w:tcPr>
                <w:p w14:paraId="56087006">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0.01</w:t>
                  </w:r>
                </w:p>
              </w:tc>
              <w:tc>
                <w:tcPr>
                  <w:tcW w:w="945" w:type="dxa"/>
                  <w:vAlign w:val="center"/>
                </w:tcPr>
                <w:p w14:paraId="4573C5C0">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470" w:type="dxa"/>
                  <w:vAlign w:val="center"/>
                </w:tcPr>
                <w:p w14:paraId="1A8F4736">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lang w:val="en-US"/>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0.012</w:t>
                  </w:r>
                </w:p>
              </w:tc>
              <w:tc>
                <w:tcPr>
                  <w:tcW w:w="1156" w:type="dxa"/>
                  <w:vAlign w:val="center"/>
                </w:tcPr>
                <w:p w14:paraId="2EFA8D3A">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lang w:val="en-US"/>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+0.01</w:t>
                  </w:r>
                </w:p>
              </w:tc>
            </w:tr>
            <w:tr w14:paraId="608691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4" w:type="dxa"/>
                  <w:vMerge w:val="continue"/>
                  <w:vAlign w:val="center"/>
                </w:tcPr>
                <w:p w14:paraId="568F7048">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p>
              </w:tc>
              <w:tc>
                <w:tcPr>
                  <w:tcW w:w="1350" w:type="dxa"/>
                  <w:vAlign w:val="center"/>
                </w:tcPr>
                <w:p w14:paraId="21822C80">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刻蚀废液</w:t>
                  </w:r>
                </w:p>
              </w:tc>
              <w:tc>
                <w:tcPr>
                  <w:tcW w:w="1170" w:type="dxa"/>
                  <w:vAlign w:val="center"/>
                </w:tcPr>
                <w:p w14:paraId="5633C69C">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335" w:type="dxa"/>
                  <w:vAlign w:val="center"/>
                </w:tcPr>
                <w:p w14:paraId="6B7E4835">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1800</w:t>
                  </w:r>
                </w:p>
              </w:tc>
              <w:tc>
                <w:tcPr>
                  <w:tcW w:w="945" w:type="dxa"/>
                  <w:vAlign w:val="center"/>
                </w:tcPr>
                <w:p w14:paraId="0471D6DA">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470" w:type="dxa"/>
                  <w:vAlign w:val="center"/>
                </w:tcPr>
                <w:p w14:paraId="5DFEF066">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1800</w:t>
                  </w:r>
                </w:p>
              </w:tc>
              <w:tc>
                <w:tcPr>
                  <w:tcW w:w="1156" w:type="dxa"/>
                  <w:vAlign w:val="center"/>
                </w:tcPr>
                <w:p w14:paraId="489A919C">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+1800</w:t>
                  </w:r>
                </w:p>
              </w:tc>
            </w:tr>
            <w:tr w14:paraId="351AFB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4" w:type="dxa"/>
                  <w:vMerge w:val="continue"/>
                  <w:vAlign w:val="center"/>
                </w:tcPr>
                <w:p w14:paraId="73B1F898">
                  <w:pPr>
                    <w:pStyle w:val="57"/>
                    <w:spacing w:beforeLines="0" w:afterLines="0" w:line="240" w:lineRule="auto"/>
                    <w:rPr>
                      <w:rFonts w:hint="default" w:ascii="Times New Roman" w:hAnsi="Times New Roman" w:eastAsia="宋体" w:cs="Times New Roman"/>
                      <w:snapToGrid w:val="0"/>
                      <w:color w:val="000000" w:themeColor="text1"/>
                      <w:spacing w:val="0"/>
                      <w:kern w:val="21"/>
                      <w:sz w:val="21"/>
                      <w:szCs w:val="21"/>
                      <w:highlight w:val="none"/>
                      <w14:textFill>
                        <w14:solidFill>
                          <w14:schemeClr w14:val="tx1"/>
                        </w14:solidFill>
                      </w14:textFill>
                    </w:rPr>
                  </w:pPr>
                </w:p>
              </w:tc>
              <w:tc>
                <w:tcPr>
                  <w:tcW w:w="1350" w:type="dxa"/>
                  <w:vAlign w:val="center"/>
                </w:tcPr>
                <w:p w14:paraId="30557A3A">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污水处理站污泥</w:t>
                  </w:r>
                </w:p>
              </w:tc>
              <w:tc>
                <w:tcPr>
                  <w:tcW w:w="1170" w:type="dxa"/>
                  <w:vAlign w:val="center"/>
                </w:tcPr>
                <w:p w14:paraId="2A832C5D">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335" w:type="dxa"/>
                  <w:vAlign w:val="center"/>
                </w:tcPr>
                <w:p w14:paraId="71B9E471">
                  <w:pPr>
                    <w:jc w:val="cente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40</w:t>
                  </w:r>
                </w:p>
              </w:tc>
              <w:tc>
                <w:tcPr>
                  <w:tcW w:w="945" w:type="dxa"/>
                  <w:vAlign w:val="center"/>
                </w:tcPr>
                <w:p w14:paraId="3D9E863C">
                  <w:pPr>
                    <w:jc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w:t>
                  </w:r>
                </w:p>
              </w:tc>
              <w:tc>
                <w:tcPr>
                  <w:tcW w:w="1470" w:type="dxa"/>
                  <w:vAlign w:val="center"/>
                </w:tcPr>
                <w:p w14:paraId="3B4390A5">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40</w:t>
                  </w:r>
                </w:p>
              </w:tc>
              <w:tc>
                <w:tcPr>
                  <w:tcW w:w="1156" w:type="dxa"/>
                  <w:vAlign w:val="center"/>
                </w:tcPr>
                <w:p w14:paraId="22B16A78">
                  <w:pPr>
                    <w:keepNext w:val="0"/>
                    <w:keepLines w:val="0"/>
                    <w:widowControl/>
                    <w:suppressLineNumbers w:val="0"/>
                    <w:jc w:val="center"/>
                    <w:textAlignment w:val="cente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spacing w:val="0"/>
                      <w:kern w:val="0"/>
                      <w:sz w:val="21"/>
                      <w:szCs w:val="21"/>
                      <w:highlight w:val="none"/>
                      <w:u w:val="none"/>
                      <w:lang w:val="en-US" w:eastAsia="zh-CN" w:bidi="ar"/>
                      <w14:textFill>
                        <w14:solidFill>
                          <w14:schemeClr w14:val="tx1"/>
                        </w14:solidFill>
                      </w14:textFill>
                    </w:rPr>
                    <w:t>+40</w:t>
                  </w:r>
                </w:p>
              </w:tc>
            </w:tr>
          </w:tbl>
          <w:p w14:paraId="10B2F7F2">
            <w:pPr>
              <w:pStyle w:val="66"/>
              <w:ind w:firstLine="420"/>
              <w:rPr>
                <w:rFonts w:hint="eastAsia"/>
                <w:color w:val="000000" w:themeColor="text1"/>
                <w:sz w:val="24"/>
                <w:szCs w:val="32"/>
                <w:highlight w:val="none"/>
                <w:lang w:val="en-US" w:eastAsia="zh-CN"/>
                <w14:textFill>
                  <w14:solidFill>
                    <w14:schemeClr w14:val="tx1"/>
                  </w14:solidFill>
                </w14:textFill>
              </w:rPr>
            </w:pPr>
          </w:p>
          <w:p w14:paraId="3A51D5BE">
            <w:pPr>
              <w:pStyle w:val="66"/>
              <w:ind w:firstLine="420"/>
              <w:rPr>
                <w:rFonts w:hint="eastAsia"/>
                <w:color w:val="000000" w:themeColor="text1"/>
                <w:sz w:val="24"/>
                <w:szCs w:val="32"/>
                <w:highlight w:val="none"/>
                <w:lang w:val="en-US" w:eastAsia="zh-CN"/>
                <w14:textFill>
                  <w14:solidFill>
                    <w14:schemeClr w14:val="tx1"/>
                  </w14:solidFill>
                </w14:textFill>
              </w:rPr>
            </w:pPr>
          </w:p>
          <w:p w14:paraId="24E52E28">
            <w:pPr>
              <w:pStyle w:val="66"/>
              <w:ind w:firstLine="420"/>
              <w:rPr>
                <w:rFonts w:hint="eastAsia"/>
                <w:color w:val="000000" w:themeColor="text1"/>
                <w:sz w:val="24"/>
                <w:szCs w:val="32"/>
                <w:highlight w:val="none"/>
                <w:lang w:val="en-US" w:eastAsia="zh-CN"/>
                <w14:textFill>
                  <w14:solidFill>
                    <w14:schemeClr w14:val="tx1"/>
                  </w14:solidFill>
                </w14:textFill>
              </w:rPr>
            </w:pPr>
          </w:p>
          <w:p w14:paraId="07C9A74B">
            <w:pPr>
              <w:pStyle w:val="66"/>
              <w:ind w:firstLine="420"/>
              <w:rPr>
                <w:rFonts w:hint="eastAsia"/>
                <w:color w:val="000000" w:themeColor="text1"/>
                <w:sz w:val="24"/>
                <w:szCs w:val="32"/>
                <w:highlight w:val="none"/>
                <w:lang w:val="en-US" w:eastAsia="zh-CN"/>
                <w14:textFill>
                  <w14:solidFill>
                    <w14:schemeClr w14:val="tx1"/>
                  </w14:solidFill>
                </w14:textFill>
              </w:rPr>
            </w:pPr>
          </w:p>
          <w:p w14:paraId="35B4065F">
            <w:pPr>
              <w:pStyle w:val="66"/>
              <w:ind w:firstLine="420"/>
              <w:rPr>
                <w:rFonts w:hint="eastAsia"/>
                <w:color w:val="000000" w:themeColor="text1"/>
                <w:sz w:val="24"/>
                <w:szCs w:val="32"/>
                <w:highlight w:val="none"/>
                <w:lang w:val="en-US" w:eastAsia="zh-CN"/>
                <w14:textFill>
                  <w14:solidFill>
                    <w14:schemeClr w14:val="tx1"/>
                  </w14:solidFill>
                </w14:textFill>
              </w:rPr>
            </w:pPr>
          </w:p>
          <w:p w14:paraId="02B1A816">
            <w:pPr>
              <w:pStyle w:val="66"/>
              <w:ind w:firstLine="420"/>
              <w:rPr>
                <w:rFonts w:hint="eastAsia"/>
                <w:color w:val="000000" w:themeColor="text1"/>
                <w:sz w:val="24"/>
                <w:szCs w:val="32"/>
                <w:highlight w:val="none"/>
                <w:lang w:val="en-US" w:eastAsia="zh-CN"/>
                <w14:textFill>
                  <w14:solidFill>
                    <w14:schemeClr w14:val="tx1"/>
                  </w14:solidFill>
                </w14:textFill>
              </w:rPr>
            </w:pPr>
          </w:p>
          <w:p w14:paraId="545E1B50">
            <w:pPr>
              <w:pStyle w:val="66"/>
              <w:ind w:firstLine="420"/>
              <w:rPr>
                <w:rFonts w:hint="eastAsia"/>
                <w:color w:val="000000" w:themeColor="text1"/>
                <w:sz w:val="24"/>
                <w:szCs w:val="32"/>
                <w:highlight w:val="none"/>
                <w:lang w:val="en-US" w:eastAsia="zh-CN"/>
                <w14:textFill>
                  <w14:solidFill>
                    <w14:schemeClr w14:val="tx1"/>
                  </w14:solidFill>
                </w14:textFill>
              </w:rPr>
            </w:pPr>
          </w:p>
          <w:p w14:paraId="47208CDD">
            <w:pPr>
              <w:pStyle w:val="66"/>
              <w:ind w:firstLine="420"/>
              <w:rPr>
                <w:rFonts w:hint="eastAsia"/>
                <w:color w:val="000000" w:themeColor="text1"/>
                <w:sz w:val="24"/>
                <w:szCs w:val="32"/>
                <w:highlight w:val="none"/>
                <w:lang w:val="en-US" w:eastAsia="zh-CN"/>
                <w14:textFill>
                  <w14:solidFill>
                    <w14:schemeClr w14:val="tx1"/>
                  </w14:solidFill>
                </w14:textFill>
              </w:rPr>
            </w:pPr>
          </w:p>
          <w:p w14:paraId="7603374C">
            <w:pPr>
              <w:pStyle w:val="66"/>
              <w:ind w:firstLine="420"/>
              <w:rPr>
                <w:rFonts w:hint="eastAsia"/>
                <w:color w:val="000000" w:themeColor="text1"/>
                <w:sz w:val="24"/>
                <w:szCs w:val="32"/>
                <w:highlight w:val="none"/>
                <w:lang w:val="en-US" w:eastAsia="zh-CN"/>
                <w14:textFill>
                  <w14:solidFill>
                    <w14:schemeClr w14:val="tx1"/>
                  </w14:solidFill>
                </w14:textFill>
              </w:rPr>
            </w:pPr>
          </w:p>
          <w:p w14:paraId="4EC07657">
            <w:pPr>
              <w:pStyle w:val="66"/>
              <w:ind w:firstLine="420"/>
              <w:rPr>
                <w:rFonts w:hint="eastAsia"/>
                <w:color w:val="000000" w:themeColor="text1"/>
                <w:sz w:val="24"/>
                <w:szCs w:val="32"/>
                <w:highlight w:val="none"/>
                <w:lang w:val="en-US" w:eastAsia="zh-CN"/>
                <w14:textFill>
                  <w14:solidFill>
                    <w14:schemeClr w14:val="tx1"/>
                  </w14:solidFill>
                </w14:textFill>
              </w:rPr>
            </w:pPr>
          </w:p>
          <w:p w14:paraId="6F727263">
            <w:pPr>
              <w:pStyle w:val="66"/>
              <w:ind w:firstLine="420"/>
              <w:rPr>
                <w:rFonts w:hint="eastAsia"/>
                <w:color w:val="000000" w:themeColor="text1"/>
                <w:sz w:val="24"/>
                <w:szCs w:val="32"/>
                <w:highlight w:val="none"/>
                <w:lang w:val="en-US" w:eastAsia="zh-CN"/>
                <w14:textFill>
                  <w14:solidFill>
                    <w14:schemeClr w14:val="tx1"/>
                  </w14:solidFill>
                </w14:textFill>
              </w:rPr>
            </w:pPr>
          </w:p>
          <w:p w14:paraId="1A75201A">
            <w:pPr>
              <w:pStyle w:val="66"/>
              <w:ind w:firstLine="420"/>
              <w:rPr>
                <w:rFonts w:hint="eastAsia"/>
                <w:color w:val="000000" w:themeColor="text1"/>
                <w:sz w:val="24"/>
                <w:szCs w:val="32"/>
                <w:highlight w:val="none"/>
                <w:lang w:val="en-US" w:eastAsia="zh-CN"/>
                <w14:textFill>
                  <w14:solidFill>
                    <w14:schemeClr w14:val="tx1"/>
                  </w14:solidFill>
                </w14:textFill>
              </w:rPr>
            </w:pPr>
          </w:p>
          <w:p w14:paraId="770F93EC">
            <w:pPr>
              <w:pStyle w:val="66"/>
              <w:ind w:firstLine="420"/>
              <w:rPr>
                <w:rFonts w:hint="eastAsia"/>
                <w:color w:val="000000" w:themeColor="text1"/>
                <w:sz w:val="24"/>
                <w:szCs w:val="32"/>
                <w:highlight w:val="none"/>
                <w:lang w:val="en-US" w:eastAsia="zh-CN"/>
                <w14:textFill>
                  <w14:solidFill>
                    <w14:schemeClr w14:val="tx1"/>
                  </w14:solidFill>
                </w14:textFill>
              </w:rPr>
            </w:pPr>
          </w:p>
          <w:p w14:paraId="2F2A0753">
            <w:pPr>
              <w:pStyle w:val="66"/>
              <w:ind w:firstLine="420"/>
              <w:rPr>
                <w:rFonts w:hint="eastAsia"/>
                <w:color w:val="000000" w:themeColor="text1"/>
                <w:sz w:val="24"/>
                <w:szCs w:val="32"/>
                <w:highlight w:val="none"/>
                <w:lang w:val="en-US" w:eastAsia="zh-CN"/>
                <w14:textFill>
                  <w14:solidFill>
                    <w14:schemeClr w14:val="tx1"/>
                  </w14:solidFill>
                </w14:textFill>
              </w:rPr>
            </w:pPr>
          </w:p>
          <w:p w14:paraId="24E05B70">
            <w:pPr>
              <w:pStyle w:val="66"/>
              <w:ind w:firstLine="420"/>
              <w:rPr>
                <w:rFonts w:hint="eastAsia"/>
                <w:color w:val="000000" w:themeColor="text1"/>
                <w:sz w:val="24"/>
                <w:szCs w:val="32"/>
                <w:highlight w:val="none"/>
                <w:lang w:val="en-US" w:eastAsia="zh-CN"/>
                <w14:textFill>
                  <w14:solidFill>
                    <w14:schemeClr w14:val="tx1"/>
                  </w14:solidFill>
                </w14:textFill>
              </w:rPr>
            </w:pPr>
          </w:p>
          <w:p w14:paraId="42DF2263">
            <w:pPr>
              <w:pStyle w:val="66"/>
              <w:ind w:firstLine="420"/>
              <w:rPr>
                <w:rFonts w:hint="eastAsia"/>
                <w:color w:val="000000" w:themeColor="text1"/>
                <w:sz w:val="24"/>
                <w:szCs w:val="32"/>
                <w:highlight w:val="none"/>
                <w:lang w:val="en-US" w:eastAsia="zh-CN"/>
                <w14:textFill>
                  <w14:solidFill>
                    <w14:schemeClr w14:val="tx1"/>
                  </w14:solidFill>
                </w14:textFill>
              </w:rPr>
            </w:pPr>
          </w:p>
        </w:tc>
      </w:tr>
    </w:tbl>
    <w:p w14:paraId="77E35ED5">
      <w:pPr>
        <w:pStyle w:val="26"/>
        <w:widowControl w:val="0"/>
        <w:spacing w:before="0" w:beforeAutospacing="0" w:after="0" w:afterAutospacing="0" w:line="360" w:lineRule="auto"/>
        <w:ind w:firstLine="600" w:firstLineChars="200"/>
        <w:jc w:val="both"/>
        <w:rPr>
          <w:rFonts w:ascii="黑体" w:hAnsi="黑体" w:eastAsia="黑体"/>
          <w:snapToGrid w:val="0"/>
          <w:color w:val="000000" w:themeColor="text1"/>
          <w:sz w:val="30"/>
          <w:szCs w:val="30"/>
          <w:highlight w:val="none"/>
          <w14:textFill>
            <w14:solidFill>
              <w14:schemeClr w14:val="tx1"/>
            </w14:solidFill>
          </w14:textFill>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35834822">
      <w:pPr>
        <w:pStyle w:val="26"/>
        <w:jc w:val="center"/>
        <w:outlineLvl w:val="0"/>
        <w:rPr>
          <w:rFonts w:ascii="黑体" w:hAnsi="黑体" w:eastAsia="黑体"/>
          <w:snapToGrid w:val="0"/>
          <w:color w:val="000000" w:themeColor="text1"/>
          <w:sz w:val="30"/>
          <w:szCs w:val="30"/>
          <w:highlight w:val="none"/>
          <w14:textFill>
            <w14:solidFill>
              <w14:schemeClr w14:val="tx1"/>
            </w14:solidFill>
          </w14:textFill>
        </w:rPr>
      </w:pPr>
      <w:bookmarkStart w:id="14" w:name="_Toc26724"/>
      <w:r>
        <w:rPr>
          <w:rFonts w:hint="eastAsia" w:ascii="黑体" w:hAnsi="黑体" w:eastAsia="黑体"/>
          <w:snapToGrid w:val="0"/>
          <w:color w:val="000000" w:themeColor="text1"/>
          <w:sz w:val="30"/>
          <w:szCs w:val="30"/>
          <w:highlight w:val="none"/>
          <w14:textFill>
            <w14:solidFill>
              <w14:schemeClr w14:val="tx1"/>
            </w14:solidFill>
          </w14:textFill>
        </w:rPr>
        <w:t>五、</w:t>
      </w:r>
      <w:bookmarkStart w:id="15" w:name="_Hlk54167917"/>
      <w:r>
        <w:rPr>
          <w:rFonts w:hint="eastAsia" w:ascii="黑体" w:hAnsi="黑体" w:eastAsia="黑体"/>
          <w:snapToGrid w:val="0"/>
          <w:color w:val="000000" w:themeColor="text1"/>
          <w:sz w:val="30"/>
          <w:szCs w:val="30"/>
          <w:highlight w:val="none"/>
          <w14:textFill>
            <w14:solidFill>
              <w14:schemeClr w14:val="tx1"/>
            </w14:solidFill>
          </w14:textFill>
        </w:rPr>
        <w:t>环境保护措施监督检查清单</w:t>
      </w:r>
      <w:bookmarkEnd w:id="14"/>
      <w:bookmarkEnd w:id="15"/>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1112"/>
        <w:gridCol w:w="1477"/>
        <w:gridCol w:w="1305"/>
        <w:gridCol w:w="2115"/>
        <w:gridCol w:w="2791"/>
      </w:tblGrid>
      <w:tr w14:paraId="42886D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tblHeader/>
          <w:jc w:val="center"/>
        </w:trPr>
        <w:tc>
          <w:tcPr>
            <w:tcW w:w="1112" w:type="dxa"/>
            <w:tcBorders>
              <w:tl2br w:val="single" w:color="auto" w:sz="4" w:space="0"/>
            </w:tcBorders>
          </w:tcPr>
          <w:p w14:paraId="08730969">
            <w:pPr>
              <w:adjustRightInd w:val="0"/>
              <w:snapToGrid w:val="0"/>
              <w:jc w:val="righ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内容</w:t>
            </w:r>
          </w:p>
          <w:p w14:paraId="403CB871">
            <w:pPr>
              <w:adjustRightInd w:val="0"/>
              <w:snapToGrid w:val="0"/>
              <w:ind w:right="420"/>
              <w:jc w:val="righ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要素</w:t>
            </w:r>
          </w:p>
        </w:tc>
        <w:tc>
          <w:tcPr>
            <w:tcW w:w="1477" w:type="dxa"/>
            <w:vAlign w:val="center"/>
          </w:tcPr>
          <w:p w14:paraId="6C7FD923">
            <w:pPr>
              <w:adjustRightInd w:val="0"/>
              <w:snapToGrid w:val="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排放口(编号、名称)/污染源</w:t>
            </w:r>
          </w:p>
        </w:tc>
        <w:tc>
          <w:tcPr>
            <w:tcW w:w="1305" w:type="dxa"/>
            <w:vAlign w:val="center"/>
          </w:tcPr>
          <w:p w14:paraId="7FB9F50B">
            <w:pPr>
              <w:adjustRightInd w:val="0"/>
              <w:snapToGrid w:val="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污染物项目</w:t>
            </w:r>
          </w:p>
        </w:tc>
        <w:tc>
          <w:tcPr>
            <w:tcW w:w="2115" w:type="dxa"/>
            <w:vAlign w:val="center"/>
          </w:tcPr>
          <w:p w14:paraId="1BFAA567">
            <w:pPr>
              <w:adjustRightInd w:val="0"/>
              <w:snapToGrid w:val="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环境保护措施</w:t>
            </w:r>
          </w:p>
        </w:tc>
        <w:tc>
          <w:tcPr>
            <w:tcW w:w="2791" w:type="dxa"/>
            <w:vAlign w:val="center"/>
          </w:tcPr>
          <w:p w14:paraId="79A82460">
            <w:pPr>
              <w:adjustRightInd w:val="0"/>
              <w:snapToGrid w:val="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执行标准</w:t>
            </w:r>
          </w:p>
        </w:tc>
      </w:tr>
      <w:tr w14:paraId="52E904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73" w:hRule="atLeast"/>
          <w:jc w:val="center"/>
        </w:trPr>
        <w:tc>
          <w:tcPr>
            <w:tcW w:w="1112" w:type="dxa"/>
            <w:vMerge w:val="restart"/>
            <w:vAlign w:val="center"/>
          </w:tcPr>
          <w:p w14:paraId="06DA3CC6">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大气环境</w:t>
            </w:r>
          </w:p>
        </w:tc>
        <w:tc>
          <w:tcPr>
            <w:tcW w:w="1477" w:type="dxa"/>
            <w:vAlign w:val="center"/>
          </w:tcPr>
          <w:p w14:paraId="7D5A336B">
            <w:pPr>
              <w:adjustRightInd w:val="0"/>
              <w:snapToGrid w:val="0"/>
              <w:jc w:val="center"/>
              <w:rPr>
                <w:rFonts w:hint="eastAsia" w:eastAsia="宋体"/>
                <w:color w:val="000000" w:themeColor="text1"/>
                <w:sz w:val="21"/>
                <w:szCs w:val="21"/>
                <w:highlight w:val="none"/>
                <w:lang w:eastAsia="zh-CN"/>
                <w14:textFill>
                  <w14:solidFill>
                    <w14:schemeClr w14:val="tx1"/>
                  </w14:solidFill>
                </w14:textFill>
              </w:rPr>
            </w:pPr>
            <w:r>
              <w:rPr>
                <w:rFonts w:hint="eastAsia" w:cs="Times New Roman"/>
                <w:color w:val="000000" w:themeColor="text1"/>
                <w:kern w:val="0"/>
                <w:sz w:val="21"/>
                <w:szCs w:val="21"/>
                <w:highlight w:val="none"/>
                <w:lang w:val="en-US" w:eastAsia="zh-CN" w:bidi="ar-SA"/>
                <w14:textFill>
                  <w14:solidFill>
                    <w14:schemeClr w14:val="tx1"/>
                  </w14:solidFill>
                </w14:textFill>
              </w:rPr>
              <w:t>粉尘废气排放口</w:t>
            </w:r>
            <w:r>
              <w:rPr>
                <w:rFonts w:ascii="Times New Roman" w:hAnsi="Times New Roman" w:eastAsia="宋体" w:cs="Times New Roman"/>
                <w:color w:val="000000" w:themeColor="text1"/>
                <w:kern w:val="0"/>
                <w:sz w:val="21"/>
                <w:szCs w:val="21"/>
                <w:highlight w:val="none"/>
                <w:lang w:val="en-US" w:eastAsia="en-US" w:bidi="ar-SA"/>
                <w14:textFill>
                  <w14:solidFill>
                    <w14:schemeClr w14:val="tx1"/>
                  </w14:solidFill>
                </w14:textFill>
              </w:rPr>
              <w:t>DA00</w:t>
            </w:r>
            <w:r>
              <w:rPr>
                <w:rFonts w:hint="eastAsia" w:cs="Times New Roman"/>
                <w:color w:val="000000" w:themeColor="text1"/>
                <w:kern w:val="0"/>
                <w:sz w:val="21"/>
                <w:szCs w:val="21"/>
                <w:highlight w:val="none"/>
                <w:lang w:val="en-US" w:eastAsia="zh-CN" w:bidi="ar-SA"/>
                <w14:textFill>
                  <w14:solidFill>
                    <w14:schemeClr w14:val="tx1"/>
                  </w14:solidFill>
                </w14:textFill>
              </w:rPr>
              <w:t>4</w:t>
            </w:r>
          </w:p>
        </w:tc>
        <w:tc>
          <w:tcPr>
            <w:tcW w:w="1305" w:type="dxa"/>
            <w:vAlign w:val="center"/>
          </w:tcPr>
          <w:p w14:paraId="0873989E">
            <w:pPr>
              <w:pStyle w:val="36"/>
              <w:spacing w:before="75"/>
              <w:ind w:left="161" w:right="144" w:firstLine="2" w:firstLineChars="1"/>
              <w:jc w:val="center"/>
              <w:rPr>
                <w:rFonts w:ascii="Times New Roman" w:hAnsi="Times New Roman" w:cs="Times New Roman"/>
                <w:color w:val="000000" w:themeColor="text1"/>
                <w:sz w:val="21"/>
                <w:szCs w:val="21"/>
                <w:highlight w:val="none"/>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颗粒物</w:t>
            </w:r>
          </w:p>
        </w:tc>
        <w:tc>
          <w:tcPr>
            <w:tcW w:w="2115" w:type="dxa"/>
            <w:vAlign w:val="center"/>
          </w:tcPr>
          <w:p w14:paraId="55B2ABE8">
            <w:pPr>
              <w:adjustRightInd w:val="0"/>
              <w:snapToGrid w:val="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集气罩+</w:t>
            </w:r>
            <w:r>
              <w:rPr>
                <w:rFonts w:hint="eastAsia"/>
                <w:color w:val="000000" w:themeColor="text1"/>
                <w:sz w:val="21"/>
                <w:szCs w:val="21"/>
                <w:highlight w:val="none"/>
                <w:lang w:val="en-US" w:eastAsia="zh-CN"/>
                <w14:textFill>
                  <w14:solidFill>
                    <w14:schemeClr w14:val="tx1"/>
                  </w14:solidFill>
                </w14:textFill>
              </w:rPr>
              <w:t>布袋除尘器+30m排气筒排放</w:t>
            </w:r>
          </w:p>
        </w:tc>
        <w:tc>
          <w:tcPr>
            <w:tcW w:w="2791" w:type="dxa"/>
            <w:vAlign w:val="center"/>
          </w:tcPr>
          <w:p w14:paraId="4279BA33">
            <w:pPr>
              <w:pStyle w:val="36"/>
              <w:keepNext w:val="0"/>
              <w:keepLines w:val="0"/>
              <w:pageBreakBefore w:val="0"/>
              <w:widowControl w:val="0"/>
              <w:kinsoku/>
              <w:wordWrap/>
              <w:overflowPunct/>
              <w:topLinePunct w:val="0"/>
              <w:autoSpaceDE w:val="0"/>
              <w:autoSpaceDN w:val="0"/>
              <w:bidi w:val="0"/>
              <w:adjustRightInd/>
              <w:snapToGrid/>
              <w:spacing w:before="0" w:line="240" w:lineRule="auto"/>
              <w:ind w:left="0" w:right="85"/>
              <w:jc w:val="center"/>
              <w:textAlignment w:val="auto"/>
              <w:rPr>
                <w:rFonts w:ascii="Times New Roman" w:hAnsi="Times New Roman" w:cs="Times New Roman"/>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《大气污染物综合排放标准》（</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GB16297-1996</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）表</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有组织排放监控浓度限值</w:t>
            </w:r>
          </w:p>
        </w:tc>
      </w:tr>
      <w:tr w14:paraId="096077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73" w:hRule="atLeast"/>
          <w:jc w:val="center"/>
        </w:trPr>
        <w:tc>
          <w:tcPr>
            <w:tcW w:w="1112" w:type="dxa"/>
            <w:vMerge w:val="continue"/>
            <w:vAlign w:val="center"/>
          </w:tcPr>
          <w:p w14:paraId="5103D185">
            <w:pPr>
              <w:adjustRightInd w:val="0"/>
              <w:snapToGrid w:val="0"/>
              <w:jc w:val="center"/>
              <w:rPr>
                <w:color w:val="000000" w:themeColor="text1"/>
                <w:szCs w:val="21"/>
                <w:highlight w:val="none"/>
                <w14:textFill>
                  <w14:solidFill>
                    <w14:schemeClr w14:val="tx1"/>
                  </w14:solidFill>
                </w14:textFill>
              </w:rPr>
            </w:pPr>
          </w:p>
        </w:tc>
        <w:tc>
          <w:tcPr>
            <w:tcW w:w="1477" w:type="dxa"/>
            <w:vAlign w:val="center"/>
          </w:tcPr>
          <w:p w14:paraId="33506A1F">
            <w:pPr>
              <w:adjustRightInd w:val="0"/>
              <w:snapToGrid w:val="0"/>
              <w:jc w:val="cente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color w:val="000000" w:themeColor="text1"/>
                <w:sz w:val="21"/>
                <w:szCs w:val="21"/>
                <w:highlight w:val="none"/>
                <w14:textFill>
                  <w14:solidFill>
                    <w14:schemeClr w14:val="tx1"/>
                  </w14:solidFill>
                </w14:textFill>
              </w:rPr>
              <w:t>有机废气排放口</w:t>
            </w:r>
            <w:r>
              <w:rPr>
                <w:rFonts w:hint="default"/>
                <w:color w:val="000000" w:themeColor="text1"/>
                <w:sz w:val="21"/>
                <w:szCs w:val="21"/>
                <w:highlight w:val="none"/>
                <w:lang w:val="en-US" w:eastAsia="zh-CN"/>
                <w14:textFill>
                  <w14:solidFill>
                    <w14:schemeClr w14:val="tx1"/>
                  </w14:solidFill>
                </w14:textFill>
              </w:rPr>
              <w:t>DA00</w:t>
            </w:r>
            <w:r>
              <w:rPr>
                <w:rFonts w:hint="eastAsia"/>
                <w:color w:val="000000" w:themeColor="text1"/>
                <w:sz w:val="21"/>
                <w:szCs w:val="21"/>
                <w:highlight w:val="none"/>
                <w:lang w:val="en-US" w:eastAsia="zh-CN"/>
                <w14:textFill>
                  <w14:solidFill>
                    <w14:schemeClr w14:val="tx1"/>
                  </w14:solidFill>
                </w14:textFill>
              </w:rPr>
              <w:t>5</w:t>
            </w:r>
          </w:p>
        </w:tc>
        <w:tc>
          <w:tcPr>
            <w:tcW w:w="1305" w:type="dxa"/>
            <w:vAlign w:val="center"/>
          </w:tcPr>
          <w:p w14:paraId="79E866D4">
            <w:pPr>
              <w:adjustRightInd w:val="0"/>
              <w:snapToGrid w:val="0"/>
              <w:jc w:val="center"/>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r>
              <w:rPr>
                <w:color w:val="000000" w:themeColor="text1"/>
                <w:sz w:val="21"/>
                <w:szCs w:val="21"/>
                <w:highlight w:val="none"/>
                <w14:textFill>
                  <w14:solidFill>
                    <w14:schemeClr w14:val="tx1"/>
                  </w14:solidFill>
                </w14:textFill>
              </w:rPr>
              <w:t>非甲烷总烃</w:t>
            </w:r>
          </w:p>
        </w:tc>
        <w:tc>
          <w:tcPr>
            <w:tcW w:w="2115" w:type="dxa"/>
            <w:vAlign w:val="center"/>
          </w:tcPr>
          <w:p w14:paraId="3ECAE6FC">
            <w:pPr>
              <w:adjustRightInd w:val="0"/>
              <w:snapToGrid w:val="0"/>
              <w:jc w:val="center"/>
              <w:rPr>
                <w:rFonts w:hint="default"/>
                <w:color w:val="000000" w:themeColor="text1"/>
                <w:sz w:val="21"/>
                <w:szCs w:val="21"/>
                <w:highlight w:val="none"/>
                <w:lang w:val="en-US"/>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集气罩+二级活性炭+30m排气筒排放</w:t>
            </w:r>
          </w:p>
        </w:tc>
        <w:tc>
          <w:tcPr>
            <w:tcW w:w="2791" w:type="dxa"/>
            <w:vAlign w:val="center"/>
          </w:tcPr>
          <w:p w14:paraId="567112CD">
            <w:pPr>
              <w:adjustRightInd w:val="0"/>
              <w:snapToGrid w:val="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《工业企业挥发性有机物排放标准》（DB35/1782-2018）表1中相应标准值</w:t>
            </w:r>
          </w:p>
        </w:tc>
      </w:tr>
      <w:tr w14:paraId="2B2F04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73" w:hRule="atLeast"/>
          <w:jc w:val="center"/>
        </w:trPr>
        <w:tc>
          <w:tcPr>
            <w:tcW w:w="1112" w:type="dxa"/>
            <w:vMerge w:val="continue"/>
            <w:vAlign w:val="center"/>
          </w:tcPr>
          <w:p w14:paraId="0F9DB069">
            <w:pPr>
              <w:adjustRightInd w:val="0"/>
              <w:snapToGrid w:val="0"/>
              <w:jc w:val="center"/>
              <w:rPr>
                <w:color w:val="000000" w:themeColor="text1"/>
                <w:szCs w:val="21"/>
                <w:highlight w:val="none"/>
                <w14:textFill>
                  <w14:solidFill>
                    <w14:schemeClr w14:val="tx1"/>
                  </w14:solidFill>
                </w14:textFill>
              </w:rPr>
            </w:pPr>
          </w:p>
        </w:tc>
        <w:tc>
          <w:tcPr>
            <w:tcW w:w="1477" w:type="dxa"/>
            <w:vAlign w:val="center"/>
          </w:tcPr>
          <w:p w14:paraId="322B177F">
            <w:pPr>
              <w:adjustRightInd w:val="0"/>
              <w:snapToGrid w:val="0"/>
              <w:jc w:val="cente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color w:val="000000" w:themeColor="text1"/>
                <w:sz w:val="21"/>
                <w:szCs w:val="21"/>
                <w:highlight w:val="none"/>
                <w14:textFill>
                  <w14:solidFill>
                    <w14:schemeClr w14:val="tx1"/>
                  </w14:solidFill>
                </w14:textFill>
              </w:rPr>
              <w:t>酸性废气排放口DA00</w:t>
            </w:r>
            <w:r>
              <w:rPr>
                <w:rFonts w:hint="eastAsia"/>
                <w:color w:val="000000" w:themeColor="text1"/>
                <w:sz w:val="21"/>
                <w:szCs w:val="21"/>
                <w:highlight w:val="none"/>
                <w:lang w:val="en-US" w:eastAsia="zh-CN"/>
                <w14:textFill>
                  <w14:solidFill>
                    <w14:schemeClr w14:val="tx1"/>
                  </w14:solidFill>
                </w14:textFill>
              </w:rPr>
              <w:t>6</w:t>
            </w:r>
          </w:p>
        </w:tc>
        <w:tc>
          <w:tcPr>
            <w:tcW w:w="1305" w:type="dxa"/>
            <w:vAlign w:val="center"/>
          </w:tcPr>
          <w:p w14:paraId="3610683C">
            <w:pPr>
              <w:adjustRightInd w:val="0"/>
              <w:snapToGrid w:val="0"/>
              <w:jc w:val="center"/>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r>
              <w:rPr>
                <w:color w:val="000000" w:themeColor="text1"/>
                <w:sz w:val="21"/>
                <w:szCs w:val="21"/>
                <w:highlight w:val="none"/>
                <w14:textFill>
                  <w14:solidFill>
                    <w14:schemeClr w14:val="tx1"/>
                  </w14:solidFill>
                </w14:textFill>
              </w:rPr>
              <w:t>氮氧化物、氟化物、硫酸雾、氯化氢</w:t>
            </w:r>
          </w:p>
        </w:tc>
        <w:tc>
          <w:tcPr>
            <w:tcW w:w="2115" w:type="dxa"/>
            <w:vAlign w:val="center"/>
          </w:tcPr>
          <w:p w14:paraId="3CD05B07">
            <w:pPr>
              <w:adjustRightInd w:val="0"/>
              <w:snapToGrid w:val="0"/>
              <w:jc w:val="cente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集气罩+碱液喷淋塔+30m排气筒排放</w:t>
            </w:r>
          </w:p>
        </w:tc>
        <w:tc>
          <w:tcPr>
            <w:tcW w:w="2791" w:type="dxa"/>
            <w:vAlign w:val="center"/>
          </w:tcPr>
          <w:p w14:paraId="4D6F6B32">
            <w:pPr>
              <w:adjustRightInd w:val="0"/>
              <w:snapToGrid w:val="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《大气污染物综合排放标准》（</w:t>
            </w:r>
            <w:r>
              <w:rPr>
                <w:rFonts w:hint="default"/>
                <w:color w:val="000000" w:themeColor="text1"/>
                <w:sz w:val="21"/>
                <w:szCs w:val="21"/>
                <w:highlight w:val="none"/>
                <w:lang w:val="en-US" w:eastAsia="zh-CN"/>
                <w14:textFill>
                  <w14:solidFill>
                    <w14:schemeClr w14:val="tx1"/>
                  </w14:solidFill>
                </w14:textFill>
              </w:rPr>
              <w:t>GB16297-1996</w:t>
            </w:r>
            <w:r>
              <w:rPr>
                <w:rFonts w:hint="eastAsia"/>
                <w:color w:val="000000" w:themeColor="text1"/>
                <w:sz w:val="21"/>
                <w:szCs w:val="21"/>
                <w:highlight w:val="none"/>
                <w:lang w:val="en-US" w:eastAsia="zh-CN"/>
                <w14:textFill>
                  <w14:solidFill>
                    <w14:schemeClr w14:val="tx1"/>
                  </w14:solidFill>
                </w14:textFill>
              </w:rPr>
              <w:t>）表</w:t>
            </w:r>
            <w:r>
              <w:rPr>
                <w:rFonts w:hint="default"/>
                <w:color w:val="000000" w:themeColor="text1"/>
                <w:sz w:val="21"/>
                <w:szCs w:val="21"/>
                <w:highlight w:val="none"/>
                <w:lang w:val="en-US" w:eastAsia="zh-CN"/>
                <w14:textFill>
                  <w14:solidFill>
                    <w14:schemeClr w14:val="tx1"/>
                  </w14:solidFill>
                </w14:textFill>
              </w:rPr>
              <w:t>2</w:t>
            </w:r>
            <w:r>
              <w:rPr>
                <w:rFonts w:hint="eastAsia"/>
                <w:color w:val="000000" w:themeColor="text1"/>
                <w:sz w:val="21"/>
                <w:szCs w:val="21"/>
                <w:highlight w:val="none"/>
                <w:lang w:val="en-US" w:eastAsia="zh-CN"/>
                <w14:textFill>
                  <w14:solidFill>
                    <w14:schemeClr w14:val="tx1"/>
                  </w14:solidFill>
                </w14:textFill>
              </w:rPr>
              <w:t>有组织排放监控浓度限值</w:t>
            </w:r>
          </w:p>
        </w:tc>
      </w:tr>
      <w:tr w14:paraId="0D7B49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73" w:hRule="atLeast"/>
          <w:jc w:val="center"/>
        </w:trPr>
        <w:tc>
          <w:tcPr>
            <w:tcW w:w="1112" w:type="dxa"/>
            <w:vMerge w:val="continue"/>
            <w:vAlign w:val="center"/>
          </w:tcPr>
          <w:p w14:paraId="06E0B77A">
            <w:pPr>
              <w:adjustRightInd w:val="0"/>
              <w:snapToGrid w:val="0"/>
              <w:jc w:val="center"/>
              <w:rPr>
                <w:color w:val="000000" w:themeColor="text1"/>
                <w:szCs w:val="21"/>
                <w:highlight w:val="none"/>
                <w14:textFill>
                  <w14:solidFill>
                    <w14:schemeClr w14:val="tx1"/>
                  </w14:solidFill>
                </w14:textFill>
              </w:rPr>
            </w:pPr>
          </w:p>
        </w:tc>
        <w:tc>
          <w:tcPr>
            <w:tcW w:w="1477" w:type="dxa"/>
            <w:vAlign w:val="center"/>
          </w:tcPr>
          <w:p w14:paraId="1928C091">
            <w:pPr>
              <w:adjustRightInd w:val="0"/>
              <w:snapToGrid w:val="0"/>
              <w:jc w:val="cente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碱性</w:t>
            </w:r>
            <w:r>
              <w:rPr>
                <w:color w:val="000000" w:themeColor="text1"/>
                <w:sz w:val="21"/>
                <w:szCs w:val="21"/>
                <w:highlight w:val="none"/>
                <w14:textFill>
                  <w14:solidFill>
                    <w14:schemeClr w14:val="tx1"/>
                  </w14:solidFill>
                </w14:textFill>
              </w:rPr>
              <w:t>废气排放口DA00</w:t>
            </w:r>
            <w:r>
              <w:rPr>
                <w:rFonts w:hint="eastAsia"/>
                <w:color w:val="000000" w:themeColor="text1"/>
                <w:sz w:val="21"/>
                <w:szCs w:val="21"/>
                <w:highlight w:val="none"/>
                <w:lang w:val="en-US" w:eastAsia="zh-CN"/>
                <w14:textFill>
                  <w14:solidFill>
                    <w14:schemeClr w14:val="tx1"/>
                  </w14:solidFill>
                </w14:textFill>
              </w:rPr>
              <w:t>7</w:t>
            </w:r>
          </w:p>
        </w:tc>
        <w:tc>
          <w:tcPr>
            <w:tcW w:w="1305" w:type="dxa"/>
            <w:vAlign w:val="center"/>
          </w:tcPr>
          <w:p w14:paraId="2EBC6380">
            <w:pPr>
              <w:adjustRightInd w:val="0"/>
              <w:snapToGrid w:val="0"/>
              <w:jc w:val="center"/>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TMAH</w:t>
            </w:r>
          </w:p>
        </w:tc>
        <w:tc>
          <w:tcPr>
            <w:tcW w:w="2115" w:type="dxa"/>
            <w:vAlign w:val="center"/>
          </w:tcPr>
          <w:p w14:paraId="7294B21A">
            <w:pPr>
              <w:adjustRightInd w:val="0"/>
              <w:snapToGrid w:val="0"/>
              <w:jc w:val="cente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集气罩+稀硫酸喷淋塔+30m排气筒排放</w:t>
            </w:r>
          </w:p>
        </w:tc>
        <w:tc>
          <w:tcPr>
            <w:tcW w:w="2791" w:type="dxa"/>
            <w:vAlign w:val="center"/>
          </w:tcPr>
          <w:p w14:paraId="645B40E0">
            <w:pPr>
              <w:adjustRightInd w:val="0"/>
              <w:snapToGrid w:val="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《恶臭污染物排放标准》</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GB 14554-93</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）表2中标准</w:t>
            </w:r>
          </w:p>
        </w:tc>
      </w:tr>
      <w:tr w14:paraId="798107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05" w:hRule="atLeast"/>
          <w:jc w:val="center"/>
        </w:trPr>
        <w:tc>
          <w:tcPr>
            <w:tcW w:w="1112" w:type="dxa"/>
            <w:vMerge w:val="continue"/>
            <w:vAlign w:val="center"/>
          </w:tcPr>
          <w:p w14:paraId="6D8BCE2B">
            <w:pPr>
              <w:adjustRightInd w:val="0"/>
              <w:snapToGrid w:val="0"/>
              <w:jc w:val="center"/>
              <w:rPr>
                <w:color w:val="000000" w:themeColor="text1"/>
                <w:szCs w:val="21"/>
                <w:highlight w:val="none"/>
                <w14:textFill>
                  <w14:solidFill>
                    <w14:schemeClr w14:val="tx1"/>
                  </w14:solidFill>
                </w14:textFill>
              </w:rPr>
            </w:pPr>
          </w:p>
        </w:tc>
        <w:tc>
          <w:tcPr>
            <w:tcW w:w="1477" w:type="dxa"/>
            <w:vMerge w:val="restart"/>
            <w:vAlign w:val="center"/>
          </w:tcPr>
          <w:p w14:paraId="379674E0">
            <w:pPr>
              <w:adjustRightInd w:val="0"/>
              <w:snapToGrid w:val="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无组织排放</w:t>
            </w:r>
          </w:p>
        </w:tc>
        <w:tc>
          <w:tcPr>
            <w:tcW w:w="1305" w:type="dxa"/>
            <w:vAlign w:val="center"/>
          </w:tcPr>
          <w:p w14:paraId="220E8660">
            <w:pPr>
              <w:pStyle w:val="36"/>
              <w:spacing w:before="76"/>
              <w:ind w:left="161" w:right="144" w:firstLine="2" w:firstLineChars="1"/>
              <w:jc w:val="center"/>
              <w:rPr>
                <w:rFonts w:ascii="Times New Roman" w:hAnsi="Times New Roman" w:cs="Times New Roman"/>
                <w:color w:val="000000" w:themeColor="text1"/>
                <w:sz w:val="21"/>
                <w:szCs w:val="21"/>
                <w:highlight w:val="none"/>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非甲烷总烃</w:t>
            </w:r>
          </w:p>
        </w:tc>
        <w:tc>
          <w:tcPr>
            <w:tcW w:w="2115" w:type="dxa"/>
            <w:vAlign w:val="center"/>
          </w:tcPr>
          <w:p w14:paraId="2245D1EA">
            <w:pPr>
              <w:adjustRightInd w:val="0"/>
              <w:snapToGrid w:val="0"/>
              <w:jc w:val="center"/>
              <w:rPr>
                <w:rFonts w:hint="default"/>
                <w:color w:val="000000" w:themeColor="text1"/>
                <w:sz w:val="21"/>
                <w:szCs w:val="21"/>
                <w:highlight w:val="none"/>
                <w:lang w:val="en-US"/>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密闭式集气罩负压收集，尽量减少无组织排放</w:t>
            </w:r>
          </w:p>
        </w:tc>
        <w:tc>
          <w:tcPr>
            <w:tcW w:w="2791" w:type="dxa"/>
            <w:vAlign w:val="center"/>
          </w:tcPr>
          <w:p w14:paraId="6B92CAF5">
            <w:pPr>
              <w:adjustRightInd w:val="0"/>
              <w:snapToGrid w:val="0"/>
              <w:jc w:val="center"/>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厂界执行《工业企业挥发性有机物排放标准》（DB35/1782-2018）表3标准；</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厂内无组织执行《工业企业</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挥发性有机物排放标准》（DB35/1782-2018）表2中相应标准值；厂区内监控点执行《挥发性有机物无组织排放控制标准》（GB37822-2019）附录A表A.1厂区内VOCs无</w:t>
            </w:r>
            <w:r>
              <w:rPr>
                <w:rFonts w:hint="eastAsia"/>
                <w:color w:val="000000" w:themeColor="text1"/>
                <w:sz w:val="21"/>
                <w:szCs w:val="21"/>
                <w:highlight w:val="none"/>
                <w:lang w:val="en-US" w:eastAsia="zh-CN"/>
                <w14:textFill>
                  <w14:solidFill>
                    <w14:schemeClr w14:val="tx1"/>
                  </w14:solidFill>
                </w14:textFill>
              </w:rPr>
              <w:t>组织排放限值</w:t>
            </w:r>
          </w:p>
        </w:tc>
      </w:tr>
      <w:tr w14:paraId="59950D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05" w:hRule="atLeast"/>
          <w:jc w:val="center"/>
        </w:trPr>
        <w:tc>
          <w:tcPr>
            <w:tcW w:w="1112" w:type="dxa"/>
            <w:vMerge w:val="continue"/>
            <w:vAlign w:val="center"/>
          </w:tcPr>
          <w:p w14:paraId="79513116">
            <w:pPr>
              <w:adjustRightInd w:val="0"/>
              <w:snapToGrid w:val="0"/>
              <w:jc w:val="center"/>
              <w:rPr>
                <w:color w:val="000000" w:themeColor="text1"/>
                <w:szCs w:val="21"/>
                <w:highlight w:val="none"/>
                <w14:textFill>
                  <w14:solidFill>
                    <w14:schemeClr w14:val="tx1"/>
                  </w14:solidFill>
                </w14:textFill>
              </w:rPr>
            </w:pPr>
          </w:p>
        </w:tc>
        <w:tc>
          <w:tcPr>
            <w:tcW w:w="1477" w:type="dxa"/>
            <w:vMerge w:val="continue"/>
            <w:vAlign w:val="center"/>
          </w:tcPr>
          <w:p w14:paraId="31FADABF">
            <w:pPr>
              <w:adjustRightInd w:val="0"/>
              <w:snapToGrid w:val="0"/>
              <w:jc w:val="center"/>
              <w:rPr>
                <w:color w:val="000000" w:themeColor="text1"/>
                <w:sz w:val="21"/>
                <w:szCs w:val="21"/>
                <w:highlight w:val="none"/>
                <w14:textFill>
                  <w14:solidFill>
                    <w14:schemeClr w14:val="tx1"/>
                  </w14:solidFill>
                </w14:textFill>
              </w:rPr>
            </w:pPr>
          </w:p>
        </w:tc>
        <w:tc>
          <w:tcPr>
            <w:tcW w:w="1305" w:type="dxa"/>
            <w:vAlign w:val="center"/>
          </w:tcPr>
          <w:p w14:paraId="20EA294F">
            <w:pPr>
              <w:pStyle w:val="36"/>
              <w:keepNext w:val="0"/>
              <w:keepLines w:val="0"/>
              <w:pageBreakBefore w:val="0"/>
              <w:widowControl w:val="0"/>
              <w:kinsoku/>
              <w:wordWrap/>
              <w:overflowPunct/>
              <w:topLinePunct w:val="0"/>
              <w:autoSpaceDE w:val="0"/>
              <w:autoSpaceDN w:val="0"/>
              <w:bidi w:val="0"/>
              <w:adjustRightInd/>
              <w:snapToGrid/>
              <w:spacing w:before="0"/>
              <w:ind w:left="0" w:right="0" w:firstLine="0" w:firstLineChars="0"/>
              <w:jc w:val="center"/>
              <w:textAlignment w:val="auto"/>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颗粒物、</w:t>
            </w:r>
            <w:r>
              <w:rPr>
                <w:color w:val="000000" w:themeColor="text1"/>
                <w:sz w:val="21"/>
                <w:szCs w:val="21"/>
                <w:highlight w:val="none"/>
                <w14:textFill>
                  <w14:solidFill>
                    <w14:schemeClr w14:val="tx1"/>
                  </w14:solidFill>
                </w14:textFill>
              </w:rPr>
              <w:t>氮氧化物、氟化物、硫酸雾、氯化氢</w:t>
            </w:r>
          </w:p>
        </w:tc>
        <w:tc>
          <w:tcPr>
            <w:tcW w:w="2115" w:type="dxa"/>
            <w:vAlign w:val="center"/>
          </w:tcPr>
          <w:p w14:paraId="50A9F4B0">
            <w:pPr>
              <w:adjustRightInd w:val="0"/>
              <w:snapToGrid w:val="0"/>
              <w:jc w:val="cente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密闭式集气罩负压收集，尽量减少无组织排放</w:t>
            </w:r>
          </w:p>
        </w:tc>
        <w:tc>
          <w:tcPr>
            <w:tcW w:w="2791" w:type="dxa"/>
            <w:vAlign w:val="center"/>
          </w:tcPr>
          <w:p w14:paraId="630328E7">
            <w:pPr>
              <w:adjustRightInd w:val="0"/>
              <w:snapToGrid w:val="0"/>
              <w:jc w:val="center"/>
              <w:rPr>
                <w:rFonts w:hint="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《大气污染物综合排放标准》（</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GB16297-1996</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）表</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无组织排放监控浓度限值</w:t>
            </w:r>
          </w:p>
        </w:tc>
      </w:tr>
      <w:tr w14:paraId="60B619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605" w:hRule="atLeast"/>
          <w:jc w:val="center"/>
        </w:trPr>
        <w:tc>
          <w:tcPr>
            <w:tcW w:w="1112" w:type="dxa"/>
            <w:vMerge w:val="continue"/>
            <w:vAlign w:val="center"/>
          </w:tcPr>
          <w:p w14:paraId="59B235B2">
            <w:pPr>
              <w:adjustRightInd w:val="0"/>
              <w:snapToGrid w:val="0"/>
              <w:jc w:val="center"/>
              <w:rPr>
                <w:color w:val="000000" w:themeColor="text1"/>
                <w:szCs w:val="21"/>
                <w:highlight w:val="none"/>
                <w14:textFill>
                  <w14:solidFill>
                    <w14:schemeClr w14:val="tx1"/>
                  </w14:solidFill>
                </w14:textFill>
              </w:rPr>
            </w:pPr>
          </w:p>
        </w:tc>
        <w:tc>
          <w:tcPr>
            <w:tcW w:w="1477" w:type="dxa"/>
            <w:vMerge w:val="continue"/>
            <w:vAlign w:val="center"/>
          </w:tcPr>
          <w:p w14:paraId="5CE641A2">
            <w:pPr>
              <w:adjustRightInd w:val="0"/>
              <w:snapToGrid w:val="0"/>
              <w:jc w:val="center"/>
              <w:rPr>
                <w:color w:val="000000" w:themeColor="text1"/>
                <w:sz w:val="21"/>
                <w:szCs w:val="21"/>
                <w:highlight w:val="none"/>
                <w14:textFill>
                  <w14:solidFill>
                    <w14:schemeClr w14:val="tx1"/>
                  </w14:solidFill>
                </w14:textFill>
              </w:rPr>
            </w:pPr>
          </w:p>
        </w:tc>
        <w:tc>
          <w:tcPr>
            <w:tcW w:w="1305" w:type="dxa"/>
            <w:vAlign w:val="center"/>
          </w:tcPr>
          <w:p w14:paraId="002ABEA6">
            <w:pPr>
              <w:pStyle w:val="36"/>
              <w:keepNext w:val="0"/>
              <w:keepLines w:val="0"/>
              <w:pageBreakBefore w:val="0"/>
              <w:widowControl w:val="0"/>
              <w:kinsoku/>
              <w:wordWrap/>
              <w:overflowPunct/>
              <w:topLinePunct w:val="0"/>
              <w:autoSpaceDE w:val="0"/>
              <w:autoSpaceDN w:val="0"/>
              <w:bidi w:val="0"/>
              <w:adjustRightInd/>
              <w:snapToGrid/>
              <w:spacing w:before="0"/>
              <w:ind w:left="0" w:right="0" w:firstLine="0" w:firstLineChars="0"/>
              <w:jc w:val="center"/>
              <w:textAlignment w:val="auto"/>
              <w:rPr>
                <w:rFonts w:hint="eastAsia"/>
                <w:color w:val="000000" w:themeColor="text1"/>
                <w:sz w:val="21"/>
                <w:szCs w:val="21"/>
                <w:highlight w:val="none"/>
                <w:lang w:val="en-US" w:eastAsia="zh-CN"/>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氨、硫化氢、臭气浓度</w:t>
            </w:r>
          </w:p>
        </w:tc>
        <w:tc>
          <w:tcPr>
            <w:tcW w:w="2115" w:type="dxa"/>
            <w:vAlign w:val="center"/>
          </w:tcPr>
          <w:p w14:paraId="05DCF1BA">
            <w:pPr>
              <w:adjustRightInd w:val="0"/>
              <w:snapToGrid w:val="0"/>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污水处理站采用除臭及加盖措施</w:t>
            </w:r>
          </w:p>
        </w:tc>
        <w:tc>
          <w:tcPr>
            <w:tcW w:w="2791" w:type="dxa"/>
            <w:vAlign w:val="center"/>
          </w:tcPr>
          <w:p w14:paraId="7254A020">
            <w:pPr>
              <w:adjustRightInd w:val="0"/>
              <w:snapToGrid w:val="0"/>
              <w:jc w:val="center"/>
              <w:rPr>
                <w:rFonts w:hint="eastAsia"/>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《恶臭污染物排放标准》（GB14554-93）表</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中标准</w:t>
            </w:r>
          </w:p>
        </w:tc>
      </w:tr>
      <w:tr w14:paraId="3280E9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50" w:hRule="atLeast"/>
          <w:jc w:val="center"/>
        </w:trPr>
        <w:tc>
          <w:tcPr>
            <w:tcW w:w="1112" w:type="dxa"/>
            <w:vMerge w:val="restart"/>
            <w:vAlign w:val="center"/>
          </w:tcPr>
          <w:p w14:paraId="24208AF4">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地表水环境</w:t>
            </w:r>
          </w:p>
        </w:tc>
        <w:tc>
          <w:tcPr>
            <w:tcW w:w="1477" w:type="dxa"/>
            <w:vAlign w:val="center"/>
          </w:tcPr>
          <w:p w14:paraId="0B2137F4">
            <w:pPr>
              <w:adjustRightInd w:val="0"/>
              <w:snapToGrid w:val="0"/>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生产废水</w:t>
            </w:r>
          </w:p>
        </w:tc>
        <w:tc>
          <w:tcPr>
            <w:tcW w:w="1305" w:type="dxa"/>
            <w:vAlign w:val="center"/>
          </w:tcPr>
          <w:p w14:paraId="40CF4030">
            <w:pPr>
              <w:adjustRightInd w:val="0"/>
              <w:snapToGrid w:val="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流量、pH、COD、NH</w:t>
            </w:r>
            <w:r>
              <w:rPr>
                <w:rFonts w:hint="eastAsia" w:ascii="Times New Roman" w:hAnsi="Times New Roman" w:eastAsia="宋体" w:cs="Times New Roman"/>
                <w:color w:val="000000" w:themeColor="text1"/>
                <w:sz w:val="21"/>
                <w:szCs w:val="21"/>
                <w:highlight w:val="none"/>
                <w:vertAlign w:val="subscript"/>
                <w:lang w:val="en-US" w:eastAsia="zh-CN"/>
                <w14:textFill>
                  <w14:solidFill>
                    <w14:schemeClr w14:val="tx1"/>
                  </w14:solidFill>
                </w14:textFill>
              </w:rPr>
              <w:t>3</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-N、悬浮物、石油类、总氮、总磷、氟化物</w:t>
            </w:r>
          </w:p>
        </w:tc>
        <w:tc>
          <w:tcPr>
            <w:tcW w:w="2115" w:type="dxa"/>
            <w:vAlign w:val="center"/>
          </w:tcPr>
          <w:p w14:paraId="303899DF">
            <w:pPr>
              <w:adjustRightInd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含氟废水经含氟废水处理系统预处理后与一般清洗废水、酸碱废水一并排入综合污水处理站处理，综合污水处理站处理工艺为“pH调节+混凝池+沉淀池+过滤池”</w:t>
            </w:r>
          </w:p>
        </w:tc>
        <w:tc>
          <w:tcPr>
            <w:tcW w:w="2791" w:type="dxa"/>
            <w:vAlign w:val="center"/>
          </w:tcPr>
          <w:p w14:paraId="4502893A">
            <w:pPr>
              <w:adjustRightInd w:val="0"/>
              <w:snapToGrid w:val="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《电子工业水污染物排放标准》（GB39731-2020）间接排放标准，</w:t>
            </w:r>
            <w:r>
              <w:rPr>
                <w:rFonts w:hint="eastAsia"/>
                <w:color w:val="000000" w:themeColor="text1"/>
                <w:sz w:val="21"/>
                <w:szCs w:val="21"/>
                <w:highlight w:val="none"/>
                <w:lang w:val="en-US" w:eastAsia="zh-CN"/>
                <w14:textFill>
                  <w14:solidFill>
                    <w14:schemeClr w14:val="tx1"/>
                  </w14:solidFill>
                </w14:textFill>
              </w:rPr>
              <w:t>同时满足大学城污水处理厂进水水质标准</w:t>
            </w:r>
          </w:p>
        </w:tc>
      </w:tr>
      <w:tr w14:paraId="258D95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50" w:hRule="atLeast"/>
          <w:jc w:val="center"/>
        </w:trPr>
        <w:tc>
          <w:tcPr>
            <w:tcW w:w="1112" w:type="dxa"/>
            <w:vMerge w:val="continue"/>
            <w:vAlign w:val="center"/>
          </w:tcPr>
          <w:p w14:paraId="7CD3CEB3">
            <w:pPr>
              <w:adjustRightInd w:val="0"/>
              <w:snapToGrid w:val="0"/>
              <w:jc w:val="center"/>
              <w:rPr>
                <w:color w:val="000000" w:themeColor="text1"/>
                <w:szCs w:val="21"/>
                <w:highlight w:val="none"/>
                <w14:textFill>
                  <w14:solidFill>
                    <w14:schemeClr w14:val="tx1"/>
                  </w14:solidFill>
                </w14:textFill>
              </w:rPr>
            </w:pPr>
          </w:p>
        </w:tc>
        <w:tc>
          <w:tcPr>
            <w:tcW w:w="1477" w:type="dxa"/>
            <w:vAlign w:val="center"/>
          </w:tcPr>
          <w:p w14:paraId="59BCD76E">
            <w:pPr>
              <w:adjustRightInd w:val="0"/>
              <w:snapToGrid w:val="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生活污水</w:t>
            </w:r>
          </w:p>
          <w:p w14:paraId="642C080A">
            <w:pPr>
              <w:adjustRightInd w:val="0"/>
              <w:snapToGrid w:val="0"/>
              <w:jc w:val="center"/>
              <w:rPr>
                <w:rFonts w:hint="eastAsia"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D</w:t>
            </w:r>
            <w:r>
              <w:rPr>
                <w:color w:val="000000" w:themeColor="text1"/>
                <w:sz w:val="21"/>
                <w:szCs w:val="21"/>
                <w:highlight w:val="none"/>
                <w14:textFill>
                  <w14:solidFill>
                    <w14:schemeClr w14:val="tx1"/>
                  </w14:solidFill>
                </w14:textFill>
              </w:rPr>
              <w:t>W00</w:t>
            </w:r>
            <w:r>
              <w:rPr>
                <w:rFonts w:hint="eastAsia"/>
                <w:color w:val="000000" w:themeColor="text1"/>
                <w:sz w:val="21"/>
                <w:szCs w:val="21"/>
                <w:highlight w:val="none"/>
                <w:lang w:val="en-US" w:eastAsia="zh-CN"/>
                <w14:textFill>
                  <w14:solidFill>
                    <w14:schemeClr w14:val="tx1"/>
                  </w14:solidFill>
                </w14:textFill>
              </w:rPr>
              <w:t>1</w:t>
            </w:r>
          </w:p>
        </w:tc>
        <w:tc>
          <w:tcPr>
            <w:tcW w:w="1305" w:type="dxa"/>
            <w:vAlign w:val="center"/>
          </w:tcPr>
          <w:p w14:paraId="3F960F37">
            <w:pPr>
              <w:adjustRightInd w:val="0"/>
              <w:snapToGrid w:val="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pH、COD、BOD5、SS、NH3-N</w:t>
            </w:r>
          </w:p>
        </w:tc>
        <w:tc>
          <w:tcPr>
            <w:tcW w:w="2115" w:type="dxa"/>
            <w:vAlign w:val="center"/>
          </w:tcPr>
          <w:p w14:paraId="239FC613">
            <w:pPr>
              <w:adjustRightInd w:val="0"/>
              <w:snapToGrid w:val="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经隔油+化粪池预处理后排入市政污水管网，送往福州大学城污水处理厂集中处理</w:t>
            </w:r>
          </w:p>
        </w:tc>
        <w:tc>
          <w:tcPr>
            <w:tcW w:w="2791" w:type="dxa"/>
            <w:vAlign w:val="center"/>
          </w:tcPr>
          <w:p w14:paraId="118FC6E2">
            <w:pPr>
              <w:adjustRightInd w:val="0"/>
              <w:snapToGrid w:val="0"/>
              <w:jc w:val="center"/>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《污水综合排放标准》(GB8978-1996)表4中三级标准，其中氨氮参照执行《污水排入城镇下水道水质标准》(GBT 31962-2015)表1中B级标准限值</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lang w:val="en-US" w:eastAsia="zh-CN"/>
                <w14:textFill>
                  <w14:solidFill>
                    <w14:schemeClr w14:val="tx1"/>
                  </w14:solidFill>
                </w14:textFill>
              </w:rPr>
              <w:t>同时满足大学城污水处理厂进水水质标准</w:t>
            </w:r>
          </w:p>
        </w:tc>
      </w:tr>
      <w:tr w14:paraId="25B7DA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1112" w:type="dxa"/>
            <w:vAlign w:val="center"/>
          </w:tcPr>
          <w:p w14:paraId="06059384">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声环境</w:t>
            </w:r>
          </w:p>
        </w:tc>
        <w:tc>
          <w:tcPr>
            <w:tcW w:w="1477" w:type="dxa"/>
            <w:vAlign w:val="center"/>
          </w:tcPr>
          <w:p w14:paraId="1EF8E1C2">
            <w:pPr>
              <w:pStyle w:val="36"/>
              <w:spacing w:before="151"/>
              <w:ind w:left="173" w:right="158"/>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生产设备</w:t>
            </w:r>
          </w:p>
        </w:tc>
        <w:tc>
          <w:tcPr>
            <w:tcW w:w="1305" w:type="dxa"/>
            <w:vAlign w:val="center"/>
          </w:tcPr>
          <w:p w14:paraId="4CF988CC">
            <w:pPr>
              <w:pStyle w:val="36"/>
              <w:spacing w:before="151"/>
              <w:ind w:left="161" w:right="144"/>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噪声</w:t>
            </w:r>
          </w:p>
        </w:tc>
        <w:tc>
          <w:tcPr>
            <w:tcW w:w="2115" w:type="dxa"/>
            <w:vAlign w:val="center"/>
          </w:tcPr>
          <w:p w14:paraId="1C01D23A">
            <w:pPr>
              <w:pStyle w:val="36"/>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ascii="Times New Roman" w:hAnsi="Times New Roman" w:cs="Times New Roman"/>
                <w:color w:val="000000" w:themeColor="text1"/>
                <w:position w:val="2"/>
                <w:sz w:val="21"/>
                <w:szCs w:val="21"/>
                <w:highlight w:val="none"/>
                <w:lang w:eastAsia="zh-CN"/>
                <w14:textFill>
                  <w14:solidFill>
                    <w14:schemeClr w14:val="tx1"/>
                  </w14:solidFill>
                </w14:textFill>
              </w:rPr>
            </w:pPr>
            <w:r>
              <w:rPr>
                <w:rFonts w:ascii="Times New Roman" w:hAnsi="Times New Roman" w:cs="Times New Roman"/>
                <w:color w:val="000000" w:themeColor="text1"/>
                <w:position w:val="2"/>
                <w:sz w:val="21"/>
                <w:szCs w:val="21"/>
                <w:highlight w:val="none"/>
                <w:lang w:eastAsia="zh-CN"/>
                <w14:textFill>
                  <w14:solidFill>
                    <w14:schemeClr w14:val="tx1"/>
                  </w14:solidFill>
                </w14:textFill>
              </w:rPr>
              <w:t>采用低噪声设备，降低声源噪声；所有设备的基座应安装防振减振垫片，与动力设备连接的管道</w:t>
            </w:r>
            <w:r>
              <w:rPr>
                <w:rFonts w:hint="eastAsia" w:ascii="Times New Roman" w:hAnsi="Times New Roman" w:cs="Times New Roman"/>
                <w:color w:val="000000" w:themeColor="text1"/>
                <w:position w:val="2"/>
                <w:sz w:val="21"/>
                <w:szCs w:val="21"/>
                <w:highlight w:val="none"/>
                <w:lang w:eastAsia="zh-CN"/>
                <w14:textFill>
                  <w14:solidFill>
                    <w14:schemeClr w14:val="tx1"/>
                  </w14:solidFill>
                </w14:textFill>
              </w:rPr>
              <w:t>应安装软性接头，并对管道进行加固处理，防止因设备、管道振动引起的噪声。</w:t>
            </w:r>
          </w:p>
        </w:tc>
        <w:tc>
          <w:tcPr>
            <w:tcW w:w="2791" w:type="dxa"/>
            <w:vAlign w:val="center"/>
          </w:tcPr>
          <w:p w14:paraId="0CEAC5ED">
            <w:pPr>
              <w:pStyle w:val="36"/>
              <w:spacing w:before="87"/>
              <w:ind w:left="164" w:right="144"/>
              <w:jc w:val="center"/>
              <w:rPr>
                <w:rFonts w:ascii="Times New Roman" w:hAnsi="Times New Roman" w:cs="Times New Roman"/>
                <w:color w:val="000000" w:themeColor="text1"/>
                <w:position w:val="2"/>
                <w:sz w:val="21"/>
                <w:szCs w:val="21"/>
                <w:highlight w:val="none"/>
                <w:lang w:eastAsia="zh-CN"/>
                <w14:textFill>
                  <w14:solidFill>
                    <w14:schemeClr w14:val="tx1"/>
                  </w14:solidFill>
                </w14:textFill>
              </w:rPr>
            </w:pPr>
            <w:r>
              <w:rPr>
                <w:rFonts w:ascii="Times New Roman" w:hAnsi="Times New Roman" w:cs="Times New Roman"/>
                <w:color w:val="000000" w:themeColor="text1"/>
                <w:position w:val="2"/>
                <w:sz w:val="21"/>
                <w:szCs w:val="21"/>
                <w:highlight w:val="none"/>
                <w:lang w:eastAsia="zh-CN"/>
                <w14:textFill>
                  <w14:solidFill>
                    <w14:schemeClr w14:val="tx1"/>
                  </w14:solidFill>
                </w14:textFill>
              </w:rPr>
              <w:t>《工业企业厂界环境噪声排放标准》（GB12348-2008）中3类标准</w:t>
            </w:r>
          </w:p>
        </w:tc>
      </w:tr>
      <w:tr w14:paraId="5C9604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276" w:hRule="atLeast"/>
          <w:jc w:val="center"/>
        </w:trPr>
        <w:tc>
          <w:tcPr>
            <w:tcW w:w="1112" w:type="dxa"/>
            <w:vAlign w:val="center"/>
          </w:tcPr>
          <w:p w14:paraId="193A02AF">
            <w:pPr>
              <w:adjustRightInd w:val="0"/>
              <w:snapToGrid w:val="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固体废物</w:t>
            </w:r>
          </w:p>
        </w:tc>
        <w:tc>
          <w:tcPr>
            <w:tcW w:w="7688" w:type="dxa"/>
            <w:gridSpan w:val="4"/>
            <w:vAlign w:val="center"/>
          </w:tcPr>
          <w:p w14:paraId="6185C399">
            <w:pPr>
              <w:adjustRightInd w:val="0"/>
              <w:snapToGrid w:val="0"/>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1、一般固废暂存于各车间临时存放处，其贮存、设计、运行管理等应执行《</w:t>
            </w:r>
            <w:r>
              <w:rPr>
                <w:rFonts w:hint="eastAsia"/>
                <w:color w:val="000000" w:themeColor="text1"/>
                <w:sz w:val="24"/>
                <w:szCs w:val="24"/>
                <w:highlight w:val="none"/>
                <w:lang w:eastAsia="zh-CN"/>
                <w14:textFill>
                  <w14:solidFill>
                    <w14:schemeClr w14:val="tx1"/>
                  </w14:solidFill>
                </w14:textFill>
              </w:rPr>
              <w:t>中华人民共和国</w:t>
            </w:r>
            <w:r>
              <w:rPr>
                <w:color w:val="000000" w:themeColor="text1"/>
                <w:sz w:val="24"/>
                <w:szCs w:val="24"/>
                <w:highlight w:val="none"/>
                <w14:textFill>
                  <w14:solidFill>
                    <w14:schemeClr w14:val="tx1"/>
                  </w14:solidFill>
                </w14:textFill>
              </w:rPr>
              <w:t>固体废物污染环境防治法》中的有关规定。一般工业固体废物采用库房、包装工具（罐、桶、包装袋等）贮存一般工业固体废物过程的污染控制，其贮存过程应满足相应防渗漏、防雨淋、防扬尘等环境保护要求。一般工业固体废物：</w:t>
            </w:r>
            <w:r>
              <w:rPr>
                <w:rFonts w:hint="eastAsia"/>
                <w:color w:val="000000" w:themeColor="text1"/>
                <w:sz w:val="24"/>
                <w:szCs w:val="24"/>
                <w:highlight w:val="none"/>
                <w:lang w:val="en-US" w:eastAsia="zh-CN"/>
                <w14:textFill>
                  <w14:solidFill>
                    <w14:schemeClr w14:val="tx1"/>
                  </w14:solidFill>
                </w14:textFill>
              </w:rPr>
              <w:t>废塑料边角料、残次品</w:t>
            </w:r>
            <w:r>
              <w:rPr>
                <w:color w:val="000000" w:themeColor="text1"/>
                <w:sz w:val="24"/>
                <w:szCs w:val="24"/>
                <w:highlight w:val="none"/>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废包装材料，收集后外售给回收企业综合利用</w:t>
            </w:r>
            <w:r>
              <w:rPr>
                <w:color w:val="000000" w:themeColor="text1"/>
                <w:sz w:val="24"/>
                <w:szCs w:val="24"/>
                <w:highlight w:val="none"/>
                <w14:textFill>
                  <w14:solidFill>
                    <w14:schemeClr w14:val="tx1"/>
                  </w14:solidFill>
                </w14:textFill>
              </w:rPr>
              <w:t>。</w:t>
            </w:r>
          </w:p>
          <w:p w14:paraId="63AD9E1F">
            <w:pPr>
              <w:adjustRightInd w:val="0"/>
              <w:snapToGrid w:val="0"/>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2、拟在</w:t>
            </w:r>
            <w:r>
              <w:rPr>
                <w:rFonts w:hint="eastAsia"/>
                <w:color w:val="000000" w:themeColor="text1"/>
                <w:sz w:val="24"/>
                <w:szCs w:val="24"/>
                <w:highlight w:val="none"/>
                <w:lang w:val="en-US" w:eastAsia="zh-CN"/>
                <w14:textFill>
                  <w14:solidFill>
                    <w14:schemeClr w14:val="tx1"/>
                  </w14:solidFill>
                </w14:textFill>
              </w:rPr>
              <w:t>厂房南侧设置</w:t>
            </w:r>
            <w:r>
              <w:rPr>
                <w:color w:val="000000" w:themeColor="text1"/>
                <w:sz w:val="24"/>
                <w:szCs w:val="24"/>
                <w:highlight w:val="none"/>
                <w14:textFill>
                  <w14:solidFill>
                    <w14:schemeClr w14:val="tx1"/>
                  </w14:solidFill>
                </w14:textFill>
              </w:rPr>
              <w:t>危险</w:t>
            </w:r>
            <w:r>
              <w:rPr>
                <w:rFonts w:hint="eastAsia"/>
                <w:color w:val="000000" w:themeColor="text1"/>
                <w:sz w:val="24"/>
                <w:szCs w:val="24"/>
                <w:highlight w:val="none"/>
                <w:lang w:val="en-US" w:eastAsia="zh-CN"/>
                <w14:textFill>
                  <w14:solidFill>
                    <w14:schemeClr w14:val="tx1"/>
                  </w14:solidFill>
                </w14:textFill>
              </w:rPr>
              <w:t>废物</w:t>
            </w:r>
            <w:r>
              <w:rPr>
                <w:color w:val="000000" w:themeColor="text1"/>
                <w:sz w:val="24"/>
                <w:szCs w:val="24"/>
                <w:highlight w:val="none"/>
                <w14:textFill>
                  <w14:solidFill>
                    <w14:schemeClr w14:val="tx1"/>
                  </w14:solidFill>
                </w14:textFill>
              </w:rPr>
              <w:t>暂存间</w:t>
            </w:r>
            <w:r>
              <w:rPr>
                <w:rFonts w:hint="eastAsia"/>
                <w:color w:val="000000" w:themeColor="text1"/>
                <w:sz w:val="24"/>
                <w:szCs w:val="24"/>
                <w:highlight w:val="none"/>
                <w:lang w:eastAsia="zh-CN"/>
                <w14:textFill>
                  <w14:solidFill>
                    <w14:schemeClr w14:val="tx1"/>
                  </w14:solidFill>
                </w14:textFill>
              </w:rPr>
              <w:t>。</w:t>
            </w:r>
            <w:r>
              <w:rPr>
                <w:color w:val="000000" w:themeColor="text1"/>
                <w:sz w:val="24"/>
                <w:szCs w:val="24"/>
                <w:highlight w:val="none"/>
                <w14:textFill>
                  <w14:solidFill>
                    <w14:schemeClr w14:val="tx1"/>
                  </w14:solidFill>
                </w14:textFill>
              </w:rPr>
              <w:t>为了防止储存过程的二次污染，要求危险废物暂存间应严格按照</w:t>
            </w:r>
            <w:r>
              <w:rPr>
                <w:rFonts w:hint="eastAsia"/>
                <w:color w:val="000000" w:themeColor="text1"/>
                <w:sz w:val="24"/>
                <w:szCs w:val="24"/>
                <w:highlight w:val="none"/>
                <w:lang w:val="en-US" w:eastAsia="zh-CN"/>
                <w14:textFill>
                  <w14:solidFill>
                    <w14:schemeClr w14:val="tx1"/>
                  </w14:solidFill>
                </w14:textFill>
              </w:rPr>
              <w:t>《危险废物贮存污染控制标准》（GB18597-2023）</w:t>
            </w:r>
            <w:r>
              <w:rPr>
                <w:color w:val="000000" w:themeColor="text1"/>
                <w:sz w:val="24"/>
                <w:szCs w:val="24"/>
                <w:highlight w:val="none"/>
                <w14:textFill>
                  <w14:solidFill>
                    <w14:schemeClr w14:val="tx1"/>
                  </w14:solidFill>
                </w14:textFill>
              </w:rPr>
              <w:t>的相关要求执行，并在危险废物暂存间明显位置悬挂危险废物标识。危险废物暂存于危废间，委托具有相关资质的单位回收处置。</w:t>
            </w:r>
          </w:p>
          <w:p w14:paraId="1697E76D">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color w:val="000000" w:themeColor="text1"/>
                <w:sz w:val="24"/>
                <w:szCs w:val="24"/>
                <w:highlight w:val="none"/>
                <w14:textFill>
                  <w14:solidFill>
                    <w14:schemeClr w14:val="tx1"/>
                  </w14:solidFill>
                </w14:textFill>
              </w:rPr>
              <w:t>3、生活垃圾：环卫部门定期清运处理。</w:t>
            </w:r>
          </w:p>
        </w:tc>
      </w:tr>
      <w:tr w14:paraId="744544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276" w:hRule="atLeast"/>
          <w:jc w:val="center"/>
        </w:trPr>
        <w:tc>
          <w:tcPr>
            <w:tcW w:w="1112" w:type="dxa"/>
            <w:vAlign w:val="center"/>
          </w:tcPr>
          <w:p w14:paraId="022872E7">
            <w:pPr>
              <w:adjustRightInd w:val="0"/>
              <w:snapToGrid w:val="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土壤及地下水</w:t>
            </w:r>
          </w:p>
          <w:p w14:paraId="64CCBB64">
            <w:pPr>
              <w:adjustRightInd w:val="0"/>
              <w:snapToGrid w:val="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污染防治措施</w:t>
            </w:r>
          </w:p>
        </w:tc>
        <w:tc>
          <w:tcPr>
            <w:tcW w:w="7688" w:type="dxa"/>
            <w:gridSpan w:val="4"/>
            <w:vAlign w:val="center"/>
          </w:tcPr>
          <w:p w14:paraId="1D3DE35E">
            <w:pPr>
              <w:adjustRightInd w:val="0"/>
              <w:snapToGrid w:val="0"/>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1、土壤防治措施：做好设备的维护、检修，杜绝跑、冒、滴、漏现象。同时，加强污染物产生主要环节的安全防护、报警措施，以便及时发现事故隐患，采取有效的应对措施。</w:t>
            </w:r>
          </w:p>
          <w:p w14:paraId="6A48572D">
            <w:pPr>
              <w:adjustRightInd w:val="0"/>
              <w:snapToGrid w:val="0"/>
              <w:spacing w:line="360" w:lineRule="auto"/>
              <w:jc w:val="left"/>
              <w:rPr>
                <w:color w:val="000000" w:themeColor="text1"/>
                <w:szCs w:val="21"/>
                <w:highlight w:val="none"/>
                <w14:textFill>
                  <w14:solidFill>
                    <w14:schemeClr w14:val="tx1"/>
                  </w14:solidFill>
                </w14:textFill>
              </w:rPr>
            </w:pPr>
            <w:r>
              <w:rPr>
                <w:color w:val="000000" w:themeColor="text1"/>
                <w:sz w:val="24"/>
                <w:szCs w:val="24"/>
                <w:highlight w:val="none"/>
                <w14:textFill>
                  <w14:solidFill>
                    <w14:schemeClr w14:val="tx1"/>
                  </w14:solidFill>
                </w14:textFill>
              </w:rPr>
              <w:t>2、地下水污染防治措施：</w:t>
            </w:r>
            <w:r>
              <w:rPr>
                <w:rFonts w:hint="eastAsia"/>
                <w:color w:val="000000" w:themeColor="text1"/>
                <w:sz w:val="24"/>
                <w:szCs w:val="24"/>
                <w:highlight w:val="none"/>
                <w:lang w:val="en-US" w:eastAsia="zh-CN"/>
                <w14:textFill>
                  <w14:solidFill>
                    <w14:schemeClr w14:val="tx1"/>
                  </w14:solidFill>
                </w14:textFill>
              </w:rPr>
              <w:t>合理进行防渗区域划分，危废暂存间满足重点防渗区的防渗要求，一般工业固体废物暂存场一般防渗区应按照《一般工业固体废物贮存处置场污染控制标准》中固废临时贮存场所的要求进行设计</w:t>
            </w:r>
            <w:r>
              <w:rPr>
                <w:color w:val="000000" w:themeColor="text1"/>
                <w:sz w:val="24"/>
                <w:szCs w:val="24"/>
                <w:highlight w:val="none"/>
                <w14:textFill>
                  <w14:solidFill>
                    <w14:schemeClr w14:val="tx1"/>
                  </w14:solidFill>
                </w14:textFill>
              </w:rPr>
              <w:t>。</w:t>
            </w:r>
          </w:p>
        </w:tc>
      </w:tr>
      <w:tr w14:paraId="26746B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276" w:hRule="atLeast"/>
          <w:jc w:val="center"/>
        </w:trPr>
        <w:tc>
          <w:tcPr>
            <w:tcW w:w="1112" w:type="dxa"/>
            <w:vAlign w:val="center"/>
          </w:tcPr>
          <w:p w14:paraId="206FEB97">
            <w:pPr>
              <w:adjustRightInd w:val="0"/>
              <w:snapToGrid w:val="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生态保护措施</w:t>
            </w:r>
          </w:p>
        </w:tc>
        <w:tc>
          <w:tcPr>
            <w:tcW w:w="7688" w:type="dxa"/>
            <w:gridSpan w:val="4"/>
            <w:vAlign w:val="center"/>
          </w:tcPr>
          <w:p w14:paraId="00ADCBE9">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本项目租用</w:t>
            </w:r>
            <w:r>
              <w:rPr>
                <w:rFonts w:hint="eastAsia" w:cs="Times New Roman"/>
                <w:color w:val="000000" w:themeColor="text1"/>
                <w:sz w:val="24"/>
                <w:szCs w:val="24"/>
                <w:highlight w:val="none"/>
                <w:lang w:val="en-US" w:eastAsia="zh-CN"/>
                <w14:textFill>
                  <w14:solidFill>
                    <w14:schemeClr w14:val="tx1"/>
                  </w14:solidFill>
                </w14:textFill>
              </w:rPr>
              <w:t>福建省菲格园区开发管理有限公司</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在福建省福州市闽侯县</w:t>
            </w:r>
            <w:r>
              <w:rPr>
                <w:rFonts w:hint="eastAsia"/>
                <w:color w:val="000000" w:themeColor="text1"/>
                <w:sz w:val="24"/>
                <w:szCs w:val="24"/>
                <w:highlight w:val="none"/>
                <w:lang w:val="en-US" w:eastAsia="zh-CN"/>
                <w14:textFill>
                  <w14:solidFill>
                    <w14:schemeClr w14:val="tx1"/>
                  </w14:solidFill>
                </w14:textFill>
              </w:rPr>
              <w:t>南屿镇</w:t>
            </w:r>
            <w:r>
              <w:rPr>
                <w:rFonts w:hint="eastAsia" w:cs="Times New Roman"/>
                <w:color w:val="000000" w:themeColor="text1"/>
                <w:sz w:val="24"/>
                <w:szCs w:val="24"/>
                <w:highlight w:val="none"/>
                <w:lang w:val="en-US" w:eastAsia="zh-CN"/>
                <w14:textFill>
                  <w14:solidFill>
                    <w14:schemeClr w14:val="tx1"/>
                  </w14:solidFill>
                </w14:textFill>
              </w:rPr>
              <w:t>窗厦村尧溪路3号1#厂房</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1层，不涉及新增占地，不会对周边生态环境产生影响。</w:t>
            </w:r>
          </w:p>
        </w:tc>
      </w:tr>
      <w:tr w14:paraId="68E02E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276" w:hRule="atLeast"/>
          <w:jc w:val="center"/>
        </w:trPr>
        <w:tc>
          <w:tcPr>
            <w:tcW w:w="1112" w:type="dxa"/>
            <w:vAlign w:val="center"/>
          </w:tcPr>
          <w:p w14:paraId="5B3EC7C0">
            <w:pPr>
              <w:adjustRightInd w:val="0"/>
              <w:snapToGrid w:val="0"/>
              <w:jc w:val="center"/>
              <w:rPr>
                <w:rFonts w:ascii="宋体" w:hAnsi="宋体" w:cs="宋体"/>
                <w:color w:val="000000" w:themeColor="text1"/>
                <w:spacing w:val="-8"/>
                <w:szCs w:val="21"/>
                <w:highlight w:val="none"/>
                <w14:textFill>
                  <w14:solidFill>
                    <w14:schemeClr w14:val="tx1"/>
                  </w14:solidFill>
                </w14:textFill>
              </w:rPr>
            </w:pPr>
            <w:r>
              <w:rPr>
                <w:rFonts w:hint="eastAsia" w:ascii="宋体" w:hAnsi="宋体" w:cs="宋体"/>
                <w:color w:val="000000" w:themeColor="text1"/>
                <w:spacing w:val="-8"/>
                <w:szCs w:val="21"/>
                <w:highlight w:val="none"/>
                <w14:textFill>
                  <w14:solidFill>
                    <w14:schemeClr w14:val="tx1"/>
                  </w14:solidFill>
                </w14:textFill>
              </w:rPr>
              <w:t>环境风险</w:t>
            </w:r>
          </w:p>
          <w:p w14:paraId="1281F246">
            <w:pPr>
              <w:adjustRightInd w:val="0"/>
              <w:snapToGrid w:val="0"/>
              <w:jc w:val="center"/>
              <w:rPr>
                <w:rFonts w:ascii="宋体" w:hAnsi="宋体" w:cs="宋体"/>
                <w:color w:val="000000" w:themeColor="text1"/>
                <w:spacing w:val="-8"/>
                <w:szCs w:val="21"/>
                <w:highlight w:val="none"/>
                <w14:textFill>
                  <w14:solidFill>
                    <w14:schemeClr w14:val="tx1"/>
                  </w14:solidFill>
                </w14:textFill>
              </w:rPr>
            </w:pPr>
            <w:r>
              <w:rPr>
                <w:rFonts w:hint="eastAsia" w:ascii="宋体" w:hAnsi="宋体" w:cs="宋体"/>
                <w:color w:val="000000" w:themeColor="text1"/>
                <w:spacing w:val="-8"/>
                <w:szCs w:val="21"/>
                <w:highlight w:val="none"/>
                <w14:textFill>
                  <w14:solidFill>
                    <w14:schemeClr w14:val="tx1"/>
                  </w14:solidFill>
                </w14:textFill>
              </w:rPr>
              <w:t>防范措施</w:t>
            </w:r>
          </w:p>
        </w:tc>
        <w:tc>
          <w:tcPr>
            <w:tcW w:w="7688" w:type="dxa"/>
            <w:gridSpan w:val="4"/>
            <w:vAlign w:val="center"/>
          </w:tcPr>
          <w:p w14:paraId="1E38173D">
            <w:pPr>
              <w:keepNext w:val="0"/>
              <w:keepLines w:val="0"/>
              <w:pageBreakBefore w:val="0"/>
              <w:widowControl w:val="0"/>
              <w:kinsoku/>
              <w:wordWrap/>
              <w:overflowPunct/>
              <w:topLinePunct w:val="0"/>
              <w:autoSpaceDE/>
              <w:autoSpaceDN/>
              <w:bidi w:val="0"/>
              <w:adjustRightInd w:val="0"/>
              <w:snapToGrid w:val="0"/>
              <w:spacing w:before="157" w:beforeLines="50" w:line="360" w:lineRule="auto"/>
              <w:jc w:val="both"/>
              <w:textAlignment w:val="auto"/>
              <w:rPr>
                <w:rFonts w:hint="default" w:ascii="Times New Roman" w:hAnsi="Times New Roman" w:cs="Times New Roman"/>
                <w:color w:val="000000" w:themeColor="text1"/>
                <w:sz w:val="24"/>
                <w:szCs w:val="24"/>
                <w:highlight w:val="none"/>
                <w:lang w:val="en-US"/>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定期进行设备检修工作；车间配置一定数量的消防器材、防毒护具；危废暂存场所</w:t>
            </w:r>
            <w:r>
              <w:rPr>
                <w:rFonts w:hint="eastAsia" w:cs="Times New Roman"/>
                <w:color w:val="000000" w:themeColor="text1"/>
                <w:sz w:val="24"/>
                <w:szCs w:val="24"/>
                <w:highlight w:val="none"/>
                <w:lang w:val="en-US" w:eastAsia="zh-CN"/>
                <w14:textFill>
                  <w14:solidFill>
                    <w14:schemeClr w14:val="tx1"/>
                  </w14:solidFill>
                </w14:textFill>
              </w:rPr>
              <w:t>按照</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《危险废物贮存污染控制标准》(GB18597-2023)的要求规范化建设；发生危废泄漏或消防事故时，应</w:t>
            </w:r>
            <w:r>
              <w:rPr>
                <w:rFonts w:hint="eastAsia" w:cs="Times New Roman"/>
                <w:color w:val="000000" w:themeColor="text1"/>
                <w:sz w:val="24"/>
                <w:szCs w:val="24"/>
                <w:highlight w:val="none"/>
                <w:lang w:val="en-US" w:eastAsia="zh-CN"/>
                <w14:textFill>
                  <w14:solidFill>
                    <w14:schemeClr w14:val="tx1"/>
                  </w14:solidFill>
                </w14:textFill>
              </w:rPr>
              <w:t>立即</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采取紧急堵漏措施，关闭雨水总闸防止有毒有害物质、事故废水继续外泄，启动紧急防火措施</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szCs w:val="18"/>
                <w:highlight w:val="none"/>
                <w:lang w:eastAsia="zh-CN"/>
                <w14:textFill>
                  <w14:solidFill>
                    <w14:schemeClr w14:val="tx1"/>
                  </w14:solidFill>
                </w14:textFill>
              </w:rPr>
              <w:t>化学品</w:t>
            </w:r>
            <w:r>
              <w:rPr>
                <w:rFonts w:hint="eastAsia" w:cs="Times New Roman"/>
                <w:color w:val="000000" w:themeColor="text1"/>
                <w:sz w:val="24"/>
                <w:szCs w:val="18"/>
                <w:highlight w:val="none"/>
                <w:lang w:val="en-US" w:eastAsia="zh-CN"/>
                <w14:textFill>
                  <w14:solidFill>
                    <w14:schemeClr w14:val="tx1"/>
                  </w14:solidFill>
                </w14:textFill>
              </w:rPr>
              <w:t>间和危废暂存间周边设置边沟，厂区设置220m</w:t>
            </w:r>
            <w:r>
              <w:rPr>
                <w:rFonts w:hint="eastAsia" w:cs="Times New Roman"/>
                <w:color w:val="000000" w:themeColor="text1"/>
                <w:sz w:val="24"/>
                <w:szCs w:val="18"/>
                <w:highlight w:val="none"/>
                <w:vertAlign w:val="superscript"/>
                <w:lang w:val="en-US" w:eastAsia="zh-CN"/>
                <w14:textFill>
                  <w14:solidFill>
                    <w14:schemeClr w14:val="tx1"/>
                  </w14:solidFill>
                </w14:textFill>
              </w:rPr>
              <w:t>3</w:t>
            </w:r>
            <w:r>
              <w:rPr>
                <w:rFonts w:hint="eastAsia" w:cs="Times New Roman"/>
                <w:color w:val="000000" w:themeColor="text1"/>
                <w:sz w:val="24"/>
                <w:szCs w:val="18"/>
                <w:highlight w:val="none"/>
                <w:lang w:val="en-US" w:eastAsia="zh-CN"/>
                <w14:textFill>
                  <w14:solidFill>
                    <w14:schemeClr w14:val="tx1"/>
                  </w14:solidFill>
                </w14:textFill>
              </w:rPr>
              <w:t>事故应急池。</w:t>
            </w:r>
          </w:p>
        </w:tc>
      </w:tr>
      <w:tr w14:paraId="2FDE4B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02" w:hRule="atLeast"/>
          <w:jc w:val="center"/>
        </w:trPr>
        <w:tc>
          <w:tcPr>
            <w:tcW w:w="1112" w:type="dxa"/>
            <w:vAlign w:val="center"/>
          </w:tcPr>
          <w:p w14:paraId="7B5CB062">
            <w:pPr>
              <w:adjustRightInd w:val="0"/>
              <w:snapToGrid w:val="0"/>
              <w:jc w:val="center"/>
              <w:rPr>
                <w:rFonts w:ascii="宋体" w:hAnsi="宋体" w:cs="宋体"/>
                <w:color w:val="000000" w:themeColor="text1"/>
                <w:spacing w:val="-8"/>
                <w:szCs w:val="21"/>
                <w:highlight w:val="none"/>
                <w14:textFill>
                  <w14:solidFill>
                    <w14:schemeClr w14:val="tx1"/>
                  </w14:solidFill>
                </w14:textFill>
              </w:rPr>
            </w:pPr>
            <w:r>
              <w:rPr>
                <w:rFonts w:hint="eastAsia" w:ascii="宋体" w:hAnsi="宋体" w:cs="宋体"/>
                <w:color w:val="000000" w:themeColor="text1"/>
                <w:spacing w:val="-8"/>
                <w:szCs w:val="21"/>
                <w:highlight w:val="none"/>
                <w14:textFill>
                  <w14:solidFill>
                    <w14:schemeClr w14:val="tx1"/>
                  </w14:solidFill>
                </w14:textFill>
              </w:rPr>
              <w:t>其他环境</w:t>
            </w:r>
          </w:p>
          <w:p w14:paraId="2DE7A833">
            <w:pPr>
              <w:adjustRightInd w:val="0"/>
              <w:snapToGrid w:val="0"/>
              <w:jc w:val="center"/>
              <w:rPr>
                <w:rFonts w:ascii="宋体" w:hAnsi="宋体" w:cs="宋体"/>
                <w:color w:val="000000" w:themeColor="text1"/>
                <w:spacing w:val="-8"/>
                <w:szCs w:val="21"/>
                <w:highlight w:val="none"/>
                <w14:textFill>
                  <w14:solidFill>
                    <w14:schemeClr w14:val="tx1"/>
                  </w14:solidFill>
                </w14:textFill>
              </w:rPr>
            </w:pPr>
            <w:r>
              <w:rPr>
                <w:rFonts w:hint="eastAsia" w:ascii="宋体" w:hAnsi="宋体" w:cs="宋体"/>
                <w:color w:val="000000" w:themeColor="text1"/>
                <w:spacing w:val="-8"/>
                <w:szCs w:val="21"/>
                <w:highlight w:val="none"/>
                <w14:textFill>
                  <w14:solidFill>
                    <w14:schemeClr w14:val="tx1"/>
                  </w14:solidFill>
                </w14:textFill>
              </w:rPr>
              <w:t>管理要求</w:t>
            </w:r>
          </w:p>
        </w:tc>
        <w:tc>
          <w:tcPr>
            <w:tcW w:w="7688" w:type="dxa"/>
            <w:gridSpan w:val="4"/>
            <w:vAlign w:val="center"/>
          </w:tcPr>
          <w:p w14:paraId="2B2C651A">
            <w:pPr>
              <w:adjustRightInd w:val="0"/>
              <w:snapToGrid w:val="0"/>
              <w:spacing w:line="360" w:lineRule="auto"/>
              <w:rPr>
                <w:b/>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1、施工期环境管理要求</w:t>
            </w:r>
          </w:p>
          <w:p w14:paraId="2266AF8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本项目</w:t>
            </w:r>
            <w:r>
              <w:rPr>
                <w:rFonts w:hint="eastAsia" w:ascii="Times New Roman" w:hAnsi="Times New Roman" w:cs="宋体"/>
                <w:color w:val="000000" w:themeColor="text1"/>
                <w:kern w:val="2"/>
                <w:sz w:val="24"/>
                <w:szCs w:val="24"/>
                <w:highlight w:val="none"/>
                <w:lang w:val="en-US" w:eastAsia="zh-CN"/>
                <w14:textFill>
                  <w14:solidFill>
                    <w14:schemeClr w14:val="tx1"/>
                  </w14:solidFill>
                </w14:textFill>
              </w:rPr>
              <w:t>所在</w:t>
            </w:r>
            <w:r>
              <w:rPr>
                <w:rFonts w:hint="eastAsia" w:ascii="Times New Roman" w:hAnsi="Times New Roman" w:cs="宋体"/>
                <w:color w:val="000000" w:themeColor="text1"/>
                <w:kern w:val="2"/>
                <w:sz w:val="24"/>
                <w:szCs w:val="24"/>
                <w:highlight w:val="none"/>
                <w14:textFill>
                  <w14:solidFill>
                    <w14:schemeClr w14:val="tx1"/>
                  </w14:solidFill>
                </w14:textFill>
              </w:rPr>
              <w:t>厂房主体结构已经建成，因此不存在厂房等主体工程施工期环境影响。项目施工期主要为厂房内部装修、设备安装、调试阶段产生的环境问题，本项目设备安装、调试简单，且时间较短，因此，随着设备安装、调试完毕后，项目施工期也将结束，施工期环境影响也</w:t>
            </w:r>
            <w:r>
              <w:rPr>
                <w:rFonts w:hint="eastAsia" w:ascii="Times New Roman" w:hAnsi="Times New Roman" w:cs="宋体"/>
                <w:color w:val="000000" w:themeColor="text1"/>
                <w:kern w:val="2"/>
                <w:sz w:val="24"/>
                <w:szCs w:val="24"/>
                <w:highlight w:val="none"/>
                <w:lang w:eastAsia="zh-CN"/>
                <w14:textFill>
                  <w14:solidFill>
                    <w14:schemeClr w14:val="tx1"/>
                  </w14:solidFill>
                </w14:textFill>
              </w:rPr>
              <w:t>随之</w:t>
            </w:r>
            <w:r>
              <w:rPr>
                <w:rFonts w:hint="eastAsia" w:ascii="Times New Roman" w:hAnsi="Times New Roman" w:cs="宋体"/>
                <w:color w:val="000000" w:themeColor="text1"/>
                <w:kern w:val="2"/>
                <w:sz w:val="24"/>
                <w:szCs w:val="24"/>
                <w:highlight w:val="none"/>
                <w14:textFill>
                  <w14:solidFill>
                    <w14:schemeClr w14:val="tx1"/>
                  </w14:solidFill>
                </w14:textFill>
              </w:rPr>
              <w:t>消失，不会对周边环境</w:t>
            </w:r>
            <w:r>
              <w:rPr>
                <w:rFonts w:hint="eastAsia" w:ascii="Times New Roman" w:hAnsi="Times New Roman" w:cs="宋体"/>
                <w:color w:val="000000" w:themeColor="text1"/>
                <w:kern w:val="2"/>
                <w:sz w:val="24"/>
                <w:szCs w:val="24"/>
                <w:highlight w:val="none"/>
                <w:lang w:val="en-US" w:eastAsia="zh-CN"/>
                <w14:textFill>
                  <w14:solidFill>
                    <w14:schemeClr w14:val="tx1"/>
                  </w14:solidFill>
                </w14:textFill>
              </w:rPr>
              <w:t>造成</w:t>
            </w:r>
            <w:r>
              <w:rPr>
                <w:rFonts w:hint="eastAsia" w:ascii="Times New Roman" w:hAnsi="Times New Roman" w:cs="宋体"/>
                <w:color w:val="000000" w:themeColor="text1"/>
                <w:kern w:val="2"/>
                <w:sz w:val="24"/>
                <w:szCs w:val="24"/>
                <w:highlight w:val="none"/>
                <w14:textFill>
                  <w14:solidFill>
                    <w14:schemeClr w14:val="tx1"/>
                  </w14:solidFill>
                </w14:textFill>
              </w:rPr>
              <w:t>影响</w:t>
            </w:r>
            <w:r>
              <w:rPr>
                <w:color w:val="000000" w:themeColor="text1"/>
                <w:sz w:val="24"/>
                <w:szCs w:val="24"/>
                <w:highlight w:val="none"/>
                <w14:textFill>
                  <w14:solidFill>
                    <w14:schemeClr w14:val="tx1"/>
                  </w14:solidFill>
                </w14:textFill>
              </w:rPr>
              <w:t>。</w:t>
            </w:r>
          </w:p>
          <w:p w14:paraId="6EFFCB39">
            <w:pPr>
              <w:adjustRightInd w:val="0"/>
              <w:snapToGrid w:val="0"/>
              <w:spacing w:line="360" w:lineRule="auto"/>
              <w:rPr>
                <w:b/>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2、运营期环境管理要求</w:t>
            </w:r>
          </w:p>
          <w:p w14:paraId="6624316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运营期的环境管理重点是各项环境保护措施的落实，环保设施运行的管理和维护，日常的监测及污染事故的防范和应急处理。</w:t>
            </w:r>
          </w:p>
          <w:p w14:paraId="15884B9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排污口规范化管理是实施污染物总量控制的基础性工作之一，也是总量控制不可缺少的一部分内容。此项工作可强化污染物的现场监督检查，促进企业加强管理和污染治理，实施污染物排放科学化、定量化管理。建设单位应如实填写《中华人民共和国规范化排污口标志登记证》的有关内容，由生态环境主管部门签发登记证。建设单位应把排污口情况如排污口的性质、编号、排污口位置以及主要排放的污染物的种类、数量、浓度、排放规律、排放去向以及污染治理实施的运行情况建档管理，并报送生态环境主管部门备案。企业应尽快向当地环境保护部门提交《排污许可证申请表》，经生态环境部门审核后，核发排污许可证。项目投入试运营后应及时开展竣工环保自主验收。为了方便监测人员对排气筒进行监测，企业应按照GB/T16157-1996《固定污染源排气中颗粒物测定与气体污染物采样方法》的规定要求，在排气筒上预留永久性采样监测孔。发生污染事故时，增加监测频次，按照应急监测要求进行监测。</w:t>
            </w:r>
          </w:p>
          <w:p w14:paraId="160EC77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本项目废水接入厂房北侧市政污水管网，具体详见附图15。建设单位按HJ1405-2024设置合法排放口，设置规范采样口、采样平台，悬挂污水排放口标识牌，标注编号、污染物、执行标准。</w:t>
            </w:r>
            <w:r>
              <w:rPr>
                <w:rFonts w:hint="default"/>
                <w:color w:val="000000" w:themeColor="text1"/>
                <w:sz w:val="24"/>
                <w:szCs w:val="24"/>
                <w:highlight w:val="none"/>
                <w:lang w:val="en-US" w:eastAsia="zh-CN"/>
                <w14:textFill>
                  <w14:solidFill>
                    <w14:schemeClr w14:val="tx1"/>
                  </w14:solidFill>
                </w14:textFill>
              </w:rPr>
              <w:t>建立污水站运行台账（加药、流量、pH、设备运维</w:t>
            </w:r>
            <w:r>
              <w:rPr>
                <w:rFonts w:hint="eastAsia"/>
                <w:color w:val="000000" w:themeColor="text1"/>
                <w:sz w:val="24"/>
                <w:szCs w:val="24"/>
                <w:highlight w:val="none"/>
                <w:lang w:val="en-US" w:eastAsia="zh-CN"/>
                <w14:textFill>
                  <w14:solidFill>
                    <w14:schemeClr w14:val="tx1"/>
                  </w14:solidFill>
                </w14:textFill>
              </w:rPr>
              <w:t>等</w:t>
            </w:r>
            <w:r>
              <w:rPr>
                <w:rFonts w:hint="default"/>
                <w:color w:val="000000" w:themeColor="text1"/>
                <w:sz w:val="24"/>
                <w:szCs w:val="24"/>
                <w:highlight w:val="none"/>
                <w:lang w:val="en-US" w:eastAsia="zh-CN"/>
                <w14:textFill>
                  <w14:solidFill>
                    <w14:schemeClr w14:val="tx1"/>
                  </w14:solidFill>
                </w14:textFill>
              </w:rPr>
              <w:t>）、污泥处置台账、监测台账。按自行监测方案开展监测，超标立即停产整改，配合执法监测与监督检查。</w:t>
            </w:r>
          </w:p>
          <w:p w14:paraId="28C95792">
            <w:pPr>
              <w:adjustRightInd w:val="0"/>
              <w:snapToGrid w:val="0"/>
              <w:spacing w:line="360" w:lineRule="auto"/>
              <w:rPr>
                <w:b/>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3、生产中的环境管理</w:t>
            </w:r>
          </w:p>
          <w:p w14:paraId="370B983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所有的员工都应受到相应的岗位培训，能胜任岗位工作后方可上岗。所有的岗位都应有相应的操作规程，完整的运行记录</w:t>
            </w:r>
            <w:r>
              <w:rPr>
                <w:rFonts w:hint="eastAsia"/>
                <w:color w:val="000000" w:themeColor="text1"/>
                <w:sz w:val="24"/>
                <w:szCs w:val="24"/>
                <w:highlight w:val="none"/>
                <w:lang w:eastAsia="zh-CN"/>
                <w14:textFill>
                  <w14:solidFill>
                    <w14:schemeClr w14:val="tx1"/>
                  </w14:solidFill>
                </w14:textFill>
              </w:rPr>
              <w:t>，</w:t>
            </w:r>
            <w:r>
              <w:rPr>
                <w:color w:val="000000" w:themeColor="text1"/>
                <w:sz w:val="24"/>
                <w:szCs w:val="24"/>
                <w:highlight w:val="none"/>
                <w14:textFill>
                  <w14:solidFill>
                    <w14:schemeClr w14:val="tx1"/>
                  </w14:solidFill>
                </w14:textFill>
              </w:rPr>
              <w:t>畅通的信息交流通道。</w:t>
            </w:r>
          </w:p>
          <w:p w14:paraId="4F3142D8">
            <w:pPr>
              <w:adjustRightInd w:val="0"/>
              <w:snapToGrid w:val="0"/>
              <w:spacing w:line="360" w:lineRule="auto"/>
              <w:rPr>
                <w:rFonts w:hint="eastAsia"/>
                <w:color w:val="000000" w:themeColor="text1"/>
                <w:sz w:val="24"/>
                <w:szCs w:val="24"/>
                <w:highlight w:val="none"/>
                <w:lang w:val="en-US" w:eastAsia="zh-CN"/>
                <w14:textFill>
                  <w14:solidFill>
                    <w14:schemeClr w14:val="tx1"/>
                  </w14:solidFill>
                </w14:textFill>
              </w:rPr>
            </w:pPr>
            <w:r>
              <w:rPr>
                <w:rFonts w:hint="default"/>
                <w:b/>
                <w:color w:val="000000" w:themeColor="text1"/>
                <w:sz w:val="24"/>
                <w:szCs w:val="24"/>
                <w:highlight w:val="none"/>
                <w:lang w:val="en-US" w:eastAsia="zh-CN"/>
                <w14:textFill>
                  <w14:solidFill>
                    <w14:schemeClr w14:val="tx1"/>
                  </w14:solidFill>
                </w14:textFill>
              </w:rPr>
              <w:t>4、与排污许可证的衔接</w:t>
            </w:r>
          </w:p>
          <w:p w14:paraId="10198FA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olor w:val="000000" w:themeColor="text1"/>
                <w:sz w:val="24"/>
                <w:szCs w:val="24"/>
                <w:highlight w:val="none"/>
                <w:lang w:val="en-US" w:eastAsia="zh-CN"/>
                <w14:textFill>
                  <w14:solidFill>
                    <w14:schemeClr w14:val="tx1"/>
                  </w14:solidFill>
                </w14:textFill>
              </w:rPr>
            </w:pPr>
            <w:r>
              <w:rPr>
                <w:rFonts w:hint="default"/>
                <w:color w:val="000000" w:themeColor="text1"/>
                <w:sz w:val="24"/>
                <w:szCs w:val="24"/>
                <w:highlight w:val="none"/>
                <w:lang w:val="en-US" w:eastAsia="zh-CN"/>
                <w14:textFill>
                  <w14:solidFill>
                    <w14:schemeClr w14:val="tx1"/>
                  </w14:solidFill>
                </w14:textFill>
              </w:rPr>
              <w:t>本项目主要从事</w:t>
            </w:r>
            <w:r>
              <w:rPr>
                <w:rFonts w:hint="eastAsia"/>
                <w:color w:val="000000" w:themeColor="text1"/>
                <w:sz w:val="24"/>
                <w:szCs w:val="24"/>
                <w:highlight w:val="none"/>
                <w:lang w:val="en-US" w:eastAsia="zh-CN"/>
                <w14:textFill>
                  <w14:solidFill>
                    <w14:schemeClr w14:val="tx1"/>
                  </w14:solidFill>
                </w14:textFill>
              </w:rPr>
              <w:t>光学元器件生产，</w:t>
            </w:r>
            <w:r>
              <w:rPr>
                <w:rFonts w:hint="default"/>
                <w:color w:val="000000" w:themeColor="text1"/>
                <w:sz w:val="24"/>
                <w:szCs w:val="24"/>
                <w:highlight w:val="none"/>
                <w:lang w:val="en-US" w:eastAsia="zh-CN"/>
                <w14:textFill>
                  <w14:solidFill>
                    <w14:schemeClr w14:val="tx1"/>
                  </w14:solidFill>
                </w14:textFill>
              </w:rPr>
              <w:t>根据《固定污染源排污许可分类管理名录（2019年版）》（生态环境部 第11号），本项目对应</w:t>
            </w:r>
            <w:r>
              <w:rPr>
                <w:rFonts w:hint="eastAsia"/>
                <w:color w:val="000000" w:themeColor="text1"/>
                <w:sz w:val="24"/>
                <w:szCs w:val="24"/>
                <w:highlight w:val="none"/>
                <w:lang w:val="en-US" w:eastAsia="zh-CN"/>
                <w14:textFill>
                  <w14:solidFill>
                    <w14:schemeClr w14:val="tx1"/>
                  </w14:solidFill>
                </w14:textFill>
              </w:rPr>
              <w:t>名录中“三十四、计算机、通信和其他电子设备制造业39；电子元件及电子专用材料制造398”，后续企业若纳入重点排污单位名录，应申请重点管理排污许可证，若未纳入重点排污单位名录，申请简化管理排污许可证。</w:t>
            </w:r>
            <w:r>
              <w:rPr>
                <w:rFonts w:hint="default"/>
                <w:color w:val="000000" w:themeColor="text1"/>
                <w:sz w:val="24"/>
                <w:szCs w:val="24"/>
                <w:highlight w:val="none"/>
                <w:lang w:val="en-US" w:eastAsia="zh-CN"/>
                <w14:textFill>
                  <w14:solidFill>
                    <w14:schemeClr w14:val="tx1"/>
                  </w14:solidFill>
                </w14:textFill>
              </w:rPr>
              <w:t>建设单位应当在启动生产设施或者发生实际排污之前在全国排污许可证管理信息平台</w:t>
            </w:r>
            <w:r>
              <w:rPr>
                <w:rFonts w:hint="eastAsia"/>
                <w:color w:val="000000" w:themeColor="text1"/>
                <w:sz w:val="24"/>
                <w:szCs w:val="24"/>
                <w:highlight w:val="none"/>
                <w:lang w:val="en-US" w:eastAsia="zh-CN"/>
                <w14:textFill>
                  <w14:solidFill>
                    <w14:schemeClr w14:val="tx1"/>
                  </w14:solidFill>
                </w14:textFill>
              </w:rPr>
              <w:t>取得</w:t>
            </w:r>
            <w:r>
              <w:rPr>
                <w:rFonts w:hint="default"/>
                <w:color w:val="000000" w:themeColor="text1"/>
                <w:sz w:val="24"/>
                <w:szCs w:val="24"/>
                <w:highlight w:val="none"/>
                <w:lang w:val="en-US" w:eastAsia="zh-CN"/>
                <w14:textFill>
                  <w14:solidFill>
                    <w14:schemeClr w14:val="tx1"/>
                  </w14:solidFill>
                </w14:textFill>
              </w:rPr>
              <w:t>排污许可</w:t>
            </w:r>
            <w:r>
              <w:rPr>
                <w:rFonts w:hint="eastAsia"/>
                <w:color w:val="000000" w:themeColor="text1"/>
                <w:sz w:val="24"/>
                <w:szCs w:val="24"/>
                <w:highlight w:val="none"/>
                <w:lang w:val="en-US" w:eastAsia="zh-CN"/>
                <w14:textFill>
                  <w14:solidFill>
                    <w14:schemeClr w14:val="tx1"/>
                  </w14:solidFill>
                </w14:textFill>
              </w:rPr>
              <w:t>证。</w:t>
            </w:r>
          </w:p>
          <w:p w14:paraId="2AB59A9D">
            <w:pPr>
              <w:adjustRightInd w:val="0"/>
              <w:snapToGrid w:val="0"/>
              <w:spacing w:line="360" w:lineRule="auto"/>
              <w:rPr>
                <w:rFonts w:hint="default"/>
                <w:color w:val="000000" w:themeColor="text1"/>
                <w:sz w:val="24"/>
                <w:szCs w:val="24"/>
                <w:highlight w:val="none"/>
                <w:lang w:val="en-US" w:eastAsia="zh-CN"/>
                <w14:textFill>
                  <w14:solidFill>
                    <w14:schemeClr w14:val="tx1"/>
                  </w14:solidFill>
                </w14:textFill>
              </w:rPr>
            </w:pPr>
            <w:r>
              <w:rPr>
                <w:rFonts w:hint="eastAsia"/>
                <w:b/>
                <w:color w:val="000000" w:themeColor="text1"/>
                <w:sz w:val="24"/>
                <w:szCs w:val="24"/>
                <w:highlight w:val="none"/>
                <w:lang w:val="en-US" w:eastAsia="zh-CN"/>
                <w14:textFill>
                  <w14:solidFill>
                    <w14:schemeClr w14:val="tx1"/>
                  </w14:solidFill>
                </w14:textFill>
              </w:rPr>
              <w:t>5</w:t>
            </w:r>
            <w:r>
              <w:rPr>
                <w:rFonts w:hint="default"/>
                <w:b/>
                <w:color w:val="000000" w:themeColor="text1"/>
                <w:sz w:val="24"/>
                <w:szCs w:val="24"/>
                <w:highlight w:val="none"/>
                <w:lang w:val="en-US" w:eastAsia="zh-CN"/>
                <w14:textFill>
                  <w14:solidFill>
                    <w14:schemeClr w14:val="tx1"/>
                  </w14:solidFill>
                </w14:textFill>
              </w:rPr>
              <w:t>、</w:t>
            </w:r>
            <w:r>
              <w:rPr>
                <w:rFonts w:hint="eastAsia"/>
                <w:b/>
                <w:color w:val="000000" w:themeColor="text1"/>
                <w:sz w:val="24"/>
                <w:szCs w:val="24"/>
                <w:highlight w:val="none"/>
                <w:lang w:val="en-US" w:eastAsia="zh-CN"/>
                <w14:textFill>
                  <w14:solidFill>
                    <w14:schemeClr w14:val="tx1"/>
                  </w14:solidFill>
                </w14:textFill>
              </w:rPr>
              <w:t>竣工环保验收</w:t>
            </w:r>
          </w:p>
          <w:p w14:paraId="1545101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olor w:val="000000" w:themeColor="text1"/>
                <w:sz w:val="24"/>
                <w:szCs w:val="24"/>
                <w:highlight w:val="none"/>
                <w:lang w:val="en-US" w:eastAsia="zh-CN"/>
                <w14:textFill>
                  <w14:solidFill>
                    <w14:schemeClr w14:val="tx1"/>
                  </w14:solidFill>
                </w14:textFill>
              </w:rPr>
            </w:pPr>
            <w:r>
              <w:rPr>
                <w:rFonts w:hint="default"/>
                <w:color w:val="000000" w:themeColor="text1"/>
                <w:sz w:val="24"/>
                <w:szCs w:val="24"/>
                <w:highlight w:val="none"/>
                <w:lang w:val="en-US" w:eastAsia="zh-CN"/>
                <w14:textFill>
                  <w14:solidFill>
                    <w14:schemeClr w14:val="tx1"/>
                  </w14:solidFill>
                </w14:textFill>
              </w:rPr>
              <w:t>项目投入试运营后应及时开展竣工环保自主验收。根据《建设项目竣工环境保护验收暂行办法》（国环规环评[2017]4号）第十二条：除需要取得排污许可证的水和大气污染防治设施外，其他环境保护设施的验收期限一般不超过3个月。</w:t>
            </w:r>
            <w:r>
              <w:rPr>
                <w:rFonts w:hint="eastAsia"/>
                <w:color w:val="000000" w:themeColor="text1"/>
                <w:sz w:val="24"/>
                <w:szCs w:val="24"/>
                <w:highlight w:val="none"/>
                <w:lang w:val="en-US" w:eastAsia="zh-CN"/>
                <w14:textFill>
                  <w14:solidFill>
                    <w14:schemeClr w14:val="tx1"/>
                  </w14:solidFill>
                </w14:textFill>
              </w:rPr>
              <w:t>验收内容详见“五、环境保护措施监督检查清单”中的各要素环境保护措施。</w:t>
            </w:r>
            <w:r>
              <w:rPr>
                <w:rFonts w:hint="default"/>
                <w:color w:val="000000" w:themeColor="text1"/>
                <w:sz w:val="24"/>
                <w:szCs w:val="24"/>
                <w:highlight w:val="none"/>
                <w:lang w:val="en-US" w:eastAsia="zh-CN"/>
                <w14:textFill>
                  <w14:solidFill>
                    <w14:schemeClr w14:val="tx1"/>
                  </w14:solidFill>
                </w14:textFill>
              </w:rPr>
              <w:t>需要对该类环境保护设施进行调试或者整改的，验收期限可以适当延期，但最长不超过12个月。验收期限是指自建设项目环境保护设施竣工之日起至建设单位向社会公开验收报告之日止的时间</w:t>
            </w:r>
            <w:r>
              <w:rPr>
                <w:rFonts w:hint="eastAsia"/>
                <w:color w:val="000000" w:themeColor="text1"/>
                <w:sz w:val="24"/>
                <w:szCs w:val="24"/>
                <w:highlight w:val="none"/>
                <w:lang w:val="en-US" w:eastAsia="zh-CN"/>
                <w14:textFill>
                  <w14:solidFill>
                    <w14:schemeClr w14:val="tx1"/>
                  </w14:solidFill>
                </w14:textFill>
              </w:rPr>
              <w:t>。</w:t>
            </w:r>
          </w:p>
          <w:p w14:paraId="11F8BE85">
            <w:pPr>
              <w:adjustRightInd w:val="0"/>
              <w:snapToGrid w:val="0"/>
              <w:spacing w:line="360" w:lineRule="auto"/>
              <w:rPr>
                <w:rFonts w:hint="default"/>
                <w:color w:val="000000" w:themeColor="text1"/>
                <w:sz w:val="24"/>
                <w:szCs w:val="24"/>
                <w:highlight w:val="none"/>
                <w:lang w:val="en-US" w:eastAsia="zh-CN"/>
                <w14:textFill>
                  <w14:solidFill>
                    <w14:schemeClr w14:val="tx1"/>
                  </w14:solidFill>
                </w14:textFill>
              </w:rPr>
            </w:pPr>
          </w:p>
        </w:tc>
      </w:tr>
    </w:tbl>
    <w:p w14:paraId="46764604">
      <w:pPr>
        <w:pStyle w:val="26"/>
        <w:jc w:val="center"/>
        <w:outlineLvl w:val="0"/>
        <w:rPr>
          <w:snapToGrid w:val="0"/>
          <w:color w:val="000000" w:themeColor="text1"/>
          <w:highlight w:val="none"/>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657C62F0">
      <w:pPr>
        <w:jc w:val="center"/>
        <w:outlineLvl w:val="0"/>
        <w:rPr>
          <w:rFonts w:ascii="黑体" w:hAnsi="黑体" w:eastAsia="黑体"/>
          <w:snapToGrid w:val="0"/>
          <w:color w:val="000000" w:themeColor="text1"/>
          <w:sz w:val="30"/>
          <w:szCs w:val="30"/>
          <w:highlight w:val="none"/>
          <w14:textFill>
            <w14:solidFill>
              <w14:schemeClr w14:val="tx1"/>
            </w14:solidFill>
          </w14:textFill>
        </w:rPr>
      </w:pPr>
      <w:bookmarkStart w:id="16" w:name="_Toc24160"/>
      <w:r>
        <w:rPr>
          <w:rFonts w:hint="eastAsia" w:ascii="黑体" w:hAnsi="黑体" w:eastAsia="黑体"/>
          <w:snapToGrid w:val="0"/>
          <w:color w:val="000000" w:themeColor="text1"/>
          <w:sz w:val="30"/>
          <w:szCs w:val="30"/>
          <w:highlight w:val="none"/>
          <w14:textFill>
            <w14:solidFill>
              <w14:schemeClr w14:val="tx1"/>
            </w14:solidFill>
          </w14:textFill>
        </w:rPr>
        <w:t>六、结论</w:t>
      </w:r>
      <w:bookmarkEnd w:id="16"/>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7342F1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1E5BA67B">
            <w:pPr>
              <w:keepNext w:val="0"/>
              <w:keepLines w:val="0"/>
              <w:pageBreakBefore w:val="0"/>
              <w:widowControl w:val="0"/>
              <w:kinsoku/>
              <w:wordWrap/>
              <w:overflowPunct/>
              <w:topLinePunct w:val="0"/>
              <w:autoSpaceDE/>
              <w:autoSpaceDN/>
              <w:bidi w:val="0"/>
              <w:adjustRightInd/>
              <w:snapToGrid/>
              <w:spacing w:before="313" w:beforeLines="100" w:line="360" w:lineRule="auto"/>
              <w:ind w:firstLine="480" w:firstLineChars="200"/>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综上所述，项目建设符合相关产业政策及生态环境分区管控要求，选址符合产业园区规划及规划环评要求。本项目在采用国内先进的生产工艺、清洁生产技术和有效的污染防治措施后，能够实现污染物达标排放，同时满足主要污染物排放总量控制要求;针对突发性事故，应制定环境风险防范措施，使环境事故风险影响达到可接受水平;建设单位在严格落实本报告提出的各项环保措施和执行“三同时”的情况下，从环境影响角度分析，本项目的建设是可行的。</w:t>
            </w:r>
          </w:p>
          <w:p w14:paraId="02DE7F9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p w14:paraId="456C7EA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p w14:paraId="74898FE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right"/>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编制单位：福建省环境保护设计院有限公司</w:t>
            </w:r>
          </w:p>
          <w:p w14:paraId="177DC74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right"/>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编制时间：2026年</w:t>
            </w:r>
            <w:r>
              <w:rPr>
                <w:rFonts w:hint="eastAsia" w:cs="Times New Roman"/>
                <w:color w:val="000000" w:themeColor="text1"/>
                <w:sz w:val="24"/>
                <w:szCs w:val="24"/>
                <w:highlight w:val="none"/>
                <w:lang w:val="en-US" w:eastAsia="zh-CN"/>
                <w14:textFill>
                  <w14:solidFill>
                    <w14:schemeClr w14:val="tx1"/>
                  </w14:solidFill>
                </w14:textFill>
              </w:rPr>
              <w:t>5</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月</w:t>
            </w:r>
          </w:p>
          <w:p w14:paraId="03380A21">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default" w:ascii="宋体" w:cs="宋体"/>
                <w:color w:val="000000" w:themeColor="text1"/>
                <w:sz w:val="24"/>
                <w:szCs w:val="32"/>
                <w:highlight w:val="none"/>
                <w:lang w:val="en-US" w:eastAsia="zh-CN"/>
                <w14:textFill>
                  <w14:solidFill>
                    <w14:schemeClr w14:val="tx1"/>
                  </w14:solidFill>
                </w14:textFill>
              </w:rPr>
            </w:pPr>
          </w:p>
          <w:p w14:paraId="557EBAA9">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宋体" w:cs="宋体"/>
                <w:color w:val="000000" w:themeColor="text1"/>
                <w:sz w:val="24"/>
                <w:szCs w:val="32"/>
                <w:highlight w:val="none"/>
                <w14:textFill>
                  <w14:solidFill>
                    <w14:schemeClr w14:val="tx1"/>
                  </w14:solidFill>
                </w14:textFill>
              </w:rPr>
            </w:pPr>
          </w:p>
          <w:p w14:paraId="008F95D2">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宋体" w:cs="宋体"/>
                <w:color w:val="000000" w:themeColor="text1"/>
                <w:sz w:val="24"/>
                <w:szCs w:val="32"/>
                <w:highlight w:val="none"/>
                <w14:textFill>
                  <w14:solidFill>
                    <w14:schemeClr w14:val="tx1"/>
                  </w14:solidFill>
                </w14:textFill>
              </w:rPr>
            </w:pPr>
          </w:p>
        </w:tc>
      </w:tr>
    </w:tbl>
    <w:p w14:paraId="25296C79">
      <w:pPr>
        <w:pStyle w:val="12"/>
        <w:rPr>
          <w:snapToGrid w:val="0"/>
          <w:color w:val="000000" w:themeColor="text1"/>
          <w:highlight w:val="none"/>
          <w14:textFill>
            <w14:solidFill>
              <w14:schemeClr w14:val="tx1"/>
            </w14:solidFill>
          </w14:textFill>
        </w:rPr>
      </w:pPr>
      <w:bookmarkStart w:id="17" w:name="环境风险影响专项评价"/>
      <w:bookmarkEnd w:id="17"/>
      <w:bookmarkStart w:id="18" w:name="福建青泰不锈钢深加工项目"/>
      <w:bookmarkEnd w:id="18"/>
      <w:bookmarkStart w:id="19" w:name="_bookmark5"/>
      <w:bookmarkEnd w:id="19"/>
      <w:bookmarkStart w:id="20" w:name="五、环境保护措施监督检查清单"/>
      <w:bookmarkEnd w:id="20"/>
      <w:bookmarkStart w:id="21" w:name="_bookmark6"/>
      <w:bookmarkEnd w:id="21"/>
      <w:bookmarkStart w:id="22" w:name="六、结论"/>
      <w:bookmarkEnd w:id="22"/>
    </w:p>
    <w:p w14:paraId="646664FD">
      <w:pPr>
        <w:pStyle w:val="12"/>
        <w:rPr>
          <w:snapToGrid w:val="0"/>
          <w:color w:val="000000" w:themeColor="text1"/>
          <w:highlight w:val="none"/>
          <w14:textFill>
            <w14:solidFill>
              <w14:schemeClr w14:val="tx1"/>
            </w14:solidFill>
          </w14:textFill>
        </w:rPr>
      </w:pPr>
    </w:p>
    <w:p w14:paraId="2D9C922E">
      <w:pPr>
        <w:pStyle w:val="26"/>
        <w:jc w:val="center"/>
        <w:outlineLvl w:val="0"/>
        <w:rPr>
          <w:snapToGrid w:val="0"/>
          <w:color w:val="000000" w:themeColor="text1"/>
          <w:highlight w:val="none"/>
          <w14:textFill>
            <w14:solidFill>
              <w14:schemeClr w14:val="tx1"/>
            </w14:solidFill>
          </w14:textFill>
        </w:rPr>
        <w:sectPr>
          <w:headerReference r:id="rId8" w:type="default"/>
          <w:footerReference r:id="rId9" w:type="default"/>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074E1FB2">
      <w:pPr>
        <w:pStyle w:val="26"/>
        <w:adjustRightInd w:val="0"/>
        <w:snapToGrid w:val="0"/>
        <w:spacing w:before="0" w:beforeAutospacing="0" w:after="0" w:afterAutospacing="0" w:line="648" w:lineRule="auto"/>
        <w:outlineLvl w:val="9"/>
        <w:rPr>
          <w:rFonts w:ascii="黑体" w:hAnsi="黑体" w:eastAsia="黑体"/>
          <w:snapToGrid w:val="0"/>
          <w:color w:val="000000" w:themeColor="text1"/>
          <w:sz w:val="32"/>
          <w:szCs w:val="32"/>
          <w:highlight w:val="none"/>
          <w14:textFill>
            <w14:solidFill>
              <w14:schemeClr w14:val="tx1"/>
            </w14:solidFill>
          </w14:textFill>
        </w:rPr>
      </w:pPr>
      <w:bookmarkStart w:id="23" w:name="_Toc160740698"/>
      <w:r>
        <w:rPr>
          <w:rFonts w:hint="eastAsia" w:ascii="黑体" w:hAnsi="黑体" w:eastAsia="黑体"/>
          <w:snapToGrid w:val="0"/>
          <w:color w:val="000000" w:themeColor="text1"/>
          <w:sz w:val="32"/>
          <w:szCs w:val="32"/>
          <w:highlight w:val="none"/>
          <w14:textFill>
            <w14:solidFill>
              <w14:schemeClr w14:val="tx1"/>
            </w14:solidFill>
          </w14:textFill>
        </w:rPr>
        <w:t>附表2</w:t>
      </w:r>
      <w:bookmarkEnd w:id="23"/>
    </w:p>
    <w:p w14:paraId="5B229D38">
      <w:pPr>
        <w:pStyle w:val="26"/>
        <w:adjustRightInd w:val="0"/>
        <w:snapToGrid w:val="0"/>
        <w:spacing w:before="0" w:beforeAutospacing="0" w:after="0" w:afterAutospacing="0" w:line="552" w:lineRule="auto"/>
        <w:jc w:val="center"/>
        <w:outlineLvl w:val="9"/>
        <w:rPr>
          <w:rFonts w:ascii="方正小标宋_GBK" w:hAnsi="黑体" w:eastAsia="方正小标宋_GBK"/>
          <w:snapToGrid w:val="0"/>
          <w:color w:val="000000" w:themeColor="text1"/>
          <w:sz w:val="38"/>
          <w:szCs w:val="38"/>
          <w:highlight w:val="none"/>
          <w14:textFill>
            <w14:solidFill>
              <w14:schemeClr w14:val="tx1"/>
            </w14:solidFill>
          </w14:textFill>
        </w:rPr>
      </w:pPr>
      <w:r>
        <w:rPr>
          <w:rFonts w:hint="eastAsia" w:ascii="方正小标宋_GBK" w:hAnsi="黑体" w:eastAsia="方正小标宋_GBK"/>
          <w:snapToGrid w:val="0"/>
          <w:color w:val="000000" w:themeColor="text1"/>
          <w:sz w:val="38"/>
          <w:szCs w:val="38"/>
          <w:highlight w:val="none"/>
          <w14:textFill>
            <w14:solidFill>
              <w14:schemeClr w14:val="tx1"/>
            </w14:solidFill>
          </w14:textFill>
        </w:rPr>
        <w:t>建设项目污染物排放量汇总表</w:t>
      </w:r>
    </w:p>
    <w:tbl>
      <w:tblPr>
        <w:tblStyle w:val="30"/>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761"/>
        <w:gridCol w:w="1461"/>
        <w:gridCol w:w="1324"/>
      </w:tblGrid>
      <w:tr w14:paraId="75C3C2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1588" w:type="dxa"/>
            <w:tcBorders>
              <w:tl2br w:val="single" w:color="auto" w:sz="4" w:space="0"/>
            </w:tcBorders>
            <w:tcMar>
              <w:left w:w="28" w:type="dxa"/>
              <w:right w:w="28" w:type="dxa"/>
            </w:tcMar>
            <w:vAlign w:val="center"/>
          </w:tcPr>
          <w:p w14:paraId="59F657F7">
            <w:pPr>
              <w:pStyle w:val="57"/>
              <w:spacing w:beforeLines="0" w:afterLines="0" w:line="240" w:lineRule="auto"/>
              <w:jc w:val="right"/>
              <w:rPr>
                <w:rFonts w:ascii="黑体" w:hAnsi="黑体" w:eastAsia="黑体" w:cs="宋体"/>
                <w:snapToGrid w:val="0"/>
                <w:color w:val="000000" w:themeColor="text1"/>
                <w:spacing w:val="-6"/>
                <w:kern w:val="21"/>
                <w:szCs w:val="21"/>
                <w:highlight w:val="none"/>
                <w14:textFill>
                  <w14:solidFill>
                    <w14:schemeClr w14:val="tx1"/>
                  </w14:solidFill>
                </w14:textFill>
              </w:rPr>
            </w:pPr>
            <w:r>
              <w:rPr>
                <w:rFonts w:hint="eastAsia" w:ascii="黑体" w:hAnsi="黑体" w:eastAsia="黑体" w:cs="宋体"/>
                <w:snapToGrid w:val="0"/>
                <w:color w:val="000000" w:themeColor="text1"/>
                <w:spacing w:val="-6"/>
                <w:kern w:val="21"/>
                <w:szCs w:val="21"/>
                <w:highlight w:val="none"/>
                <w14:textFill>
                  <w14:solidFill>
                    <w14:schemeClr w14:val="tx1"/>
                  </w14:solidFill>
                </w14:textFill>
              </w:rPr>
              <w:t>项目</w:t>
            </w:r>
          </w:p>
          <w:p w14:paraId="5A998AC7">
            <w:pPr>
              <w:pStyle w:val="57"/>
              <w:spacing w:beforeLines="0" w:afterLines="0" w:line="240" w:lineRule="auto"/>
              <w:jc w:val="left"/>
              <w:rPr>
                <w:rFonts w:ascii="黑体" w:hAnsi="黑体" w:eastAsia="黑体" w:cs="宋体"/>
                <w:snapToGrid w:val="0"/>
                <w:color w:val="000000" w:themeColor="text1"/>
                <w:spacing w:val="-6"/>
                <w:kern w:val="21"/>
                <w:szCs w:val="21"/>
                <w:highlight w:val="none"/>
                <w14:textFill>
                  <w14:solidFill>
                    <w14:schemeClr w14:val="tx1"/>
                  </w14:solidFill>
                </w14:textFill>
              </w:rPr>
            </w:pPr>
            <w:r>
              <w:rPr>
                <w:rFonts w:hint="eastAsia" w:ascii="黑体" w:hAnsi="黑体" w:eastAsia="黑体" w:cs="宋体"/>
                <w:snapToGrid w:val="0"/>
                <w:color w:val="000000" w:themeColor="text1"/>
                <w:spacing w:val="-6"/>
                <w:kern w:val="21"/>
                <w:szCs w:val="21"/>
                <w:highlight w:val="none"/>
                <w14:textFill>
                  <w14:solidFill>
                    <w14:schemeClr w14:val="tx1"/>
                  </w14:solidFill>
                </w14:textFill>
              </w:rPr>
              <w:t>分类</w:t>
            </w:r>
          </w:p>
        </w:tc>
        <w:tc>
          <w:tcPr>
            <w:tcW w:w="1417" w:type="dxa"/>
            <w:tcMar>
              <w:left w:w="28" w:type="dxa"/>
              <w:right w:w="28" w:type="dxa"/>
            </w:tcMar>
            <w:vAlign w:val="center"/>
          </w:tcPr>
          <w:p w14:paraId="4F6DCB49">
            <w:pPr>
              <w:pStyle w:val="57"/>
              <w:spacing w:beforeLines="0" w:afterLines="0" w:line="240" w:lineRule="auto"/>
              <w:rPr>
                <w:rFonts w:ascii="黑体" w:hAnsi="黑体" w:eastAsia="黑体" w:cs="宋体"/>
                <w:snapToGrid w:val="0"/>
                <w:color w:val="000000" w:themeColor="text1"/>
                <w:spacing w:val="-6"/>
                <w:kern w:val="21"/>
                <w:sz w:val="21"/>
                <w:szCs w:val="21"/>
                <w:highlight w:val="none"/>
                <w14:textFill>
                  <w14:solidFill>
                    <w14:schemeClr w14:val="tx1"/>
                  </w14:solidFill>
                </w14:textFill>
              </w:rPr>
            </w:pPr>
            <w:r>
              <w:rPr>
                <w:rFonts w:hint="eastAsia" w:ascii="黑体" w:hAnsi="黑体" w:eastAsia="黑体" w:cs="宋体"/>
                <w:snapToGrid w:val="0"/>
                <w:color w:val="000000" w:themeColor="text1"/>
                <w:spacing w:val="-6"/>
                <w:kern w:val="21"/>
                <w:sz w:val="21"/>
                <w:szCs w:val="21"/>
                <w:highlight w:val="none"/>
                <w14:textFill>
                  <w14:solidFill>
                    <w14:schemeClr w14:val="tx1"/>
                  </w14:solidFill>
                </w14:textFill>
              </w:rPr>
              <w:t>污染物名称</w:t>
            </w:r>
          </w:p>
        </w:tc>
        <w:tc>
          <w:tcPr>
            <w:tcW w:w="1701" w:type="dxa"/>
            <w:tcMar>
              <w:left w:w="28" w:type="dxa"/>
              <w:right w:w="28" w:type="dxa"/>
            </w:tcMar>
            <w:vAlign w:val="center"/>
          </w:tcPr>
          <w:p w14:paraId="5B24C7B9">
            <w:pPr>
              <w:pStyle w:val="57"/>
              <w:spacing w:beforeLines="0" w:afterLines="0" w:line="240" w:lineRule="auto"/>
              <w:rPr>
                <w:rFonts w:ascii="黑体" w:hAnsi="黑体" w:eastAsia="黑体"/>
                <w:snapToGrid w:val="0"/>
                <w:color w:val="000000" w:themeColor="text1"/>
                <w:spacing w:val="-6"/>
                <w:kern w:val="21"/>
                <w:sz w:val="21"/>
                <w:szCs w:val="21"/>
                <w:highlight w:val="none"/>
                <w14:textFill>
                  <w14:solidFill>
                    <w14:schemeClr w14:val="tx1"/>
                  </w14:solidFill>
                </w14:textFill>
              </w:rPr>
            </w:pPr>
            <w:r>
              <w:rPr>
                <w:rFonts w:ascii="黑体" w:hAnsi="黑体" w:eastAsia="黑体"/>
                <w:snapToGrid w:val="0"/>
                <w:color w:val="000000" w:themeColor="text1"/>
                <w:spacing w:val="-6"/>
                <w:kern w:val="21"/>
                <w:sz w:val="21"/>
                <w:szCs w:val="21"/>
                <w:highlight w:val="none"/>
                <w14:textFill>
                  <w14:solidFill>
                    <w14:schemeClr w14:val="tx1"/>
                  </w14:solidFill>
                </w14:textFill>
              </w:rPr>
              <w:t>现有工程排放量（固</w:t>
            </w:r>
            <w:r>
              <w:rPr>
                <w:rFonts w:hint="eastAsia" w:ascii="黑体" w:hAnsi="黑体" w:eastAsia="黑体"/>
                <w:snapToGrid w:val="0"/>
                <w:color w:val="000000" w:themeColor="text1"/>
                <w:spacing w:val="-6"/>
                <w:kern w:val="21"/>
                <w:sz w:val="21"/>
                <w:szCs w:val="21"/>
                <w:highlight w:val="none"/>
                <w14:textFill>
                  <w14:solidFill>
                    <w14:schemeClr w14:val="tx1"/>
                  </w14:solidFill>
                </w14:textFill>
              </w:rPr>
              <w:t>体</w:t>
            </w:r>
            <w:r>
              <w:rPr>
                <w:rFonts w:ascii="黑体" w:hAnsi="黑体" w:eastAsia="黑体"/>
                <w:snapToGrid w:val="0"/>
                <w:color w:val="000000" w:themeColor="text1"/>
                <w:spacing w:val="-6"/>
                <w:kern w:val="21"/>
                <w:sz w:val="21"/>
                <w:szCs w:val="21"/>
                <w:highlight w:val="none"/>
                <w14:textFill>
                  <w14:solidFill>
                    <w14:schemeClr w14:val="tx1"/>
                  </w14:solidFill>
                </w14:textFill>
              </w:rPr>
              <w:t>废</w:t>
            </w:r>
            <w:r>
              <w:rPr>
                <w:rFonts w:hint="eastAsia" w:ascii="黑体" w:hAnsi="黑体" w:eastAsia="黑体"/>
                <w:snapToGrid w:val="0"/>
                <w:color w:val="000000" w:themeColor="text1"/>
                <w:spacing w:val="-6"/>
                <w:kern w:val="21"/>
                <w:sz w:val="21"/>
                <w:szCs w:val="21"/>
                <w:highlight w:val="none"/>
                <w14:textFill>
                  <w14:solidFill>
                    <w14:schemeClr w14:val="tx1"/>
                  </w14:solidFill>
                </w14:textFill>
              </w:rPr>
              <w:t>物</w:t>
            </w:r>
            <w:r>
              <w:rPr>
                <w:rFonts w:ascii="黑体" w:hAnsi="黑体" w:eastAsia="黑体"/>
                <w:snapToGrid w:val="0"/>
                <w:color w:val="000000" w:themeColor="text1"/>
                <w:spacing w:val="-6"/>
                <w:kern w:val="21"/>
                <w:sz w:val="21"/>
                <w:szCs w:val="21"/>
                <w:highlight w:val="none"/>
                <w14:textFill>
                  <w14:solidFill>
                    <w14:schemeClr w14:val="tx1"/>
                  </w14:solidFill>
                </w14:textFill>
              </w:rPr>
              <w:t>产生量）</w:t>
            </w:r>
            <w:r>
              <w:rPr>
                <w:rFonts w:ascii="黑体" w:hAnsi="黑体" w:eastAsia="黑体"/>
                <w:snapToGrid w:val="0"/>
                <w:color w:val="000000" w:themeColor="text1"/>
                <w:spacing w:val="-6"/>
                <w:kern w:val="21"/>
                <w:sz w:val="21"/>
                <w:szCs w:val="21"/>
                <w:highlight w:val="none"/>
                <w14:textFill>
                  <w14:solidFill>
                    <w14:schemeClr w14:val="tx1"/>
                  </w14:solidFill>
                </w14:textFill>
              </w:rPr>
              <w:fldChar w:fldCharType="begin"/>
            </w:r>
            <w:r>
              <w:rPr>
                <w:rFonts w:ascii="黑体" w:hAnsi="黑体" w:eastAsia="黑体"/>
                <w:snapToGrid w:val="0"/>
                <w:color w:val="000000" w:themeColor="text1"/>
                <w:spacing w:val="-6"/>
                <w:kern w:val="21"/>
                <w:sz w:val="21"/>
                <w:szCs w:val="21"/>
                <w:highlight w:val="none"/>
                <w14:textFill>
                  <w14:solidFill>
                    <w14:schemeClr w14:val="tx1"/>
                  </w14:solidFill>
                </w14:textFill>
              </w:rPr>
              <w:instrText xml:space="preserve"> = 1 \* GB3 \* MERGEFORMAT </w:instrText>
            </w:r>
            <w:r>
              <w:rPr>
                <w:rFonts w:ascii="黑体" w:hAnsi="黑体" w:eastAsia="黑体"/>
                <w:snapToGrid w:val="0"/>
                <w:color w:val="000000" w:themeColor="text1"/>
                <w:spacing w:val="-6"/>
                <w:kern w:val="21"/>
                <w:sz w:val="21"/>
                <w:szCs w:val="21"/>
                <w:highlight w:val="none"/>
                <w14:textFill>
                  <w14:solidFill>
                    <w14:schemeClr w14:val="tx1"/>
                  </w14:solidFill>
                </w14:textFill>
              </w:rPr>
              <w:fldChar w:fldCharType="separate"/>
            </w:r>
            <w:r>
              <w:rPr>
                <w:rFonts w:hint="eastAsia" w:ascii="黑体" w:hAnsi="黑体" w:eastAsia="黑体" w:cs="宋体"/>
                <w:color w:val="000000" w:themeColor="text1"/>
                <w:kern w:val="2"/>
                <w:sz w:val="21"/>
                <w:szCs w:val="21"/>
                <w:highlight w:val="none"/>
                <w14:textFill>
                  <w14:solidFill>
                    <w14:schemeClr w14:val="tx1"/>
                  </w14:solidFill>
                </w14:textFill>
              </w:rPr>
              <w:t>①</w:t>
            </w:r>
            <w:r>
              <w:rPr>
                <w:rFonts w:ascii="黑体" w:hAnsi="黑体" w:eastAsia="黑体"/>
                <w:snapToGrid w:val="0"/>
                <w:color w:val="000000" w:themeColor="text1"/>
                <w:spacing w:val="-6"/>
                <w:kern w:val="21"/>
                <w:sz w:val="21"/>
                <w:szCs w:val="21"/>
                <w:highlight w:val="none"/>
                <w14:textFill>
                  <w14:solidFill>
                    <w14:schemeClr w14:val="tx1"/>
                  </w14:solidFill>
                </w14:textFill>
              </w:rPr>
              <w:fldChar w:fldCharType="end"/>
            </w:r>
          </w:p>
        </w:tc>
        <w:tc>
          <w:tcPr>
            <w:tcW w:w="1276" w:type="dxa"/>
            <w:tcMar>
              <w:left w:w="28" w:type="dxa"/>
              <w:right w:w="28" w:type="dxa"/>
            </w:tcMar>
            <w:vAlign w:val="center"/>
          </w:tcPr>
          <w:p w14:paraId="30494E6F">
            <w:pPr>
              <w:pStyle w:val="57"/>
              <w:spacing w:beforeLines="0" w:afterLines="0" w:line="240" w:lineRule="auto"/>
              <w:rPr>
                <w:rFonts w:ascii="黑体" w:hAnsi="黑体" w:eastAsia="黑体"/>
                <w:snapToGrid w:val="0"/>
                <w:color w:val="000000" w:themeColor="text1"/>
                <w:spacing w:val="-6"/>
                <w:kern w:val="21"/>
                <w:sz w:val="21"/>
                <w:szCs w:val="21"/>
                <w:highlight w:val="none"/>
                <w14:textFill>
                  <w14:solidFill>
                    <w14:schemeClr w14:val="tx1"/>
                  </w14:solidFill>
                </w14:textFill>
              </w:rPr>
            </w:pPr>
            <w:r>
              <w:rPr>
                <w:rFonts w:ascii="黑体" w:hAnsi="黑体" w:eastAsia="黑体"/>
                <w:snapToGrid w:val="0"/>
                <w:color w:val="000000" w:themeColor="text1"/>
                <w:spacing w:val="-6"/>
                <w:kern w:val="21"/>
                <w:sz w:val="21"/>
                <w:szCs w:val="21"/>
                <w:highlight w:val="none"/>
                <w14:textFill>
                  <w14:solidFill>
                    <w14:schemeClr w14:val="tx1"/>
                  </w14:solidFill>
                </w14:textFill>
              </w:rPr>
              <w:t>现有工程许可排放量</w:t>
            </w:r>
          </w:p>
          <w:p w14:paraId="0752D40A">
            <w:pPr>
              <w:pStyle w:val="57"/>
              <w:spacing w:beforeLines="0" w:afterLines="0"/>
              <w:rPr>
                <w:rFonts w:ascii="黑体" w:hAnsi="黑体" w:eastAsia="黑体"/>
                <w:snapToGrid w:val="0"/>
                <w:color w:val="000000" w:themeColor="text1"/>
                <w:spacing w:val="-6"/>
                <w:kern w:val="21"/>
                <w:sz w:val="21"/>
                <w:szCs w:val="21"/>
                <w:highlight w:val="none"/>
                <w14:textFill>
                  <w14:solidFill>
                    <w14:schemeClr w14:val="tx1"/>
                  </w14:solidFill>
                </w14:textFill>
              </w:rPr>
            </w:pPr>
            <w:r>
              <w:rPr>
                <w:rFonts w:ascii="黑体" w:hAnsi="黑体" w:eastAsia="黑体"/>
                <w:snapToGrid w:val="0"/>
                <w:color w:val="000000" w:themeColor="text1"/>
                <w:spacing w:val="-6"/>
                <w:kern w:val="21"/>
                <w:sz w:val="21"/>
                <w:szCs w:val="21"/>
                <w:highlight w:val="none"/>
                <w14:textFill>
                  <w14:solidFill>
                    <w14:schemeClr w14:val="tx1"/>
                  </w14:solidFill>
                </w14:textFill>
              </w:rPr>
              <w:fldChar w:fldCharType="begin"/>
            </w:r>
            <w:r>
              <w:rPr>
                <w:rFonts w:ascii="黑体" w:hAnsi="黑体" w:eastAsia="黑体"/>
                <w:snapToGrid w:val="0"/>
                <w:color w:val="000000" w:themeColor="text1"/>
                <w:spacing w:val="-6"/>
                <w:kern w:val="21"/>
                <w:sz w:val="21"/>
                <w:szCs w:val="21"/>
                <w:highlight w:val="none"/>
                <w14:textFill>
                  <w14:solidFill>
                    <w14:schemeClr w14:val="tx1"/>
                  </w14:solidFill>
                </w14:textFill>
              </w:rPr>
              <w:instrText xml:space="preserve"> = 2 \* GB3 \* MERGEFORMAT </w:instrText>
            </w:r>
            <w:r>
              <w:rPr>
                <w:rFonts w:ascii="黑体" w:hAnsi="黑体" w:eastAsia="黑体"/>
                <w:snapToGrid w:val="0"/>
                <w:color w:val="000000" w:themeColor="text1"/>
                <w:spacing w:val="-6"/>
                <w:kern w:val="21"/>
                <w:sz w:val="21"/>
                <w:szCs w:val="21"/>
                <w:highlight w:val="none"/>
                <w14:textFill>
                  <w14:solidFill>
                    <w14:schemeClr w14:val="tx1"/>
                  </w14:solidFill>
                </w14:textFill>
              </w:rPr>
              <w:fldChar w:fldCharType="separate"/>
            </w:r>
            <w:r>
              <w:rPr>
                <w:rFonts w:hint="eastAsia" w:ascii="黑体" w:hAnsi="黑体" w:eastAsia="黑体" w:cs="宋体"/>
                <w:snapToGrid w:val="0"/>
                <w:color w:val="000000" w:themeColor="text1"/>
                <w:spacing w:val="-6"/>
                <w:kern w:val="21"/>
                <w:sz w:val="21"/>
                <w:szCs w:val="21"/>
                <w:highlight w:val="none"/>
                <w14:textFill>
                  <w14:solidFill>
                    <w14:schemeClr w14:val="tx1"/>
                  </w14:solidFill>
                </w14:textFill>
              </w:rPr>
              <w:t>②</w:t>
            </w:r>
            <w:r>
              <w:rPr>
                <w:rFonts w:ascii="黑体" w:hAnsi="黑体" w:eastAsia="黑体"/>
                <w:snapToGrid w:val="0"/>
                <w:color w:val="000000" w:themeColor="text1"/>
                <w:spacing w:val="-6"/>
                <w:kern w:val="21"/>
                <w:sz w:val="21"/>
                <w:szCs w:val="21"/>
                <w:highlight w:val="none"/>
                <w14:textFill>
                  <w14:solidFill>
                    <w14:schemeClr w14:val="tx1"/>
                  </w14:solidFill>
                </w14:textFill>
              </w:rPr>
              <w:fldChar w:fldCharType="end"/>
            </w:r>
          </w:p>
        </w:tc>
        <w:tc>
          <w:tcPr>
            <w:tcW w:w="1701" w:type="dxa"/>
            <w:tcMar>
              <w:left w:w="28" w:type="dxa"/>
              <w:right w:w="28" w:type="dxa"/>
            </w:tcMar>
            <w:vAlign w:val="center"/>
          </w:tcPr>
          <w:p w14:paraId="1F3AE91F">
            <w:pPr>
              <w:pStyle w:val="57"/>
              <w:spacing w:beforeLines="0" w:afterLines="0" w:line="240" w:lineRule="auto"/>
              <w:rPr>
                <w:rFonts w:ascii="黑体" w:hAnsi="黑体" w:eastAsia="黑体"/>
                <w:snapToGrid w:val="0"/>
                <w:color w:val="000000" w:themeColor="text1"/>
                <w:spacing w:val="-6"/>
                <w:kern w:val="21"/>
                <w:sz w:val="21"/>
                <w:szCs w:val="21"/>
                <w:highlight w:val="none"/>
                <w14:textFill>
                  <w14:solidFill>
                    <w14:schemeClr w14:val="tx1"/>
                  </w14:solidFill>
                </w14:textFill>
              </w:rPr>
            </w:pPr>
            <w:r>
              <w:rPr>
                <w:rFonts w:ascii="黑体" w:hAnsi="黑体" w:eastAsia="黑体"/>
                <w:snapToGrid w:val="0"/>
                <w:color w:val="000000" w:themeColor="text1"/>
                <w:spacing w:val="-6"/>
                <w:kern w:val="21"/>
                <w:sz w:val="21"/>
                <w:szCs w:val="21"/>
                <w:highlight w:val="none"/>
                <w14:textFill>
                  <w14:solidFill>
                    <w14:schemeClr w14:val="tx1"/>
                  </w14:solidFill>
                </w14:textFill>
              </w:rPr>
              <w:t>在建工程排放量（固</w:t>
            </w:r>
            <w:r>
              <w:rPr>
                <w:rFonts w:hint="eastAsia" w:ascii="黑体" w:hAnsi="黑体" w:eastAsia="黑体"/>
                <w:snapToGrid w:val="0"/>
                <w:color w:val="000000" w:themeColor="text1"/>
                <w:spacing w:val="-6"/>
                <w:kern w:val="21"/>
                <w:sz w:val="21"/>
                <w:szCs w:val="21"/>
                <w:highlight w:val="none"/>
                <w14:textFill>
                  <w14:solidFill>
                    <w14:schemeClr w14:val="tx1"/>
                  </w14:solidFill>
                </w14:textFill>
              </w:rPr>
              <w:t>体</w:t>
            </w:r>
            <w:r>
              <w:rPr>
                <w:rFonts w:ascii="黑体" w:hAnsi="黑体" w:eastAsia="黑体"/>
                <w:snapToGrid w:val="0"/>
                <w:color w:val="000000" w:themeColor="text1"/>
                <w:spacing w:val="-6"/>
                <w:kern w:val="21"/>
                <w:sz w:val="21"/>
                <w:szCs w:val="21"/>
                <w:highlight w:val="none"/>
                <w14:textFill>
                  <w14:solidFill>
                    <w14:schemeClr w14:val="tx1"/>
                  </w14:solidFill>
                </w14:textFill>
              </w:rPr>
              <w:t>废</w:t>
            </w:r>
            <w:r>
              <w:rPr>
                <w:rFonts w:hint="eastAsia" w:ascii="黑体" w:hAnsi="黑体" w:eastAsia="黑体"/>
                <w:snapToGrid w:val="0"/>
                <w:color w:val="000000" w:themeColor="text1"/>
                <w:spacing w:val="-6"/>
                <w:kern w:val="21"/>
                <w:sz w:val="21"/>
                <w:szCs w:val="21"/>
                <w:highlight w:val="none"/>
                <w14:textFill>
                  <w14:solidFill>
                    <w14:schemeClr w14:val="tx1"/>
                  </w14:solidFill>
                </w14:textFill>
              </w:rPr>
              <w:t>物</w:t>
            </w:r>
            <w:r>
              <w:rPr>
                <w:rFonts w:ascii="黑体" w:hAnsi="黑体" w:eastAsia="黑体"/>
                <w:snapToGrid w:val="0"/>
                <w:color w:val="000000" w:themeColor="text1"/>
                <w:spacing w:val="-6"/>
                <w:kern w:val="21"/>
                <w:sz w:val="21"/>
                <w:szCs w:val="21"/>
                <w:highlight w:val="none"/>
                <w14:textFill>
                  <w14:solidFill>
                    <w14:schemeClr w14:val="tx1"/>
                  </w14:solidFill>
                </w14:textFill>
              </w:rPr>
              <w:t>产生量）</w:t>
            </w:r>
            <w:r>
              <w:rPr>
                <w:rFonts w:ascii="黑体" w:hAnsi="黑体" w:eastAsia="黑体"/>
                <w:snapToGrid w:val="0"/>
                <w:color w:val="000000" w:themeColor="text1"/>
                <w:spacing w:val="-6"/>
                <w:kern w:val="21"/>
                <w:sz w:val="21"/>
                <w:szCs w:val="21"/>
                <w:highlight w:val="none"/>
                <w14:textFill>
                  <w14:solidFill>
                    <w14:schemeClr w14:val="tx1"/>
                  </w14:solidFill>
                </w14:textFill>
              </w:rPr>
              <w:fldChar w:fldCharType="begin"/>
            </w:r>
            <w:r>
              <w:rPr>
                <w:rFonts w:ascii="黑体" w:hAnsi="黑体" w:eastAsia="黑体"/>
                <w:snapToGrid w:val="0"/>
                <w:color w:val="000000" w:themeColor="text1"/>
                <w:spacing w:val="-6"/>
                <w:kern w:val="21"/>
                <w:sz w:val="21"/>
                <w:szCs w:val="21"/>
                <w:highlight w:val="none"/>
                <w14:textFill>
                  <w14:solidFill>
                    <w14:schemeClr w14:val="tx1"/>
                  </w14:solidFill>
                </w14:textFill>
              </w:rPr>
              <w:instrText xml:space="preserve"> = 3 \* GB3 \* MERGEFORMAT </w:instrText>
            </w:r>
            <w:r>
              <w:rPr>
                <w:rFonts w:ascii="黑体" w:hAnsi="黑体" w:eastAsia="黑体"/>
                <w:snapToGrid w:val="0"/>
                <w:color w:val="000000" w:themeColor="text1"/>
                <w:spacing w:val="-6"/>
                <w:kern w:val="21"/>
                <w:sz w:val="21"/>
                <w:szCs w:val="21"/>
                <w:highlight w:val="none"/>
                <w14:textFill>
                  <w14:solidFill>
                    <w14:schemeClr w14:val="tx1"/>
                  </w14:solidFill>
                </w14:textFill>
              </w:rPr>
              <w:fldChar w:fldCharType="separate"/>
            </w:r>
            <w:r>
              <w:rPr>
                <w:rFonts w:hint="eastAsia" w:ascii="黑体" w:hAnsi="黑体" w:eastAsia="黑体" w:cs="宋体"/>
                <w:color w:val="000000" w:themeColor="text1"/>
                <w:kern w:val="2"/>
                <w:sz w:val="21"/>
                <w:szCs w:val="21"/>
                <w:highlight w:val="none"/>
                <w14:textFill>
                  <w14:solidFill>
                    <w14:schemeClr w14:val="tx1"/>
                  </w14:solidFill>
                </w14:textFill>
              </w:rPr>
              <w:t>③</w:t>
            </w:r>
            <w:r>
              <w:rPr>
                <w:rFonts w:ascii="黑体" w:hAnsi="黑体" w:eastAsia="黑体"/>
                <w:snapToGrid w:val="0"/>
                <w:color w:val="000000" w:themeColor="text1"/>
                <w:spacing w:val="-6"/>
                <w:kern w:val="21"/>
                <w:sz w:val="21"/>
                <w:szCs w:val="21"/>
                <w:highlight w:val="none"/>
                <w14:textFill>
                  <w14:solidFill>
                    <w14:schemeClr w14:val="tx1"/>
                  </w14:solidFill>
                </w14:textFill>
              </w:rPr>
              <w:fldChar w:fldCharType="end"/>
            </w:r>
          </w:p>
        </w:tc>
        <w:tc>
          <w:tcPr>
            <w:tcW w:w="1559" w:type="dxa"/>
            <w:tcMar>
              <w:left w:w="28" w:type="dxa"/>
              <w:right w:w="28" w:type="dxa"/>
            </w:tcMar>
            <w:vAlign w:val="center"/>
          </w:tcPr>
          <w:p w14:paraId="5D75D136">
            <w:pPr>
              <w:pStyle w:val="57"/>
              <w:spacing w:beforeLines="0" w:afterLines="0" w:line="240" w:lineRule="auto"/>
              <w:rPr>
                <w:rFonts w:ascii="黑体" w:hAnsi="黑体" w:eastAsia="黑体"/>
                <w:snapToGrid w:val="0"/>
                <w:color w:val="000000" w:themeColor="text1"/>
                <w:spacing w:val="-6"/>
                <w:kern w:val="21"/>
                <w:sz w:val="21"/>
                <w:szCs w:val="21"/>
                <w:highlight w:val="none"/>
                <w14:textFill>
                  <w14:solidFill>
                    <w14:schemeClr w14:val="tx1"/>
                  </w14:solidFill>
                </w14:textFill>
              </w:rPr>
            </w:pPr>
            <w:r>
              <w:rPr>
                <w:rFonts w:ascii="黑体" w:hAnsi="黑体" w:eastAsia="黑体"/>
                <w:snapToGrid w:val="0"/>
                <w:color w:val="000000" w:themeColor="text1"/>
                <w:spacing w:val="-6"/>
                <w:kern w:val="21"/>
                <w:sz w:val="21"/>
                <w:szCs w:val="21"/>
                <w:highlight w:val="none"/>
                <w14:textFill>
                  <w14:solidFill>
                    <w14:schemeClr w14:val="tx1"/>
                  </w14:solidFill>
                </w14:textFill>
              </w:rPr>
              <w:t>本项目排放量（固</w:t>
            </w:r>
            <w:r>
              <w:rPr>
                <w:rFonts w:hint="eastAsia" w:ascii="黑体" w:hAnsi="黑体" w:eastAsia="黑体"/>
                <w:snapToGrid w:val="0"/>
                <w:color w:val="000000" w:themeColor="text1"/>
                <w:spacing w:val="-6"/>
                <w:kern w:val="21"/>
                <w:sz w:val="21"/>
                <w:szCs w:val="21"/>
                <w:highlight w:val="none"/>
                <w14:textFill>
                  <w14:solidFill>
                    <w14:schemeClr w14:val="tx1"/>
                  </w14:solidFill>
                </w14:textFill>
              </w:rPr>
              <w:t>体</w:t>
            </w:r>
            <w:r>
              <w:rPr>
                <w:rFonts w:ascii="黑体" w:hAnsi="黑体" w:eastAsia="黑体"/>
                <w:snapToGrid w:val="0"/>
                <w:color w:val="000000" w:themeColor="text1"/>
                <w:spacing w:val="-6"/>
                <w:kern w:val="21"/>
                <w:sz w:val="21"/>
                <w:szCs w:val="21"/>
                <w:highlight w:val="none"/>
                <w14:textFill>
                  <w14:solidFill>
                    <w14:schemeClr w14:val="tx1"/>
                  </w14:solidFill>
                </w14:textFill>
              </w:rPr>
              <w:t>废</w:t>
            </w:r>
            <w:r>
              <w:rPr>
                <w:rFonts w:hint="eastAsia" w:ascii="黑体" w:hAnsi="黑体" w:eastAsia="黑体"/>
                <w:snapToGrid w:val="0"/>
                <w:color w:val="000000" w:themeColor="text1"/>
                <w:spacing w:val="-6"/>
                <w:kern w:val="21"/>
                <w:sz w:val="21"/>
                <w:szCs w:val="21"/>
                <w:highlight w:val="none"/>
                <w14:textFill>
                  <w14:solidFill>
                    <w14:schemeClr w14:val="tx1"/>
                  </w14:solidFill>
                </w14:textFill>
              </w:rPr>
              <w:t>物</w:t>
            </w:r>
            <w:r>
              <w:rPr>
                <w:rFonts w:ascii="黑体" w:hAnsi="黑体" w:eastAsia="黑体"/>
                <w:snapToGrid w:val="0"/>
                <w:color w:val="000000" w:themeColor="text1"/>
                <w:spacing w:val="-6"/>
                <w:kern w:val="21"/>
                <w:sz w:val="21"/>
                <w:szCs w:val="21"/>
                <w:highlight w:val="none"/>
                <w14:textFill>
                  <w14:solidFill>
                    <w14:schemeClr w14:val="tx1"/>
                  </w14:solidFill>
                </w14:textFill>
              </w:rPr>
              <w:t>产生量）</w:t>
            </w:r>
            <w:r>
              <w:rPr>
                <w:rFonts w:ascii="黑体" w:hAnsi="黑体" w:eastAsia="黑体"/>
                <w:snapToGrid w:val="0"/>
                <w:color w:val="000000" w:themeColor="text1"/>
                <w:spacing w:val="-6"/>
                <w:kern w:val="21"/>
                <w:sz w:val="21"/>
                <w:szCs w:val="21"/>
                <w:highlight w:val="none"/>
                <w14:textFill>
                  <w14:solidFill>
                    <w14:schemeClr w14:val="tx1"/>
                  </w14:solidFill>
                </w14:textFill>
              </w:rPr>
              <w:fldChar w:fldCharType="begin"/>
            </w:r>
            <w:r>
              <w:rPr>
                <w:rFonts w:ascii="黑体" w:hAnsi="黑体" w:eastAsia="黑体"/>
                <w:snapToGrid w:val="0"/>
                <w:color w:val="000000" w:themeColor="text1"/>
                <w:spacing w:val="-6"/>
                <w:kern w:val="21"/>
                <w:sz w:val="21"/>
                <w:szCs w:val="21"/>
                <w:highlight w:val="none"/>
                <w14:textFill>
                  <w14:solidFill>
                    <w14:schemeClr w14:val="tx1"/>
                  </w14:solidFill>
                </w14:textFill>
              </w:rPr>
              <w:instrText xml:space="preserve"> = 4 \* GB3 \* MERGEFORMAT </w:instrText>
            </w:r>
            <w:r>
              <w:rPr>
                <w:rFonts w:ascii="黑体" w:hAnsi="黑体" w:eastAsia="黑体"/>
                <w:snapToGrid w:val="0"/>
                <w:color w:val="000000" w:themeColor="text1"/>
                <w:spacing w:val="-6"/>
                <w:kern w:val="21"/>
                <w:sz w:val="21"/>
                <w:szCs w:val="21"/>
                <w:highlight w:val="none"/>
                <w14:textFill>
                  <w14:solidFill>
                    <w14:schemeClr w14:val="tx1"/>
                  </w14:solidFill>
                </w14:textFill>
              </w:rPr>
              <w:fldChar w:fldCharType="separate"/>
            </w:r>
            <w:r>
              <w:rPr>
                <w:rFonts w:hint="eastAsia" w:ascii="黑体" w:hAnsi="黑体" w:eastAsia="黑体" w:cs="宋体"/>
                <w:color w:val="000000" w:themeColor="text1"/>
                <w:kern w:val="2"/>
                <w:sz w:val="21"/>
                <w:szCs w:val="21"/>
                <w:highlight w:val="none"/>
                <w14:textFill>
                  <w14:solidFill>
                    <w14:schemeClr w14:val="tx1"/>
                  </w14:solidFill>
                </w14:textFill>
              </w:rPr>
              <w:t>④</w:t>
            </w:r>
            <w:r>
              <w:rPr>
                <w:rFonts w:ascii="黑体" w:hAnsi="黑体" w:eastAsia="黑体"/>
                <w:snapToGrid w:val="0"/>
                <w:color w:val="000000" w:themeColor="text1"/>
                <w:spacing w:val="-6"/>
                <w:kern w:val="21"/>
                <w:sz w:val="21"/>
                <w:szCs w:val="21"/>
                <w:highlight w:val="none"/>
                <w14:textFill>
                  <w14:solidFill>
                    <w14:schemeClr w14:val="tx1"/>
                  </w14:solidFill>
                </w14:textFill>
              </w:rPr>
              <w:fldChar w:fldCharType="end"/>
            </w:r>
          </w:p>
        </w:tc>
        <w:tc>
          <w:tcPr>
            <w:tcW w:w="1761" w:type="dxa"/>
            <w:tcMar>
              <w:left w:w="28" w:type="dxa"/>
              <w:right w:w="28" w:type="dxa"/>
            </w:tcMar>
            <w:vAlign w:val="center"/>
          </w:tcPr>
          <w:p w14:paraId="5A847235">
            <w:pPr>
              <w:pStyle w:val="57"/>
              <w:spacing w:beforeLines="0" w:afterLines="0" w:line="240" w:lineRule="auto"/>
              <w:rPr>
                <w:rFonts w:ascii="黑体" w:hAnsi="黑体" w:eastAsia="黑体"/>
                <w:snapToGrid w:val="0"/>
                <w:color w:val="000000" w:themeColor="text1"/>
                <w:spacing w:val="-16"/>
                <w:kern w:val="21"/>
                <w:sz w:val="21"/>
                <w:szCs w:val="21"/>
                <w:highlight w:val="none"/>
                <w14:textFill>
                  <w14:solidFill>
                    <w14:schemeClr w14:val="tx1"/>
                  </w14:solidFill>
                </w14:textFill>
              </w:rPr>
            </w:pPr>
            <w:r>
              <w:rPr>
                <w:rFonts w:ascii="黑体" w:hAnsi="黑体" w:eastAsia="黑体"/>
                <w:snapToGrid w:val="0"/>
                <w:color w:val="000000" w:themeColor="text1"/>
                <w:spacing w:val="-16"/>
                <w:kern w:val="21"/>
                <w:sz w:val="21"/>
                <w:szCs w:val="21"/>
                <w:highlight w:val="none"/>
                <w14:textFill>
                  <w14:solidFill>
                    <w14:schemeClr w14:val="tx1"/>
                  </w14:solidFill>
                </w14:textFill>
              </w:rPr>
              <w:t>以新带老削减量（新建项目不填）</w:t>
            </w:r>
            <w:r>
              <w:rPr>
                <w:rFonts w:ascii="黑体" w:hAnsi="黑体" w:eastAsia="黑体"/>
                <w:snapToGrid w:val="0"/>
                <w:color w:val="000000" w:themeColor="text1"/>
                <w:spacing w:val="-16"/>
                <w:kern w:val="21"/>
                <w:sz w:val="21"/>
                <w:szCs w:val="21"/>
                <w:highlight w:val="none"/>
                <w14:textFill>
                  <w14:solidFill>
                    <w14:schemeClr w14:val="tx1"/>
                  </w14:solidFill>
                </w14:textFill>
              </w:rPr>
              <w:fldChar w:fldCharType="begin"/>
            </w:r>
            <w:r>
              <w:rPr>
                <w:rFonts w:ascii="黑体" w:hAnsi="黑体" w:eastAsia="黑体"/>
                <w:snapToGrid w:val="0"/>
                <w:color w:val="000000" w:themeColor="text1"/>
                <w:spacing w:val="-16"/>
                <w:kern w:val="21"/>
                <w:sz w:val="21"/>
                <w:szCs w:val="21"/>
                <w:highlight w:val="none"/>
                <w14:textFill>
                  <w14:solidFill>
                    <w14:schemeClr w14:val="tx1"/>
                  </w14:solidFill>
                </w14:textFill>
              </w:rPr>
              <w:instrText xml:space="preserve"> = 5 \* GB3 \* MERGEFORMAT </w:instrText>
            </w:r>
            <w:r>
              <w:rPr>
                <w:rFonts w:ascii="黑体" w:hAnsi="黑体" w:eastAsia="黑体"/>
                <w:snapToGrid w:val="0"/>
                <w:color w:val="000000" w:themeColor="text1"/>
                <w:spacing w:val="-16"/>
                <w:kern w:val="21"/>
                <w:sz w:val="21"/>
                <w:szCs w:val="21"/>
                <w:highlight w:val="none"/>
                <w14:textFill>
                  <w14:solidFill>
                    <w14:schemeClr w14:val="tx1"/>
                  </w14:solidFill>
                </w14:textFill>
              </w:rPr>
              <w:fldChar w:fldCharType="separate"/>
            </w:r>
            <w:r>
              <w:rPr>
                <w:rFonts w:hint="eastAsia" w:ascii="黑体" w:hAnsi="黑体" w:eastAsia="黑体" w:cs="宋体"/>
                <w:color w:val="000000" w:themeColor="text1"/>
                <w:kern w:val="2"/>
                <w:sz w:val="21"/>
                <w:szCs w:val="21"/>
                <w:highlight w:val="none"/>
                <w14:textFill>
                  <w14:solidFill>
                    <w14:schemeClr w14:val="tx1"/>
                  </w14:solidFill>
                </w14:textFill>
              </w:rPr>
              <w:t>⑤</w:t>
            </w:r>
            <w:r>
              <w:rPr>
                <w:rFonts w:ascii="黑体" w:hAnsi="黑体" w:eastAsia="黑体"/>
                <w:snapToGrid w:val="0"/>
                <w:color w:val="000000" w:themeColor="text1"/>
                <w:spacing w:val="-16"/>
                <w:kern w:val="21"/>
                <w:sz w:val="21"/>
                <w:szCs w:val="21"/>
                <w:highlight w:val="none"/>
                <w14:textFill>
                  <w14:solidFill>
                    <w14:schemeClr w14:val="tx1"/>
                  </w14:solidFill>
                </w14:textFill>
              </w:rPr>
              <w:fldChar w:fldCharType="end"/>
            </w:r>
          </w:p>
        </w:tc>
        <w:tc>
          <w:tcPr>
            <w:tcW w:w="1461" w:type="dxa"/>
            <w:tcMar>
              <w:left w:w="28" w:type="dxa"/>
              <w:right w:w="28" w:type="dxa"/>
            </w:tcMar>
            <w:vAlign w:val="center"/>
          </w:tcPr>
          <w:p w14:paraId="7220D1C8">
            <w:pPr>
              <w:pStyle w:val="57"/>
              <w:spacing w:beforeLines="0" w:afterLines="0" w:line="240" w:lineRule="auto"/>
              <w:rPr>
                <w:rFonts w:ascii="黑体" w:hAnsi="黑体" w:eastAsia="黑体"/>
                <w:snapToGrid w:val="0"/>
                <w:color w:val="000000" w:themeColor="text1"/>
                <w:spacing w:val="-16"/>
                <w:kern w:val="21"/>
                <w:sz w:val="21"/>
                <w:szCs w:val="21"/>
                <w:highlight w:val="none"/>
                <w14:textFill>
                  <w14:solidFill>
                    <w14:schemeClr w14:val="tx1"/>
                  </w14:solidFill>
                </w14:textFill>
              </w:rPr>
            </w:pPr>
            <w:r>
              <w:rPr>
                <w:rFonts w:ascii="黑体" w:hAnsi="黑体" w:eastAsia="黑体"/>
                <w:snapToGrid w:val="0"/>
                <w:color w:val="000000" w:themeColor="text1"/>
                <w:spacing w:val="-16"/>
                <w:kern w:val="21"/>
                <w:sz w:val="21"/>
                <w:szCs w:val="21"/>
                <w:highlight w:val="none"/>
                <w14:textFill>
                  <w14:solidFill>
                    <w14:schemeClr w14:val="tx1"/>
                  </w14:solidFill>
                </w14:textFill>
              </w:rPr>
              <w:t>本项目建成后</w:t>
            </w:r>
            <w:r>
              <w:rPr>
                <w:rFonts w:hint="eastAsia" w:ascii="黑体" w:hAnsi="黑体" w:eastAsia="黑体"/>
                <w:snapToGrid w:val="0"/>
                <w:color w:val="000000" w:themeColor="text1"/>
                <w:spacing w:val="-16"/>
                <w:kern w:val="21"/>
                <w:sz w:val="21"/>
                <w:szCs w:val="21"/>
                <w:highlight w:val="none"/>
                <w14:textFill>
                  <w14:solidFill>
                    <w14:schemeClr w14:val="tx1"/>
                  </w14:solidFill>
                </w14:textFill>
              </w:rPr>
              <w:t>全厂</w:t>
            </w:r>
            <w:r>
              <w:rPr>
                <w:rFonts w:ascii="黑体" w:hAnsi="黑体" w:eastAsia="黑体"/>
                <w:snapToGrid w:val="0"/>
                <w:color w:val="000000" w:themeColor="text1"/>
                <w:spacing w:val="-16"/>
                <w:kern w:val="21"/>
                <w:sz w:val="21"/>
                <w:szCs w:val="21"/>
                <w:highlight w:val="none"/>
                <w14:textFill>
                  <w14:solidFill>
                    <w14:schemeClr w14:val="tx1"/>
                  </w14:solidFill>
                </w14:textFill>
              </w:rPr>
              <w:t>排放量（固</w:t>
            </w:r>
            <w:r>
              <w:rPr>
                <w:rFonts w:hint="eastAsia" w:ascii="黑体" w:hAnsi="黑体" w:eastAsia="黑体"/>
                <w:snapToGrid w:val="0"/>
                <w:color w:val="000000" w:themeColor="text1"/>
                <w:spacing w:val="-16"/>
                <w:kern w:val="21"/>
                <w:sz w:val="21"/>
                <w:szCs w:val="21"/>
                <w:highlight w:val="none"/>
                <w14:textFill>
                  <w14:solidFill>
                    <w14:schemeClr w14:val="tx1"/>
                  </w14:solidFill>
                </w14:textFill>
              </w:rPr>
              <w:t>体</w:t>
            </w:r>
            <w:r>
              <w:rPr>
                <w:rFonts w:ascii="黑体" w:hAnsi="黑体" w:eastAsia="黑体"/>
                <w:snapToGrid w:val="0"/>
                <w:color w:val="000000" w:themeColor="text1"/>
                <w:spacing w:val="-16"/>
                <w:kern w:val="21"/>
                <w:sz w:val="21"/>
                <w:szCs w:val="21"/>
                <w:highlight w:val="none"/>
                <w14:textFill>
                  <w14:solidFill>
                    <w14:schemeClr w14:val="tx1"/>
                  </w14:solidFill>
                </w14:textFill>
              </w:rPr>
              <w:t>废</w:t>
            </w:r>
            <w:r>
              <w:rPr>
                <w:rFonts w:hint="eastAsia" w:ascii="黑体" w:hAnsi="黑体" w:eastAsia="黑体"/>
                <w:snapToGrid w:val="0"/>
                <w:color w:val="000000" w:themeColor="text1"/>
                <w:spacing w:val="-16"/>
                <w:kern w:val="21"/>
                <w:sz w:val="21"/>
                <w:szCs w:val="21"/>
                <w:highlight w:val="none"/>
                <w14:textFill>
                  <w14:solidFill>
                    <w14:schemeClr w14:val="tx1"/>
                  </w14:solidFill>
                </w14:textFill>
              </w:rPr>
              <w:t>物</w:t>
            </w:r>
            <w:r>
              <w:rPr>
                <w:rFonts w:ascii="黑体" w:hAnsi="黑体" w:eastAsia="黑体"/>
                <w:snapToGrid w:val="0"/>
                <w:color w:val="000000" w:themeColor="text1"/>
                <w:spacing w:val="-16"/>
                <w:kern w:val="21"/>
                <w:sz w:val="21"/>
                <w:szCs w:val="21"/>
                <w:highlight w:val="none"/>
                <w14:textFill>
                  <w14:solidFill>
                    <w14:schemeClr w14:val="tx1"/>
                  </w14:solidFill>
                </w14:textFill>
              </w:rPr>
              <w:t>产生量）</w:t>
            </w:r>
            <w:r>
              <w:rPr>
                <w:rFonts w:ascii="黑体" w:hAnsi="黑体" w:eastAsia="黑体"/>
                <w:snapToGrid w:val="0"/>
                <w:color w:val="000000" w:themeColor="text1"/>
                <w:spacing w:val="-16"/>
                <w:kern w:val="21"/>
                <w:sz w:val="21"/>
                <w:szCs w:val="21"/>
                <w:highlight w:val="none"/>
                <w14:textFill>
                  <w14:solidFill>
                    <w14:schemeClr w14:val="tx1"/>
                  </w14:solidFill>
                </w14:textFill>
              </w:rPr>
              <w:fldChar w:fldCharType="begin"/>
            </w:r>
            <w:r>
              <w:rPr>
                <w:rFonts w:ascii="黑体" w:hAnsi="黑体" w:eastAsia="黑体"/>
                <w:snapToGrid w:val="0"/>
                <w:color w:val="000000" w:themeColor="text1"/>
                <w:spacing w:val="-16"/>
                <w:kern w:val="21"/>
                <w:sz w:val="21"/>
                <w:szCs w:val="21"/>
                <w:highlight w:val="none"/>
                <w14:textFill>
                  <w14:solidFill>
                    <w14:schemeClr w14:val="tx1"/>
                  </w14:solidFill>
                </w14:textFill>
              </w:rPr>
              <w:instrText xml:space="preserve"> = 6 \* GB3 \* MERGEFORMAT </w:instrText>
            </w:r>
            <w:r>
              <w:rPr>
                <w:rFonts w:ascii="黑体" w:hAnsi="黑体" w:eastAsia="黑体"/>
                <w:snapToGrid w:val="0"/>
                <w:color w:val="000000" w:themeColor="text1"/>
                <w:spacing w:val="-16"/>
                <w:kern w:val="21"/>
                <w:sz w:val="21"/>
                <w:szCs w:val="21"/>
                <w:highlight w:val="none"/>
                <w14:textFill>
                  <w14:solidFill>
                    <w14:schemeClr w14:val="tx1"/>
                  </w14:solidFill>
                </w14:textFill>
              </w:rPr>
              <w:fldChar w:fldCharType="separate"/>
            </w:r>
            <w:r>
              <w:rPr>
                <w:rFonts w:hint="eastAsia" w:ascii="黑体" w:hAnsi="黑体" w:eastAsia="黑体" w:cs="宋体"/>
                <w:color w:val="000000" w:themeColor="text1"/>
                <w:kern w:val="2"/>
                <w:sz w:val="21"/>
                <w:szCs w:val="21"/>
                <w:highlight w:val="none"/>
                <w14:textFill>
                  <w14:solidFill>
                    <w14:schemeClr w14:val="tx1"/>
                  </w14:solidFill>
                </w14:textFill>
              </w:rPr>
              <w:t>⑥</w:t>
            </w:r>
            <w:r>
              <w:rPr>
                <w:rFonts w:ascii="黑体" w:hAnsi="黑体" w:eastAsia="黑体"/>
                <w:snapToGrid w:val="0"/>
                <w:color w:val="000000" w:themeColor="text1"/>
                <w:spacing w:val="-16"/>
                <w:kern w:val="21"/>
                <w:sz w:val="21"/>
                <w:szCs w:val="21"/>
                <w:highlight w:val="none"/>
                <w14:textFill>
                  <w14:solidFill>
                    <w14:schemeClr w14:val="tx1"/>
                  </w14:solidFill>
                </w14:textFill>
              </w:rPr>
              <w:fldChar w:fldCharType="end"/>
            </w:r>
          </w:p>
        </w:tc>
        <w:tc>
          <w:tcPr>
            <w:tcW w:w="1324" w:type="dxa"/>
            <w:tcMar>
              <w:left w:w="28" w:type="dxa"/>
              <w:right w:w="28" w:type="dxa"/>
            </w:tcMar>
            <w:vAlign w:val="center"/>
          </w:tcPr>
          <w:p w14:paraId="701CDB11">
            <w:pPr>
              <w:pStyle w:val="57"/>
              <w:spacing w:beforeLines="0" w:afterLines="0" w:line="240" w:lineRule="auto"/>
              <w:rPr>
                <w:rFonts w:ascii="黑体" w:hAnsi="黑体" w:eastAsia="黑体"/>
                <w:snapToGrid w:val="0"/>
                <w:color w:val="000000" w:themeColor="text1"/>
                <w:spacing w:val="-6"/>
                <w:kern w:val="21"/>
                <w:sz w:val="21"/>
                <w:szCs w:val="21"/>
                <w:highlight w:val="none"/>
                <w14:textFill>
                  <w14:solidFill>
                    <w14:schemeClr w14:val="tx1"/>
                  </w14:solidFill>
                </w14:textFill>
              </w:rPr>
            </w:pPr>
            <w:r>
              <w:rPr>
                <w:rFonts w:ascii="黑体" w:hAnsi="黑体" w:eastAsia="黑体"/>
                <w:snapToGrid w:val="0"/>
                <w:color w:val="000000" w:themeColor="text1"/>
                <w:spacing w:val="-6"/>
                <w:kern w:val="21"/>
                <w:sz w:val="21"/>
                <w:szCs w:val="21"/>
                <w:highlight w:val="none"/>
                <w14:textFill>
                  <w14:solidFill>
                    <w14:schemeClr w14:val="tx1"/>
                  </w14:solidFill>
                </w14:textFill>
              </w:rPr>
              <w:t>变化量</w:t>
            </w:r>
          </w:p>
          <w:p w14:paraId="1E0D0D4B">
            <w:pPr>
              <w:pStyle w:val="57"/>
              <w:spacing w:beforeLines="0" w:afterLines="0" w:line="240" w:lineRule="auto"/>
              <w:rPr>
                <w:rFonts w:ascii="黑体" w:hAnsi="黑体" w:eastAsia="黑体"/>
                <w:snapToGrid w:val="0"/>
                <w:color w:val="000000" w:themeColor="text1"/>
                <w:spacing w:val="-6"/>
                <w:kern w:val="21"/>
                <w:sz w:val="21"/>
                <w:szCs w:val="21"/>
                <w:highlight w:val="none"/>
                <w14:textFill>
                  <w14:solidFill>
                    <w14:schemeClr w14:val="tx1"/>
                  </w14:solidFill>
                </w14:textFill>
              </w:rPr>
            </w:pPr>
            <w:r>
              <w:rPr>
                <w:rFonts w:ascii="黑体" w:hAnsi="黑体" w:eastAsia="黑体"/>
                <w:snapToGrid w:val="0"/>
                <w:color w:val="000000" w:themeColor="text1"/>
                <w:spacing w:val="-6"/>
                <w:kern w:val="21"/>
                <w:sz w:val="21"/>
                <w:szCs w:val="21"/>
                <w:highlight w:val="none"/>
                <w14:textFill>
                  <w14:solidFill>
                    <w14:schemeClr w14:val="tx1"/>
                  </w14:solidFill>
                </w14:textFill>
              </w:rPr>
              <w:fldChar w:fldCharType="begin"/>
            </w:r>
            <w:r>
              <w:rPr>
                <w:rFonts w:ascii="黑体" w:hAnsi="黑体" w:eastAsia="黑体"/>
                <w:snapToGrid w:val="0"/>
                <w:color w:val="000000" w:themeColor="text1"/>
                <w:spacing w:val="-6"/>
                <w:kern w:val="21"/>
                <w:sz w:val="21"/>
                <w:szCs w:val="21"/>
                <w:highlight w:val="none"/>
                <w14:textFill>
                  <w14:solidFill>
                    <w14:schemeClr w14:val="tx1"/>
                  </w14:solidFill>
                </w14:textFill>
              </w:rPr>
              <w:instrText xml:space="preserve"> = 7 \* GB3 \* MERGEFORMAT </w:instrText>
            </w:r>
            <w:r>
              <w:rPr>
                <w:rFonts w:ascii="黑体" w:hAnsi="黑体" w:eastAsia="黑体"/>
                <w:snapToGrid w:val="0"/>
                <w:color w:val="000000" w:themeColor="text1"/>
                <w:spacing w:val="-6"/>
                <w:kern w:val="21"/>
                <w:sz w:val="21"/>
                <w:szCs w:val="21"/>
                <w:highlight w:val="none"/>
                <w14:textFill>
                  <w14:solidFill>
                    <w14:schemeClr w14:val="tx1"/>
                  </w14:solidFill>
                </w14:textFill>
              </w:rPr>
              <w:fldChar w:fldCharType="separate"/>
            </w:r>
            <w:r>
              <w:rPr>
                <w:rFonts w:hint="eastAsia" w:ascii="黑体" w:hAnsi="黑体" w:eastAsia="黑体" w:cs="宋体"/>
                <w:color w:val="000000" w:themeColor="text1"/>
                <w:kern w:val="2"/>
                <w:sz w:val="21"/>
                <w:szCs w:val="21"/>
                <w:highlight w:val="none"/>
                <w14:textFill>
                  <w14:solidFill>
                    <w14:schemeClr w14:val="tx1"/>
                  </w14:solidFill>
                </w14:textFill>
              </w:rPr>
              <w:t>⑦</w:t>
            </w:r>
            <w:r>
              <w:rPr>
                <w:rFonts w:ascii="黑体" w:hAnsi="黑体" w:eastAsia="黑体"/>
                <w:snapToGrid w:val="0"/>
                <w:color w:val="000000" w:themeColor="text1"/>
                <w:spacing w:val="-6"/>
                <w:kern w:val="21"/>
                <w:sz w:val="21"/>
                <w:szCs w:val="21"/>
                <w:highlight w:val="none"/>
                <w14:textFill>
                  <w14:solidFill>
                    <w14:schemeClr w14:val="tx1"/>
                  </w14:solidFill>
                </w14:textFill>
              </w:rPr>
              <w:fldChar w:fldCharType="end"/>
            </w:r>
          </w:p>
        </w:tc>
      </w:tr>
      <w:tr w14:paraId="21DC7D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restart"/>
            <w:vAlign w:val="center"/>
          </w:tcPr>
          <w:p w14:paraId="7201C575">
            <w:pPr>
              <w:pStyle w:val="57"/>
              <w:spacing w:beforeLines="0" w:afterLines="0" w:line="240" w:lineRule="auto"/>
              <w:rPr>
                <w:rFonts w:hAnsi="宋体" w:cs="宋体"/>
                <w:snapToGrid w:val="0"/>
                <w:color w:val="000000" w:themeColor="text1"/>
                <w:kern w:val="21"/>
                <w:szCs w:val="21"/>
                <w:highlight w:val="none"/>
                <w14:textFill>
                  <w14:solidFill>
                    <w14:schemeClr w14:val="tx1"/>
                  </w14:solidFill>
                </w14:textFill>
              </w:rPr>
            </w:pPr>
            <w:r>
              <w:rPr>
                <w:rFonts w:hint="eastAsia" w:hAnsi="宋体" w:cs="宋体"/>
                <w:snapToGrid w:val="0"/>
                <w:color w:val="000000" w:themeColor="text1"/>
                <w:kern w:val="21"/>
                <w:szCs w:val="21"/>
                <w:highlight w:val="none"/>
                <w14:textFill>
                  <w14:solidFill>
                    <w14:schemeClr w14:val="tx1"/>
                  </w14:solidFill>
                </w14:textFill>
              </w:rPr>
              <w:t>废气</w:t>
            </w:r>
          </w:p>
        </w:tc>
        <w:tc>
          <w:tcPr>
            <w:tcW w:w="1417" w:type="dxa"/>
            <w:vAlign w:val="center"/>
          </w:tcPr>
          <w:p w14:paraId="4901106A">
            <w:pPr>
              <w:widowControl/>
              <w:jc w:val="center"/>
              <w:rPr>
                <w:color w:val="000000" w:themeColor="text1"/>
                <w:kern w:val="0"/>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颗粒物</w:t>
            </w:r>
          </w:p>
        </w:tc>
        <w:tc>
          <w:tcPr>
            <w:tcW w:w="1701" w:type="dxa"/>
            <w:vAlign w:val="center"/>
          </w:tcPr>
          <w:p w14:paraId="48DF9689">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0.0541</w:t>
            </w:r>
          </w:p>
        </w:tc>
        <w:tc>
          <w:tcPr>
            <w:tcW w:w="1276" w:type="dxa"/>
            <w:vAlign w:val="center"/>
          </w:tcPr>
          <w:p w14:paraId="449EF26A">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01" w:type="dxa"/>
            <w:vAlign w:val="center"/>
          </w:tcPr>
          <w:p w14:paraId="20C6B4E3">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02161CEB">
            <w:pPr>
              <w:keepNext w:val="0"/>
              <w:keepLines w:val="0"/>
              <w:widowControl/>
              <w:suppressLineNumbers w:val="0"/>
              <w:jc w:val="center"/>
              <w:textAlignment w:val="center"/>
              <w:rPr>
                <w:rFonts w:hint="default" w:eastAsia="等线"/>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0.0009</w:t>
            </w:r>
          </w:p>
        </w:tc>
        <w:tc>
          <w:tcPr>
            <w:tcW w:w="1761" w:type="dxa"/>
            <w:vAlign w:val="center"/>
          </w:tcPr>
          <w:p w14:paraId="25601C8B">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7333CAAD">
            <w:pPr>
              <w:keepNext w:val="0"/>
              <w:keepLines w:val="0"/>
              <w:widowControl/>
              <w:suppressLineNumbers w:val="0"/>
              <w:jc w:val="center"/>
              <w:textAlignment w:val="center"/>
              <w:rPr>
                <w:rFonts w:hint="default" w:eastAsia="等线"/>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0.055</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w:t>
            </w:r>
          </w:p>
        </w:tc>
        <w:tc>
          <w:tcPr>
            <w:tcW w:w="1324" w:type="dxa"/>
            <w:vAlign w:val="center"/>
          </w:tcPr>
          <w:p w14:paraId="24F338F3">
            <w:pPr>
              <w:keepNext w:val="0"/>
              <w:keepLines w:val="0"/>
              <w:widowControl/>
              <w:suppressLineNumbers w:val="0"/>
              <w:jc w:val="center"/>
              <w:textAlignment w:val="center"/>
              <w:rPr>
                <w:rFonts w:eastAsia="等线"/>
                <w:color w:val="000000" w:themeColor="text1"/>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0.0009</w:t>
            </w:r>
          </w:p>
        </w:tc>
      </w:tr>
      <w:tr w14:paraId="524CD2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vAlign w:val="center"/>
          </w:tcPr>
          <w:p w14:paraId="22C93156">
            <w:pPr>
              <w:pStyle w:val="57"/>
              <w:spacing w:beforeLines="0" w:afterLines="0" w:line="240" w:lineRule="auto"/>
              <w:rPr>
                <w:rFonts w:hAnsi="宋体" w:cs="宋体"/>
                <w:snapToGrid w:val="0"/>
                <w:color w:val="000000" w:themeColor="text1"/>
                <w:kern w:val="21"/>
                <w:szCs w:val="21"/>
                <w:highlight w:val="none"/>
                <w14:textFill>
                  <w14:solidFill>
                    <w14:schemeClr w14:val="tx1"/>
                  </w14:solidFill>
                </w14:textFill>
              </w:rPr>
            </w:pPr>
          </w:p>
        </w:tc>
        <w:tc>
          <w:tcPr>
            <w:tcW w:w="1417" w:type="dxa"/>
            <w:vAlign w:val="center"/>
          </w:tcPr>
          <w:p w14:paraId="1B76830A">
            <w:pPr>
              <w:jc w:val="center"/>
              <w:rPr>
                <w:rFonts w:eastAsia="等线"/>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二氧化硫</w:t>
            </w:r>
          </w:p>
        </w:tc>
        <w:tc>
          <w:tcPr>
            <w:tcW w:w="1701" w:type="dxa"/>
            <w:vAlign w:val="center"/>
          </w:tcPr>
          <w:p w14:paraId="2C8DE575">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276" w:type="dxa"/>
            <w:vAlign w:val="center"/>
          </w:tcPr>
          <w:p w14:paraId="5AA896A3">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01" w:type="dxa"/>
            <w:vAlign w:val="center"/>
          </w:tcPr>
          <w:p w14:paraId="10A7E2F4">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13BA6829">
            <w:pPr>
              <w:keepNext w:val="0"/>
              <w:keepLines w:val="0"/>
              <w:widowControl/>
              <w:suppressLineNumbers w:val="0"/>
              <w:jc w:val="center"/>
              <w:textAlignment w:val="center"/>
              <w:rPr>
                <w:rFonts w:eastAsia="等线"/>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761" w:type="dxa"/>
            <w:vAlign w:val="center"/>
          </w:tcPr>
          <w:p w14:paraId="713AA53D">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71E205C6">
            <w:pPr>
              <w:keepNext w:val="0"/>
              <w:keepLines w:val="0"/>
              <w:widowControl/>
              <w:suppressLineNumbers w:val="0"/>
              <w:jc w:val="center"/>
              <w:textAlignment w:val="center"/>
              <w:rPr>
                <w:rFonts w:eastAsia="等线"/>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324" w:type="dxa"/>
            <w:vAlign w:val="center"/>
          </w:tcPr>
          <w:p w14:paraId="07047D6F">
            <w:pPr>
              <w:keepNext w:val="0"/>
              <w:keepLines w:val="0"/>
              <w:widowControl/>
              <w:suppressLineNumbers w:val="0"/>
              <w:jc w:val="center"/>
              <w:textAlignment w:val="center"/>
              <w:rPr>
                <w:rFonts w:eastAsia="等线"/>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r>
      <w:tr w14:paraId="22B74F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vAlign w:val="center"/>
          </w:tcPr>
          <w:p w14:paraId="68376E00">
            <w:pPr>
              <w:pStyle w:val="57"/>
              <w:spacing w:beforeLines="0" w:afterLines="0" w:line="240" w:lineRule="auto"/>
              <w:rPr>
                <w:rFonts w:hAnsi="宋体" w:cs="宋体"/>
                <w:snapToGrid w:val="0"/>
                <w:color w:val="000000" w:themeColor="text1"/>
                <w:kern w:val="21"/>
                <w:szCs w:val="21"/>
                <w:highlight w:val="none"/>
                <w14:textFill>
                  <w14:solidFill>
                    <w14:schemeClr w14:val="tx1"/>
                  </w14:solidFill>
                </w14:textFill>
              </w:rPr>
            </w:pPr>
          </w:p>
        </w:tc>
        <w:tc>
          <w:tcPr>
            <w:tcW w:w="1417" w:type="dxa"/>
            <w:vAlign w:val="center"/>
          </w:tcPr>
          <w:p w14:paraId="3183E7F8">
            <w:pPr>
              <w:jc w:val="center"/>
              <w:rPr>
                <w:rFonts w:eastAsia="等线"/>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氮氧化物</w:t>
            </w:r>
          </w:p>
        </w:tc>
        <w:tc>
          <w:tcPr>
            <w:tcW w:w="1701" w:type="dxa"/>
            <w:vAlign w:val="center"/>
          </w:tcPr>
          <w:p w14:paraId="2C66D323">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276" w:type="dxa"/>
            <w:vAlign w:val="center"/>
          </w:tcPr>
          <w:p w14:paraId="7FBEA879">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01" w:type="dxa"/>
            <w:vAlign w:val="center"/>
          </w:tcPr>
          <w:p w14:paraId="50522417">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7A3F6330">
            <w:pPr>
              <w:keepNext w:val="0"/>
              <w:keepLines w:val="0"/>
              <w:widowControl/>
              <w:suppressLineNumbers w:val="0"/>
              <w:jc w:val="center"/>
              <w:textAlignment w:val="center"/>
              <w:rPr>
                <w:rFonts w:eastAsia="等线"/>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761" w:type="dxa"/>
            <w:vAlign w:val="center"/>
          </w:tcPr>
          <w:p w14:paraId="6CCD2AA9">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15EA89E9">
            <w:pPr>
              <w:keepNext w:val="0"/>
              <w:keepLines w:val="0"/>
              <w:widowControl/>
              <w:suppressLineNumbers w:val="0"/>
              <w:jc w:val="center"/>
              <w:textAlignment w:val="center"/>
              <w:rPr>
                <w:rFonts w:eastAsia="等线"/>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324" w:type="dxa"/>
            <w:vAlign w:val="center"/>
          </w:tcPr>
          <w:p w14:paraId="61B97480">
            <w:pPr>
              <w:keepNext w:val="0"/>
              <w:keepLines w:val="0"/>
              <w:widowControl/>
              <w:suppressLineNumbers w:val="0"/>
              <w:jc w:val="center"/>
              <w:textAlignment w:val="center"/>
              <w:rPr>
                <w:rFonts w:eastAsia="等线"/>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r>
      <w:tr w14:paraId="39C935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vAlign w:val="center"/>
          </w:tcPr>
          <w:p w14:paraId="6D8239D8">
            <w:pPr>
              <w:pStyle w:val="57"/>
              <w:spacing w:beforeLines="0" w:afterLines="0" w:line="240" w:lineRule="auto"/>
              <w:rPr>
                <w:rFonts w:hAnsi="宋体" w:cs="宋体"/>
                <w:snapToGrid w:val="0"/>
                <w:color w:val="000000" w:themeColor="text1"/>
                <w:kern w:val="21"/>
                <w:szCs w:val="21"/>
                <w:highlight w:val="none"/>
                <w14:textFill>
                  <w14:solidFill>
                    <w14:schemeClr w14:val="tx1"/>
                  </w14:solidFill>
                </w14:textFill>
              </w:rPr>
            </w:pPr>
          </w:p>
        </w:tc>
        <w:tc>
          <w:tcPr>
            <w:tcW w:w="1417" w:type="dxa"/>
            <w:vAlign w:val="center"/>
          </w:tcPr>
          <w:p w14:paraId="37F21240">
            <w:pPr>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非甲烷总烃</w:t>
            </w:r>
          </w:p>
        </w:tc>
        <w:tc>
          <w:tcPr>
            <w:tcW w:w="1701" w:type="dxa"/>
            <w:vAlign w:val="center"/>
          </w:tcPr>
          <w:p w14:paraId="5CB2E19D">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0.3322</w:t>
            </w:r>
          </w:p>
        </w:tc>
        <w:tc>
          <w:tcPr>
            <w:tcW w:w="1276" w:type="dxa"/>
            <w:vAlign w:val="center"/>
          </w:tcPr>
          <w:p w14:paraId="55861EFF">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1.857</w:t>
            </w:r>
          </w:p>
        </w:tc>
        <w:tc>
          <w:tcPr>
            <w:tcW w:w="1701" w:type="dxa"/>
            <w:vAlign w:val="center"/>
          </w:tcPr>
          <w:p w14:paraId="15600A1C">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2070961C">
            <w:pPr>
              <w:keepNext w:val="0"/>
              <w:keepLines w:val="0"/>
              <w:widowControl/>
              <w:suppressLineNumbers w:val="0"/>
              <w:jc w:val="center"/>
              <w:textAlignment w:val="center"/>
              <w:rPr>
                <w:rFonts w:hint="default" w:eastAsia="等线"/>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1.6273</w:t>
            </w:r>
          </w:p>
        </w:tc>
        <w:tc>
          <w:tcPr>
            <w:tcW w:w="1761" w:type="dxa"/>
            <w:vAlign w:val="center"/>
          </w:tcPr>
          <w:p w14:paraId="1A3B8405">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7844711B">
            <w:pPr>
              <w:keepNext w:val="0"/>
              <w:keepLines w:val="0"/>
              <w:widowControl/>
              <w:suppressLineNumbers w:val="0"/>
              <w:jc w:val="center"/>
              <w:textAlignment w:val="center"/>
              <w:rPr>
                <w:rFonts w:hint="default" w:eastAsia="等线"/>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1.9595</w:t>
            </w:r>
          </w:p>
        </w:tc>
        <w:tc>
          <w:tcPr>
            <w:tcW w:w="1324" w:type="dxa"/>
            <w:vAlign w:val="center"/>
          </w:tcPr>
          <w:p w14:paraId="74B408F9">
            <w:pPr>
              <w:keepNext w:val="0"/>
              <w:keepLines w:val="0"/>
              <w:widowControl/>
              <w:suppressLineNumbers w:val="0"/>
              <w:jc w:val="center"/>
              <w:textAlignment w:val="center"/>
              <w:rPr>
                <w:rFonts w:hint="default" w:eastAsia="等线"/>
                <w:color w:val="000000" w:themeColor="text1"/>
                <w:sz w:val="21"/>
                <w:szCs w:val="21"/>
                <w:highlight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1.6273</w:t>
            </w:r>
          </w:p>
        </w:tc>
      </w:tr>
      <w:tr w14:paraId="3383A2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vAlign w:val="center"/>
          </w:tcPr>
          <w:p w14:paraId="24E02369">
            <w:pPr>
              <w:pStyle w:val="57"/>
              <w:spacing w:beforeLines="0" w:afterLines="0" w:line="240" w:lineRule="auto"/>
              <w:rPr>
                <w:rFonts w:hAnsi="宋体" w:cs="宋体"/>
                <w:snapToGrid w:val="0"/>
                <w:color w:val="000000" w:themeColor="text1"/>
                <w:kern w:val="21"/>
                <w:szCs w:val="21"/>
                <w:highlight w:val="none"/>
                <w14:textFill>
                  <w14:solidFill>
                    <w14:schemeClr w14:val="tx1"/>
                  </w14:solidFill>
                </w14:textFill>
              </w:rPr>
            </w:pPr>
          </w:p>
        </w:tc>
        <w:tc>
          <w:tcPr>
            <w:tcW w:w="1417" w:type="dxa"/>
            <w:vAlign w:val="center"/>
          </w:tcPr>
          <w:p w14:paraId="19BCA986">
            <w:pPr>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硫酸雾</w:t>
            </w:r>
          </w:p>
        </w:tc>
        <w:tc>
          <w:tcPr>
            <w:tcW w:w="1701" w:type="dxa"/>
            <w:vAlign w:val="center"/>
          </w:tcPr>
          <w:p w14:paraId="1CEDB097">
            <w:pPr>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276" w:type="dxa"/>
            <w:vAlign w:val="center"/>
          </w:tcPr>
          <w:p w14:paraId="5E9CEFA2">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01" w:type="dxa"/>
            <w:vAlign w:val="center"/>
          </w:tcPr>
          <w:p w14:paraId="5EE8E75A">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6BDA7B52">
            <w:pPr>
              <w:keepNext w:val="0"/>
              <w:keepLines w:val="0"/>
              <w:widowControl/>
              <w:suppressLineNumbers w:val="0"/>
              <w:jc w:val="center"/>
              <w:textAlignment w:val="center"/>
              <w:rPr>
                <w:rFonts w:hint="default" w:eastAsia="等线"/>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0.0019</w:t>
            </w:r>
          </w:p>
        </w:tc>
        <w:tc>
          <w:tcPr>
            <w:tcW w:w="1761" w:type="dxa"/>
            <w:vAlign w:val="center"/>
          </w:tcPr>
          <w:p w14:paraId="600CD16A">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3F43F6D0">
            <w:pPr>
              <w:keepNext w:val="0"/>
              <w:keepLines w:val="0"/>
              <w:widowControl/>
              <w:suppressLineNumbers w:val="0"/>
              <w:jc w:val="center"/>
              <w:textAlignment w:val="center"/>
              <w:rPr>
                <w:rFonts w:hint="eastAsia" w:eastAsia="等线"/>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0.0019</w:t>
            </w:r>
          </w:p>
        </w:tc>
        <w:tc>
          <w:tcPr>
            <w:tcW w:w="1324" w:type="dxa"/>
            <w:vAlign w:val="center"/>
          </w:tcPr>
          <w:p w14:paraId="73F38541">
            <w:pPr>
              <w:keepNext w:val="0"/>
              <w:keepLines w:val="0"/>
              <w:widowControl/>
              <w:suppressLineNumbers w:val="0"/>
              <w:jc w:val="center"/>
              <w:textAlignment w:val="center"/>
              <w:rPr>
                <w:rFonts w:eastAsia="等线"/>
                <w:color w:val="000000" w:themeColor="text1"/>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0.0019</w:t>
            </w:r>
          </w:p>
        </w:tc>
      </w:tr>
      <w:tr w14:paraId="16193C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vAlign w:val="center"/>
          </w:tcPr>
          <w:p w14:paraId="5A0FEF28">
            <w:pPr>
              <w:pStyle w:val="57"/>
              <w:spacing w:beforeLines="0" w:afterLines="0" w:line="240" w:lineRule="auto"/>
              <w:rPr>
                <w:rFonts w:hAnsi="宋体" w:cs="宋体"/>
                <w:snapToGrid w:val="0"/>
                <w:color w:val="000000" w:themeColor="text1"/>
                <w:kern w:val="21"/>
                <w:szCs w:val="21"/>
                <w:highlight w:val="none"/>
                <w14:textFill>
                  <w14:solidFill>
                    <w14:schemeClr w14:val="tx1"/>
                  </w14:solidFill>
                </w14:textFill>
              </w:rPr>
            </w:pPr>
          </w:p>
        </w:tc>
        <w:tc>
          <w:tcPr>
            <w:tcW w:w="1417" w:type="dxa"/>
            <w:vAlign w:val="center"/>
          </w:tcPr>
          <w:p w14:paraId="5E8FE29E">
            <w:pPr>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硝酸雾（以NO</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x</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计）</w:t>
            </w:r>
          </w:p>
        </w:tc>
        <w:tc>
          <w:tcPr>
            <w:tcW w:w="1701" w:type="dxa"/>
            <w:vAlign w:val="center"/>
          </w:tcPr>
          <w:p w14:paraId="543CB257">
            <w:pPr>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276" w:type="dxa"/>
            <w:vAlign w:val="center"/>
          </w:tcPr>
          <w:p w14:paraId="106FF166">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01" w:type="dxa"/>
            <w:vAlign w:val="center"/>
          </w:tcPr>
          <w:p w14:paraId="2AEFD101">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6AB41B1B">
            <w:pPr>
              <w:keepNext w:val="0"/>
              <w:keepLines w:val="0"/>
              <w:widowControl/>
              <w:suppressLineNumbers w:val="0"/>
              <w:jc w:val="center"/>
              <w:textAlignment w:val="center"/>
              <w:rPr>
                <w:rFonts w:hint="default" w:eastAsia="等线"/>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0.0001</w:t>
            </w:r>
          </w:p>
        </w:tc>
        <w:tc>
          <w:tcPr>
            <w:tcW w:w="1761" w:type="dxa"/>
            <w:vAlign w:val="center"/>
          </w:tcPr>
          <w:p w14:paraId="6A7F9BFF">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1B5E03FA">
            <w:pPr>
              <w:keepNext w:val="0"/>
              <w:keepLines w:val="0"/>
              <w:widowControl/>
              <w:suppressLineNumbers w:val="0"/>
              <w:jc w:val="center"/>
              <w:textAlignment w:val="center"/>
              <w:rPr>
                <w:rFonts w:hint="eastAsia" w:eastAsia="等线"/>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0.0001</w:t>
            </w:r>
          </w:p>
        </w:tc>
        <w:tc>
          <w:tcPr>
            <w:tcW w:w="1324" w:type="dxa"/>
            <w:vAlign w:val="center"/>
          </w:tcPr>
          <w:p w14:paraId="15B05E0C">
            <w:pPr>
              <w:keepNext w:val="0"/>
              <w:keepLines w:val="0"/>
              <w:widowControl/>
              <w:suppressLineNumbers w:val="0"/>
              <w:jc w:val="center"/>
              <w:textAlignment w:val="center"/>
              <w:rPr>
                <w:rFonts w:eastAsia="等线"/>
                <w:color w:val="000000" w:themeColor="text1"/>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0.0001</w:t>
            </w:r>
          </w:p>
        </w:tc>
      </w:tr>
      <w:tr w14:paraId="117917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vAlign w:val="center"/>
          </w:tcPr>
          <w:p w14:paraId="3FDE9B62">
            <w:pPr>
              <w:pStyle w:val="57"/>
              <w:spacing w:beforeLines="0" w:afterLines="0" w:line="240" w:lineRule="auto"/>
              <w:rPr>
                <w:rFonts w:hAnsi="宋体" w:cs="宋体"/>
                <w:snapToGrid w:val="0"/>
                <w:color w:val="000000" w:themeColor="text1"/>
                <w:kern w:val="21"/>
                <w:szCs w:val="21"/>
                <w:highlight w:val="none"/>
                <w14:textFill>
                  <w14:solidFill>
                    <w14:schemeClr w14:val="tx1"/>
                  </w14:solidFill>
                </w14:textFill>
              </w:rPr>
            </w:pPr>
          </w:p>
        </w:tc>
        <w:tc>
          <w:tcPr>
            <w:tcW w:w="1417" w:type="dxa"/>
            <w:vAlign w:val="center"/>
          </w:tcPr>
          <w:p w14:paraId="4F45CF8D">
            <w:pPr>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氟化物</w:t>
            </w:r>
          </w:p>
        </w:tc>
        <w:tc>
          <w:tcPr>
            <w:tcW w:w="1701" w:type="dxa"/>
            <w:vAlign w:val="center"/>
          </w:tcPr>
          <w:p w14:paraId="42B88ADE">
            <w:pPr>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276" w:type="dxa"/>
            <w:vAlign w:val="center"/>
          </w:tcPr>
          <w:p w14:paraId="0018C674">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01" w:type="dxa"/>
            <w:vAlign w:val="center"/>
          </w:tcPr>
          <w:p w14:paraId="7BBAB9B9">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3DE79AAD">
            <w:pPr>
              <w:keepNext w:val="0"/>
              <w:keepLines w:val="0"/>
              <w:widowControl/>
              <w:suppressLineNumbers w:val="0"/>
              <w:jc w:val="center"/>
              <w:textAlignment w:val="center"/>
              <w:rPr>
                <w:rFonts w:hint="default" w:eastAsia="等线"/>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0.0008</w:t>
            </w:r>
          </w:p>
        </w:tc>
        <w:tc>
          <w:tcPr>
            <w:tcW w:w="1761" w:type="dxa"/>
            <w:vAlign w:val="center"/>
          </w:tcPr>
          <w:p w14:paraId="7004E73E">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3BFFB388">
            <w:pPr>
              <w:keepNext w:val="0"/>
              <w:keepLines w:val="0"/>
              <w:widowControl/>
              <w:suppressLineNumbers w:val="0"/>
              <w:jc w:val="center"/>
              <w:textAlignment w:val="center"/>
              <w:rPr>
                <w:rFonts w:hint="eastAsia" w:eastAsia="等线"/>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0.0008</w:t>
            </w:r>
          </w:p>
        </w:tc>
        <w:tc>
          <w:tcPr>
            <w:tcW w:w="1324" w:type="dxa"/>
            <w:vAlign w:val="center"/>
          </w:tcPr>
          <w:p w14:paraId="350C0897">
            <w:pPr>
              <w:keepNext w:val="0"/>
              <w:keepLines w:val="0"/>
              <w:widowControl/>
              <w:suppressLineNumbers w:val="0"/>
              <w:jc w:val="center"/>
              <w:textAlignment w:val="center"/>
              <w:rPr>
                <w:rFonts w:eastAsia="等线"/>
                <w:color w:val="000000" w:themeColor="text1"/>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0.0008</w:t>
            </w:r>
          </w:p>
        </w:tc>
      </w:tr>
      <w:tr w14:paraId="2345D6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vAlign w:val="center"/>
          </w:tcPr>
          <w:p w14:paraId="6F99938B">
            <w:pPr>
              <w:pStyle w:val="57"/>
              <w:spacing w:beforeLines="0" w:afterLines="0" w:line="240" w:lineRule="auto"/>
              <w:rPr>
                <w:rFonts w:hAnsi="宋体" w:cs="宋体"/>
                <w:snapToGrid w:val="0"/>
                <w:color w:val="000000" w:themeColor="text1"/>
                <w:kern w:val="21"/>
                <w:szCs w:val="21"/>
                <w:highlight w:val="none"/>
                <w14:textFill>
                  <w14:solidFill>
                    <w14:schemeClr w14:val="tx1"/>
                  </w14:solidFill>
                </w14:textFill>
              </w:rPr>
            </w:pPr>
          </w:p>
        </w:tc>
        <w:tc>
          <w:tcPr>
            <w:tcW w:w="1417" w:type="dxa"/>
            <w:vAlign w:val="center"/>
          </w:tcPr>
          <w:p w14:paraId="637139A1">
            <w:pPr>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氯化氢</w:t>
            </w:r>
          </w:p>
        </w:tc>
        <w:tc>
          <w:tcPr>
            <w:tcW w:w="1701" w:type="dxa"/>
            <w:vAlign w:val="center"/>
          </w:tcPr>
          <w:p w14:paraId="39103137">
            <w:pPr>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276" w:type="dxa"/>
            <w:vAlign w:val="center"/>
          </w:tcPr>
          <w:p w14:paraId="3D7A6710">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01" w:type="dxa"/>
            <w:vAlign w:val="center"/>
          </w:tcPr>
          <w:p w14:paraId="362CBA4C">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2D340B92">
            <w:pPr>
              <w:keepNext w:val="0"/>
              <w:keepLines w:val="0"/>
              <w:widowControl/>
              <w:suppressLineNumbers w:val="0"/>
              <w:jc w:val="center"/>
              <w:textAlignment w:val="center"/>
              <w:rPr>
                <w:rFonts w:hint="default" w:eastAsia="等线"/>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0.000021</w:t>
            </w:r>
          </w:p>
        </w:tc>
        <w:tc>
          <w:tcPr>
            <w:tcW w:w="1761" w:type="dxa"/>
            <w:vAlign w:val="center"/>
          </w:tcPr>
          <w:p w14:paraId="3ABE271D">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786D00D9">
            <w:pPr>
              <w:keepNext w:val="0"/>
              <w:keepLines w:val="0"/>
              <w:widowControl/>
              <w:suppressLineNumbers w:val="0"/>
              <w:jc w:val="center"/>
              <w:textAlignment w:val="center"/>
              <w:rPr>
                <w:rFonts w:hint="eastAsia" w:eastAsia="等线"/>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0.000021</w:t>
            </w:r>
          </w:p>
        </w:tc>
        <w:tc>
          <w:tcPr>
            <w:tcW w:w="1324" w:type="dxa"/>
            <w:vAlign w:val="center"/>
          </w:tcPr>
          <w:p w14:paraId="436DC86F">
            <w:pPr>
              <w:keepNext w:val="0"/>
              <w:keepLines w:val="0"/>
              <w:widowControl/>
              <w:suppressLineNumbers w:val="0"/>
              <w:jc w:val="center"/>
              <w:textAlignment w:val="center"/>
              <w:rPr>
                <w:rFonts w:eastAsia="等线"/>
                <w:color w:val="000000" w:themeColor="text1"/>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0.000021</w:t>
            </w:r>
          </w:p>
        </w:tc>
      </w:tr>
      <w:tr w14:paraId="774B15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vAlign w:val="center"/>
          </w:tcPr>
          <w:p w14:paraId="136EF6F6">
            <w:pPr>
              <w:pStyle w:val="57"/>
              <w:spacing w:beforeLines="0" w:afterLines="0" w:line="240" w:lineRule="auto"/>
              <w:rPr>
                <w:rFonts w:hAnsi="宋体" w:cs="宋体"/>
                <w:snapToGrid w:val="0"/>
                <w:color w:val="000000" w:themeColor="text1"/>
                <w:kern w:val="21"/>
                <w:szCs w:val="21"/>
                <w:highlight w:val="none"/>
                <w14:textFill>
                  <w14:solidFill>
                    <w14:schemeClr w14:val="tx1"/>
                  </w14:solidFill>
                </w14:textFill>
              </w:rPr>
            </w:pPr>
          </w:p>
        </w:tc>
        <w:tc>
          <w:tcPr>
            <w:tcW w:w="1417" w:type="dxa"/>
            <w:vAlign w:val="center"/>
          </w:tcPr>
          <w:p w14:paraId="298AB49B">
            <w:pPr>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TMAH</w:t>
            </w:r>
          </w:p>
        </w:tc>
        <w:tc>
          <w:tcPr>
            <w:tcW w:w="1701" w:type="dxa"/>
            <w:vAlign w:val="center"/>
          </w:tcPr>
          <w:p w14:paraId="2A671A6B">
            <w:pPr>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276" w:type="dxa"/>
            <w:vAlign w:val="center"/>
          </w:tcPr>
          <w:p w14:paraId="0945FAEA">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01" w:type="dxa"/>
            <w:vAlign w:val="center"/>
          </w:tcPr>
          <w:p w14:paraId="1F6AE61C">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0F6409D9">
            <w:pPr>
              <w:keepNext w:val="0"/>
              <w:keepLines w:val="0"/>
              <w:widowControl/>
              <w:suppressLineNumbers w:val="0"/>
              <w:jc w:val="center"/>
              <w:textAlignment w:val="center"/>
              <w:rPr>
                <w:rFonts w:hint="default" w:eastAsia="等线"/>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0.0002</w:t>
            </w:r>
          </w:p>
        </w:tc>
        <w:tc>
          <w:tcPr>
            <w:tcW w:w="1761" w:type="dxa"/>
            <w:vAlign w:val="center"/>
          </w:tcPr>
          <w:p w14:paraId="15CF738A">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5C34543B">
            <w:pPr>
              <w:keepNext w:val="0"/>
              <w:keepLines w:val="0"/>
              <w:widowControl/>
              <w:suppressLineNumbers w:val="0"/>
              <w:jc w:val="center"/>
              <w:textAlignment w:val="center"/>
              <w:rPr>
                <w:rFonts w:hint="eastAsia" w:eastAsia="等线"/>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0.0002</w:t>
            </w:r>
          </w:p>
        </w:tc>
        <w:tc>
          <w:tcPr>
            <w:tcW w:w="1324" w:type="dxa"/>
            <w:vAlign w:val="center"/>
          </w:tcPr>
          <w:p w14:paraId="500A7003">
            <w:pPr>
              <w:keepNext w:val="0"/>
              <w:keepLines w:val="0"/>
              <w:widowControl/>
              <w:suppressLineNumbers w:val="0"/>
              <w:jc w:val="center"/>
              <w:textAlignment w:val="center"/>
              <w:rPr>
                <w:rFonts w:eastAsia="等线"/>
                <w:color w:val="000000" w:themeColor="text1"/>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0.0002</w:t>
            </w:r>
          </w:p>
        </w:tc>
      </w:tr>
      <w:tr w14:paraId="07731D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restart"/>
            <w:vAlign w:val="center"/>
          </w:tcPr>
          <w:p w14:paraId="0C13EC82">
            <w:pPr>
              <w:pStyle w:val="57"/>
              <w:spacing w:beforeLines="0" w:afterLines="0" w:line="240" w:lineRule="auto"/>
              <w:rPr>
                <w:rFonts w:hAnsi="宋体" w:cs="宋体"/>
                <w:snapToGrid w:val="0"/>
                <w:color w:val="000000" w:themeColor="text1"/>
                <w:kern w:val="21"/>
                <w:szCs w:val="21"/>
                <w:highlight w:val="none"/>
                <w14:textFill>
                  <w14:solidFill>
                    <w14:schemeClr w14:val="tx1"/>
                  </w14:solidFill>
                </w14:textFill>
              </w:rPr>
            </w:pPr>
            <w:r>
              <w:rPr>
                <w:rFonts w:hint="eastAsia" w:hAnsi="宋体" w:cs="宋体"/>
                <w:snapToGrid w:val="0"/>
                <w:color w:val="000000" w:themeColor="text1"/>
                <w:kern w:val="21"/>
                <w:szCs w:val="21"/>
                <w:highlight w:val="none"/>
                <w14:textFill>
                  <w14:solidFill>
                    <w14:schemeClr w14:val="tx1"/>
                  </w14:solidFill>
                </w14:textFill>
              </w:rPr>
              <w:t>废水</w:t>
            </w:r>
          </w:p>
        </w:tc>
        <w:tc>
          <w:tcPr>
            <w:tcW w:w="1417" w:type="dxa"/>
            <w:vAlign w:val="center"/>
          </w:tcPr>
          <w:p w14:paraId="7364FE55">
            <w:pPr>
              <w:jc w:val="center"/>
              <w:rPr>
                <w:rFonts w:eastAsia="等线"/>
                <w:color w:val="000000" w:themeColor="text1"/>
                <w:sz w:val="21"/>
                <w:szCs w:val="21"/>
                <w:highlight w:val="none"/>
                <w14:textFill>
                  <w14:solidFill>
                    <w14:schemeClr w14:val="tx1"/>
                  </w14:solidFill>
                </w14:textFill>
              </w:rPr>
            </w:pPr>
            <w:r>
              <w:rPr>
                <w:rFonts w:eastAsia="等线"/>
                <w:color w:val="000000" w:themeColor="text1"/>
                <w:sz w:val="21"/>
                <w:szCs w:val="21"/>
                <w:highlight w:val="none"/>
                <w14:textFill>
                  <w14:solidFill>
                    <w14:schemeClr w14:val="tx1"/>
                  </w14:solidFill>
                </w14:textFill>
              </w:rPr>
              <w:t>COD</w:t>
            </w:r>
          </w:p>
        </w:tc>
        <w:tc>
          <w:tcPr>
            <w:tcW w:w="1701" w:type="dxa"/>
            <w:vAlign w:val="center"/>
          </w:tcPr>
          <w:p w14:paraId="047DEB2F">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0.189</w:t>
            </w:r>
          </w:p>
        </w:tc>
        <w:tc>
          <w:tcPr>
            <w:tcW w:w="1276" w:type="dxa"/>
            <w:vAlign w:val="center"/>
          </w:tcPr>
          <w:p w14:paraId="6DB4178E">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0.2272</w:t>
            </w:r>
          </w:p>
        </w:tc>
        <w:tc>
          <w:tcPr>
            <w:tcW w:w="1701" w:type="dxa"/>
            <w:vAlign w:val="center"/>
          </w:tcPr>
          <w:p w14:paraId="30F8863E">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4942C27A">
            <w:pPr>
              <w:keepNext w:val="0"/>
              <w:keepLines w:val="0"/>
              <w:widowControl/>
              <w:suppressLineNumbers w:val="0"/>
              <w:jc w:val="center"/>
              <w:textAlignment w:val="center"/>
              <w:rPr>
                <w:rFonts w:hint="default" w:eastAsia="宋体"/>
                <w:color w:val="000000" w:themeColor="text1"/>
                <w:sz w:val="21"/>
                <w:szCs w:val="21"/>
                <w:highlight w:val="none"/>
                <w:lang w:val="en-US" w:eastAsia="zh-CN"/>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0.5456</w:t>
            </w:r>
          </w:p>
        </w:tc>
        <w:tc>
          <w:tcPr>
            <w:tcW w:w="1761" w:type="dxa"/>
            <w:vAlign w:val="center"/>
          </w:tcPr>
          <w:p w14:paraId="212BA6E0">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22ADB013">
            <w:pPr>
              <w:keepNext w:val="0"/>
              <w:keepLines w:val="0"/>
              <w:widowControl/>
              <w:suppressLineNumbers w:val="0"/>
              <w:jc w:val="center"/>
              <w:textAlignment w:val="center"/>
              <w:rPr>
                <w:rFonts w:eastAsia="等线"/>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0.7346</w:t>
            </w:r>
          </w:p>
        </w:tc>
        <w:tc>
          <w:tcPr>
            <w:tcW w:w="1324" w:type="dxa"/>
            <w:vAlign w:val="center"/>
          </w:tcPr>
          <w:p w14:paraId="7C48946D">
            <w:pPr>
              <w:keepNext w:val="0"/>
              <w:keepLines w:val="0"/>
              <w:widowControl/>
              <w:suppressLineNumbers w:val="0"/>
              <w:jc w:val="center"/>
              <w:textAlignment w:val="center"/>
              <w:rPr>
                <w:rFonts w:eastAsia="等线"/>
                <w:color w:val="000000" w:themeColor="text1"/>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5456</w:t>
            </w:r>
          </w:p>
        </w:tc>
      </w:tr>
      <w:tr w14:paraId="0D2394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vAlign w:val="center"/>
          </w:tcPr>
          <w:p w14:paraId="663B9903">
            <w:pPr>
              <w:pStyle w:val="57"/>
              <w:spacing w:beforeLines="0" w:afterLines="0" w:line="240" w:lineRule="auto"/>
              <w:rPr>
                <w:rFonts w:hAnsi="宋体" w:cs="宋体"/>
                <w:snapToGrid w:val="0"/>
                <w:color w:val="000000" w:themeColor="text1"/>
                <w:kern w:val="21"/>
                <w:szCs w:val="21"/>
                <w:highlight w:val="none"/>
                <w14:textFill>
                  <w14:solidFill>
                    <w14:schemeClr w14:val="tx1"/>
                  </w14:solidFill>
                </w14:textFill>
              </w:rPr>
            </w:pPr>
          </w:p>
        </w:tc>
        <w:tc>
          <w:tcPr>
            <w:tcW w:w="1417" w:type="dxa"/>
            <w:vAlign w:val="center"/>
          </w:tcPr>
          <w:p w14:paraId="1769E275">
            <w:pPr>
              <w:jc w:val="center"/>
              <w:rPr>
                <w:rFonts w:eastAsia="等线"/>
                <w:color w:val="000000" w:themeColor="text1"/>
                <w:sz w:val="21"/>
                <w:szCs w:val="21"/>
                <w:highlight w:val="none"/>
                <w14:textFill>
                  <w14:solidFill>
                    <w14:schemeClr w14:val="tx1"/>
                  </w14:solidFill>
                </w14:textFill>
              </w:rPr>
            </w:pPr>
            <w:r>
              <w:rPr>
                <w:rFonts w:eastAsia="等线"/>
                <w:color w:val="000000" w:themeColor="text1"/>
                <w:sz w:val="21"/>
                <w:szCs w:val="21"/>
                <w:highlight w:val="none"/>
                <w14:textFill>
                  <w14:solidFill>
                    <w14:schemeClr w14:val="tx1"/>
                  </w14:solidFill>
                </w14:textFill>
              </w:rPr>
              <w:t>BOD</w:t>
            </w:r>
            <w:r>
              <w:rPr>
                <w:rFonts w:eastAsia="等线"/>
                <w:color w:val="000000" w:themeColor="text1"/>
                <w:sz w:val="21"/>
                <w:szCs w:val="21"/>
                <w:highlight w:val="none"/>
                <w:vertAlign w:val="subscript"/>
                <w14:textFill>
                  <w14:solidFill>
                    <w14:schemeClr w14:val="tx1"/>
                  </w14:solidFill>
                </w14:textFill>
              </w:rPr>
              <w:t>5</w:t>
            </w:r>
          </w:p>
        </w:tc>
        <w:tc>
          <w:tcPr>
            <w:tcW w:w="1701" w:type="dxa"/>
            <w:vAlign w:val="center"/>
          </w:tcPr>
          <w:p w14:paraId="5421583A">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276" w:type="dxa"/>
            <w:vAlign w:val="center"/>
          </w:tcPr>
          <w:p w14:paraId="1E428BFA">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01" w:type="dxa"/>
            <w:vAlign w:val="center"/>
          </w:tcPr>
          <w:p w14:paraId="7A00C6AA">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0AD26797">
            <w:pPr>
              <w:keepNext w:val="0"/>
              <w:keepLines w:val="0"/>
              <w:widowControl/>
              <w:suppressLineNumbers w:val="0"/>
              <w:jc w:val="center"/>
              <w:textAlignment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61" w:type="dxa"/>
            <w:vAlign w:val="center"/>
          </w:tcPr>
          <w:p w14:paraId="44DCBAD6">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62F8794F">
            <w:pPr>
              <w:keepNext w:val="0"/>
              <w:keepLines w:val="0"/>
              <w:widowControl/>
              <w:suppressLineNumbers w:val="0"/>
              <w:jc w:val="center"/>
              <w:textAlignment w:val="center"/>
              <w:rPr>
                <w:rFonts w:eastAsia="等线"/>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324" w:type="dxa"/>
            <w:vAlign w:val="center"/>
          </w:tcPr>
          <w:p w14:paraId="7152B62B">
            <w:pPr>
              <w:keepNext w:val="0"/>
              <w:keepLines w:val="0"/>
              <w:widowControl/>
              <w:suppressLineNumbers w:val="0"/>
              <w:jc w:val="center"/>
              <w:textAlignment w:val="center"/>
              <w:rPr>
                <w:rFonts w:eastAsia="等线"/>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r>
      <w:tr w14:paraId="767562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vAlign w:val="center"/>
          </w:tcPr>
          <w:p w14:paraId="28F53BF4">
            <w:pPr>
              <w:pStyle w:val="57"/>
              <w:spacing w:beforeLines="0" w:afterLines="0" w:line="240" w:lineRule="auto"/>
              <w:rPr>
                <w:rFonts w:hAnsi="宋体" w:cs="宋体"/>
                <w:snapToGrid w:val="0"/>
                <w:color w:val="000000" w:themeColor="text1"/>
                <w:kern w:val="21"/>
                <w:szCs w:val="21"/>
                <w:highlight w:val="none"/>
                <w14:textFill>
                  <w14:solidFill>
                    <w14:schemeClr w14:val="tx1"/>
                  </w14:solidFill>
                </w14:textFill>
              </w:rPr>
            </w:pPr>
          </w:p>
        </w:tc>
        <w:tc>
          <w:tcPr>
            <w:tcW w:w="1417" w:type="dxa"/>
            <w:vAlign w:val="center"/>
          </w:tcPr>
          <w:p w14:paraId="6309D44F">
            <w:pPr>
              <w:jc w:val="center"/>
              <w:rPr>
                <w:rFonts w:eastAsia="等线"/>
                <w:color w:val="000000" w:themeColor="text1"/>
                <w:sz w:val="21"/>
                <w:szCs w:val="21"/>
                <w:highlight w:val="none"/>
                <w14:textFill>
                  <w14:solidFill>
                    <w14:schemeClr w14:val="tx1"/>
                  </w14:solidFill>
                </w14:textFill>
              </w:rPr>
            </w:pPr>
            <w:r>
              <w:rPr>
                <w:rFonts w:eastAsia="等线"/>
                <w:color w:val="000000" w:themeColor="text1"/>
                <w:sz w:val="21"/>
                <w:szCs w:val="21"/>
                <w:highlight w:val="none"/>
                <w14:textFill>
                  <w14:solidFill>
                    <w14:schemeClr w14:val="tx1"/>
                  </w14:solidFill>
                </w14:textFill>
              </w:rPr>
              <w:t>SS</w:t>
            </w:r>
          </w:p>
        </w:tc>
        <w:tc>
          <w:tcPr>
            <w:tcW w:w="1701" w:type="dxa"/>
            <w:vAlign w:val="center"/>
          </w:tcPr>
          <w:p w14:paraId="0B22BE48">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276" w:type="dxa"/>
            <w:vAlign w:val="center"/>
          </w:tcPr>
          <w:p w14:paraId="4EEA92FE">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01" w:type="dxa"/>
            <w:vAlign w:val="center"/>
          </w:tcPr>
          <w:p w14:paraId="1815F504">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1D654CA8">
            <w:pPr>
              <w:keepNext w:val="0"/>
              <w:keepLines w:val="0"/>
              <w:widowControl/>
              <w:suppressLineNumbers w:val="0"/>
              <w:jc w:val="center"/>
              <w:textAlignment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61" w:type="dxa"/>
            <w:vAlign w:val="center"/>
          </w:tcPr>
          <w:p w14:paraId="523A9755">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2CCC6A9A">
            <w:pPr>
              <w:keepNext w:val="0"/>
              <w:keepLines w:val="0"/>
              <w:widowControl/>
              <w:suppressLineNumbers w:val="0"/>
              <w:jc w:val="center"/>
              <w:textAlignment w:val="center"/>
              <w:rPr>
                <w:rFonts w:eastAsia="等线"/>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324" w:type="dxa"/>
            <w:vAlign w:val="center"/>
          </w:tcPr>
          <w:p w14:paraId="39225DCD">
            <w:pPr>
              <w:keepNext w:val="0"/>
              <w:keepLines w:val="0"/>
              <w:widowControl/>
              <w:suppressLineNumbers w:val="0"/>
              <w:jc w:val="center"/>
              <w:textAlignment w:val="center"/>
              <w:rPr>
                <w:rFonts w:eastAsia="等线"/>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r>
      <w:tr w14:paraId="012B00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vAlign w:val="center"/>
          </w:tcPr>
          <w:p w14:paraId="105970EF">
            <w:pPr>
              <w:pStyle w:val="57"/>
              <w:spacing w:beforeLines="0" w:afterLines="0" w:line="240" w:lineRule="auto"/>
              <w:rPr>
                <w:rFonts w:hAnsi="宋体" w:cs="宋体"/>
                <w:snapToGrid w:val="0"/>
                <w:color w:val="000000" w:themeColor="text1"/>
                <w:kern w:val="21"/>
                <w:szCs w:val="21"/>
                <w:highlight w:val="none"/>
                <w14:textFill>
                  <w14:solidFill>
                    <w14:schemeClr w14:val="tx1"/>
                  </w14:solidFill>
                </w14:textFill>
              </w:rPr>
            </w:pPr>
          </w:p>
        </w:tc>
        <w:tc>
          <w:tcPr>
            <w:tcW w:w="1417" w:type="dxa"/>
            <w:vAlign w:val="center"/>
          </w:tcPr>
          <w:p w14:paraId="524E41F0">
            <w:pPr>
              <w:jc w:val="center"/>
              <w:rPr>
                <w:rFonts w:eastAsia="等线"/>
                <w:color w:val="000000" w:themeColor="text1"/>
                <w:sz w:val="21"/>
                <w:szCs w:val="21"/>
                <w:highlight w:val="none"/>
                <w14:textFill>
                  <w14:solidFill>
                    <w14:schemeClr w14:val="tx1"/>
                  </w14:solidFill>
                </w14:textFill>
              </w:rPr>
            </w:pPr>
            <w:r>
              <w:rPr>
                <w:rFonts w:eastAsia="等线"/>
                <w:color w:val="000000" w:themeColor="text1"/>
                <w:sz w:val="21"/>
                <w:szCs w:val="21"/>
                <w:highlight w:val="none"/>
                <w14:textFill>
                  <w14:solidFill>
                    <w14:schemeClr w14:val="tx1"/>
                  </w14:solidFill>
                </w14:textFill>
              </w:rPr>
              <w:t>NH</w:t>
            </w:r>
            <w:r>
              <w:rPr>
                <w:rFonts w:eastAsia="等线"/>
                <w:color w:val="000000" w:themeColor="text1"/>
                <w:sz w:val="21"/>
                <w:szCs w:val="21"/>
                <w:highlight w:val="none"/>
                <w:vertAlign w:val="subscript"/>
                <w14:textFill>
                  <w14:solidFill>
                    <w14:schemeClr w14:val="tx1"/>
                  </w14:solidFill>
                </w14:textFill>
              </w:rPr>
              <w:t>3</w:t>
            </w:r>
            <w:r>
              <w:rPr>
                <w:rFonts w:eastAsia="等线"/>
                <w:color w:val="000000" w:themeColor="text1"/>
                <w:sz w:val="21"/>
                <w:szCs w:val="21"/>
                <w:highlight w:val="none"/>
                <w14:textFill>
                  <w14:solidFill>
                    <w14:schemeClr w14:val="tx1"/>
                  </w14:solidFill>
                </w14:textFill>
              </w:rPr>
              <w:t>-N</w:t>
            </w:r>
          </w:p>
        </w:tc>
        <w:tc>
          <w:tcPr>
            <w:tcW w:w="1701" w:type="dxa"/>
            <w:vAlign w:val="center"/>
          </w:tcPr>
          <w:p w14:paraId="1F44681C">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0.019</w:t>
            </w:r>
          </w:p>
        </w:tc>
        <w:tc>
          <w:tcPr>
            <w:tcW w:w="1276" w:type="dxa"/>
            <w:vAlign w:val="center"/>
          </w:tcPr>
          <w:p w14:paraId="1E5ABE6F">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0.0227</w:t>
            </w:r>
          </w:p>
        </w:tc>
        <w:tc>
          <w:tcPr>
            <w:tcW w:w="1701" w:type="dxa"/>
            <w:vAlign w:val="center"/>
          </w:tcPr>
          <w:p w14:paraId="1A486E03">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67B119B7">
            <w:pPr>
              <w:keepNext w:val="0"/>
              <w:keepLines w:val="0"/>
              <w:widowControl/>
              <w:suppressLineNumbers w:val="0"/>
              <w:jc w:val="center"/>
              <w:textAlignment w:val="center"/>
              <w:rPr>
                <w:rFonts w:hint="default" w:eastAsia="等线"/>
                <w:color w:val="000000" w:themeColor="text1"/>
                <w:sz w:val="21"/>
                <w:szCs w:val="21"/>
                <w:highlight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0.1355</w:t>
            </w:r>
          </w:p>
        </w:tc>
        <w:tc>
          <w:tcPr>
            <w:tcW w:w="1761" w:type="dxa"/>
            <w:vAlign w:val="center"/>
          </w:tcPr>
          <w:p w14:paraId="10347D44">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48B64FE0">
            <w:pPr>
              <w:keepNext w:val="0"/>
              <w:keepLines w:val="0"/>
              <w:widowControl/>
              <w:suppressLineNumbers w:val="0"/>
              <w:jc w:val="center"/>
              <w:textAlignment w:val="center"/>
              <w:rPr>
                <w:rFonts w:eastAsia="等线"/>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0.1545</w:t>
            </w:r>
          </w:p>
        </w:tc>
        <w:tc>
          <w:tcPr>
            <w:tcW w:w="1324" w:type="dxa"/>
            <w:vAlign w:val="center"/>
          </w:tcPr>
          <w:p w14:paraId="15232ABB">
            <w:pPr>
              <w:keepNext w:val="0"/>
              <w:keepLines w:val="0"/>
              <w:widowControl/>
              <w:suppressLineNumbers w:val="0"/>
              <w:jc w:val="center"/>
              <w:textAlignment w:val="center"/>
              <w:rPr>
                <w:rFonts w:eastAsia="等线"/>
                <w:color w:val="000000" w:themeColor="text1"/>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0.1355</w:t>
            </w:r>
          </w:p>
        </w:tc>
      </w:tr>
      <w:tr w14:paraId="2CDB07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restart"/>
            <w:vAlign w:val="center"/>
          </w:tcPr>
          <w:p w14:paraId="69ADF4CC">
            <w:pPr>
              <w:pStyle w:val="57"/>
              <w:spacing w:beforeLines="0" w:afterLines="0" w:line="240" w:lineRule="auto"/>
              <w:rPr>
                <w:rFonts w:hAnsi="宋体" w:cs="宋体"/>
                <w:snapToGrid w:val="0"/>
                <w:color w:val="000000" w:themeColor="text1"/>
                <w:kern w:val="21"/>
                <w:szCs w:val="21"/>
                <w:highlight w:val="none"/>
                <w14:textFill>
                  <w14:solidFill>
                    <w14:schemeClr w14:val="tx1"/>
                  </w14:solidFill>
                </w14:textFill>
              </w:rPr>
            </w:pPr>
            <w:r>
              <w:rPr>
                <w:rFonts w:hint="eastAsia" w:hAnsi="宋体" w:cs="宋体"/>
                <w:snapToGrid w:val="0"/>
                <w:color w:val="000000" w:themeColor="text1"/>
                <w:kern w:val="21"/>
                <w:szCs w:val="21"/>
                <w:highlight w:val="none"/>
                <w14:textFill>
                  <w14:solidFill>
                    <w14:schemeClr w14:val="tx1"/>
                  </w14:solidFill>
                </w14:textFill>
              </w:rPr>
              <w:t>一般工业</w:t>
            </w:r>
          </w:p>
          <w:p w14:paraId="51951C89">
            <w:pPr>
              <w:pStyle w:val="57"/>
              <w:spacing w:beforeLines="0" w:afterLines="0" w:line="240" w:lineRule="auto"/>
              <w:rPr>
                <w:rFonts w:hAnsi="宋体" w:cs="宋体"/>
                <w:snapToGrid w:val="0"/>
                <w:color w:val="000000" w:themeColor="text1"/>
                <w:kern w:val="21"/>
                <w:szCs w:val="21"/>
                <w:highlight w:val="none"/>
                <w14:textFill>
                  <w14:solidFill>
                    <w14:schemeClr w14:val="tx1"/>
                  </w14:solidFill>
                </w14:textFill>
              </w:rPr>
            </w:pPr>
            <w:r>
              <w:rPr>
                <w:rFonts w:hint="eastAsia" w:hAnsi="宋体" w:cs="宋体"/>
                <w:snapToGrid w:val="0"/>
                <w:color w:val="000000" w:themeColor="text1"/>
                <w:kern w:val="21"/>
                <w:szCs w:val="21"/>
                <w:highlight w:val="none"/>
                <w14:textFill>
                  <w14:solidFill>
                    <w14:schemeClr w14:val="tx1"/>
                  </w14:solidFill>
                </w14:textFill>
              </w:rPr>
              <w:t>固体废物</w:t>
            </w:r>
          </w:p>
        </w:tc>
        <w:tc>
          <w:tcPr>
            <w:tcW w:w="1417" w:type="dxa"/>
            <w:vAlign w:val="center"/>
          </w:tcPr>
          <w:p w14:paraId="6074A4AF">
            <w:pPr>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不合格产品</w:t>
            </w:r>
          </w:p>
        </w:tc>
        <w:tc>
          <w:tcPr>
            <w:tcW w:w="1701" w:type="dxa"/>
            <w:vAlign w:val="center"/>
          </w:tcPr>
          <w:p w14:paraId="75DEC382">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0.8</w:t>
            </w:r>
          </w:p>
        </w:tc>
        <w:tc>
          <w:tcPr>
            <w:tcW w:w="1276" w:type="dxa"/>
            <w:vAlign w:val="center"/>
          </w:tcPr>
          <w:p w14:paraId="7DFF4EAE">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01" w:type="dxa"/>
            <w:vAlign w:val="center"/>
          </w:tcPr>
          <w:p w14:paraId="467A5E2D">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5F7BACA7">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0.6</w:t>
            </w:r>
          </w:p>
        </w:tc>
        <w:tc>
          <w:tcPr>
            <w:tcW w:w="1761" w:type="dxa"/>
            <w:vAlign w:val="center"/>
          </w:tcPr>
          <w:p w14:paraId="269B6760">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32D98626">
            <w:pPr>
              <w:keepNext w:val="0"/>
              <w:keepLines w:val="0"/>
              <w:widowControl/>
              <w:suppressLineNumbers w:val="0"/>
              <w:jc w:val="center"/>
              <w:textAlignment w:val="center"/>
              <w:rPr>
                <w:rFonts w:hint="default" w:eastAsia="等线"/>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1.4</w:t>
            </w:r>
          </w:p>
        </w:tc>
        <w:tc>
          <w:tcPr>
            <w:tcW w:w="1324" w:type="dxa"/>
            <w:vAlign w:val="center"/>
          </w:tcPr>
          <w:p w14:paraId="5DFC2317">
            <w:pPr>
              <w:keepNext w:val="0"/>
              <w:keepLines w:val="0"/>
              <w:widowControl/>
              <w:suppressLineNumbers w:val="0"/>
              <w:jc w:val="center"/>
              <w:textAlignment w:val="center"/>
              <w:rPr>
                <w:rFonts w:hint="default" w:eastAsia="等线"/>
                <w:color w:val="000000" w:themeColor="text1"/>
                <w:sz w:val="21"/>
                <w:szCs w:val="21"/>
                <w:highlight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0.6</w:t>
            </w:r>
          </w:p>
        </w:tc>
      </w:tr>
      <w:tr w14:paraId="66CEF0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vAlign w:val="center"/>
          </w:tcPr>
          <w:p w14:paraId="066395D8">
            <w:pPr>
              <w:pStyle w:val="57"/>
              <w:spacing w:beforeLines="0" w:afterLines="0" w:line="240" w:lineRule="auto"/>
              <w:rPr>
                <w:rFonts w:hint="eastAsia" w:hAnsi="宋体" w:cs="宋体"/>
                <w:snapToGrid w:val="0"/>
                <w:color w:val="000000" w:themeColor="text1"/>
                <w:kern w:val="21"/>
                <w:szCs w:val="21"/>
                <w:highlight w:val="none"/>
                <w14:textFill>
                  <w14:solidFill>
                    <w14:schemeClr w14:val="tx1"/>
                  </w14:solidFill>
                </w14:textFill>
              </w:rPr>
            </w:pPr>
          </w:p>
        </w:tc>
        <w:tc>
          <w:tcPr>
            <w:tcW w:w="1417" w:type="dxa"/>
            <w:vAlign w:val="center"/>
          </w:tcPr>
          <w:p w14:paraId="2B6BD45E">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沉淀废渣</w:t>
            </w:r>
          </w:p>
        </w:tc>
        <w:tc>
          <w:tcPr>
            <w:tcW w:w="1701" w:type="dxa"/>
            <w:vAlign w:val="center"/>
          </w:tcPr>
          <w:p w14:paraId="495B2631">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2</w:t>
            </w:r>
          </w:p>
        </w:tc>
        <w:tc>
          <w:tcPr>
            <w:tcW w:w="1276" w:type="dxa"/>
            <w:vAlign w:val="center"/>
          </w:tcPr>
          <w:p w14:paraId="0E322126">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01" w:type="dxa"/>
            <w:vAlign w:val="center"/>
          </w:tcPr>
          <w:p w14:paraId="14ED9034">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0654B220">
            <w:pPr>
              <w:jc w:val="center"/>
              <w:rPr>
                <w:rFonts w:hint="eastAsia" w:eastAsia="等线"/>
                <w:color w:val="000000" w:themeColor="text1"/>
                <w:sz w:val="21"/>
                <w:szCs w:val="21"/>
                <w:highlight w:val="none"/>
                <w:lang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1</w:t>
            </w:r>
          </w:p>
        </w:tc>
        <w:tc>
          <w:tcPr>
            <w:tcW w:w="1761" w:type="dxa"/>
            <w:vAlign w:val="center"/>
          </w:tcPr>
          <w:p w14:paraId="14B3DCE4">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25361633">
            <w:pPr>
              <w:keepNext w:val="0"/>
              <w:keepLines w:val="0"/>
              <w:widowControl/>
              <w:suppressLineNumbers w:val="0"/>
              <w:jc w:val="center"/>
              <w:textAlignment w:val="center"/>
              <w:rPr>
                <w:rFonts w:hint="eastAsia" w:eastAsia="等线"/>
                <w:color w:val="000000" w:themeColor="text1"/>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3</w:t>
            </w:r>
          </w:p>
        </w:tc>
        <w:tc>
          <w:tcPr>
            <w:tcW w:w="1324" w:type="dxa"/>
            <w:vAlign w:val="center"/>
          </w:tcPr>
          <w:p w14:paraId="5E41E4E9">
            <w:pPr>
              <w:keepNext w:val="0"/>
              <w:keepLines w:val="0"/>
              <w:widowControl/>
              <w:suppressLineNumbers w:val="0"/>
              <w:jc w:val="center"/>
              <w:textAlignment w:val="center"/>
              <w:rPr>
                <w:rFonts w:hint="default" w:eastAsia="等线"/>
                <w:color w:val="000000" w:themeColor="text1"/>
                <w:sz w:val="21"/>
                <w:szCs w:val="21"/>
                <w:highlight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w:t>
            </w:r>
          </w:p>
        </w:tc>
      </w:tr>
      <w:tr w14:paraId="2DF18F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vAlign w:val="center"/>
          </w:tcPr>
          <w:p w14:paraId="5B85CAB5">
            <w:pPr>
              <w:pStyle w:val="57"/>
              <w:spacing w:beforeLines="0" w:afterLines="0" w:line="240" w:lineRule="auto"/>
              <w:rPr>
                <w:rFonts w:hint="eastAsia" w:hAnsi="宋体" w:cs="宋体"/>
                <w:snapToGrid w:val="0"/>
                <w:color w:val="000000" w:themeColor="text1"/>
                <w:kern w:val="21"/>
                <w:szCs w:val="21"/>
                <w:highlight w:val="none"/>
                <w14:textFill>
                  <w14:solidFill>
                    <w14:schemeClr w14:val="tx1"/>
                  </w14:solidFill>
                </w14:textFill>
              </w:rPr>
            </w:pPr>
          </w:p>
        </w:tc>
        <w:tc>
          <w:tcPr>
            <w:tcW w:w="1417" w:type="dxa"/>
            <w:vAlign w:val="center"/>
          </w:tcPr>
          <w:p w14:paraId="6EB1C9F5">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废包装材料</w:t>
            </w:r>
          </w:p>
        </w:tc>
        <w:tc>
          <w:tcPr>
            <w:tcW w:w="1701" w:type="dxa"/>
            <w:vAlign w:val="center"/>
          </w:tcPr>
          <w:p w14:paraId="24F0AE69">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0.2</w:t>
            </w:r>
          </w:p>
        </w:tc>
        <w:tc>
          <w:tcPr>
            <w:tcW w:w="1276" w:type="dxa"/>
            <w:vAlign w:val="center"/>
          </w:tcPr>
          <w:p w14:paraId="4DD204E7">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01" w:type="dxa"/>
            <w:vAlign w:val="center"/>
          </w:tcPr>
          <w:p w14:paraId="3FE6F8F2">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4C9CE780">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0.1</w:t>
            </w:r>
          </w:p>
        </w:tc>
        <w:tc>
          <w:tcPr>
            <w:tcW w:w="1761" w:type="dxa"/>
            <w:vAlign w:val="center"/>
          </w:tcPr>
          <w:p w14:paraId="5F570E43">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455F24E4">
            <w:pPr>
              <w:keepNext w:val="0"/>
              <w:keepLines w:val="0"/>
              <w:widowControl/>
              <w:suppressLineNumbers w:val="0"/>
              <w:jc w:val="center"/>
              <w:textAlignment w:val="center"/>
              <w:rPr>
                <w:rFonts w:hint="eastAsia" w:eastAsia="等线"/>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0.3</w:t>
            </w:r>
          </w:p>
        </w:tc>
        <w:tc>
          <w:tcPr>
            <w:tcW w:w="1324" w:type="dxa"/>
            <w:vAlign w:val="center"/>
          </w:tcPr>
          <w:p w14:paraId="62294258">
            <w:pPr>
              <w:keepNext w:val="0"/>
              <w:keepLines w:val="0"/>
              <w:widowControl/>
              <w:suppressLineNumbers w:val="0"/>
              <w:jc w:val="center"/>
              <w:textAlignment w:val="center"/>
              <w:rPr>
                <w:rFonts w:hint="eastAsia" w:eastAsia="等线"/>
                <w:color w:val="000000" w:themeColor="text1"/>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0.1</w:t>
            </w:r>
          </w:p>
        </w:tc>
      </w:tr>
      <w:tr w14:paraId="4D6124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vAlign w:val="center"/>
          </w:tcPr>
          <w:p w14:paraId="6053E9F1">
            <w:pPr>
              <w:pStyle w:val="57"/>
              <w:spacing w:beforeLines="0" w:afterLines="0" w:line="240" w:lineRule="auto"/>
              <w:rPr>
                <w:rFonts w:hint="eastAsia" w:hAnsi="宋体" w:cs="宋体"/>
                <w:snapToGrid w:val="0"/>
                <w:color w:val="000000" w:themeColor="text1"/>
                <w:kern w:val="21"/>
                <w:szCs w:val="21"/>
                <w:highlight w:val="none"/>
                <w14:textFill>
                  <w14:solidFill>
                    <w14:schemeClr w14:val="tx1"/>
                  </w14:solidFill>
                </w14:textFill>
              </w:rPr>
            </w:pPr>
          </w:p>
        </w:tc>
        <w:tc>
          <w:tcPr>
            <w:tcW w:w="1417" w:type="dxa"/>
            <w:vAlign w:val="center"/>
          </w:tcPr>
          <w:p w14:paraId="488B4A33">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废金刚砂</w:t>
            </w:r>
          </w:p>
        </w:tc>
        <w:tc>
          <w:tcPr>
            <w:tcW w:w="1701" w:type="dxa"/>
            <w:vAlign w:val="center"/>
          </w:tcPr>
          <w:p w14:paraId="67FBADE3">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0.3</w:t>
            </w:r>
          </w:p>
        </w:tc>
        <w:tc>
          <w:tcPr>
            <w:tcW w:w="1276" w:type="dxa"/>
            <w:vAlign w:val="center"/>
          </w:tcPr>
          <w:p w14:paraId="5DEEFA15">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01" w:type="dxa"/>
            <w:vAlign w:val="center"/>
          </w:tcPr>
          <w:p w14:paraId="190031D8">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2FE34736">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4.3</w:t>
            </w:r>
          </w:p>
        </w:tc>
        <w:tc>
          <w:tcPr>
            <w:tcW w:w="1761" w:type="dxa"/>
            <w:vAlign w:val="center"/>
          </w:tcPr>
          <w:p w14:paraId="559ACA05">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00E99CD7">
            <w:pPr>
              <w:keepNext w:val="0"/>
              <w:keepLines w:val="0"/>
              <w:widowControl/>
              <w:suppressLineNumbers w:val="0"/>
              <w:jc w:val="center"/>
              <w:textAlignment w:val="center"/>
              <w:rPr>
                <w:rFonts w:hint="eastAsia" w:eastAsia="等线"/>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4.6</w:t>
            </w:r>
          </w:p>
        </w:tc>
        <w:tc>
          <w:tcPr>
            <w:tcW w:w="1324" w:type="dxa"/>
            <w:vAlign w:val="center"/>
          </w:tcPr>
          <w:p w14:paraId="37F269C2">
            <w:pPr>
              <w:keepNext w:val="0"/>
              <w:keepLines w:val="0"/>
              <w:widowControl/>
              <w:suppressLineNumbers w:val="0"/>
              <w:jc w:val="center"/>
              <w:textAlignment w:val="center"/>
              <w:rPr>
                <w:rFonts w:hint="eastAsia" w:eastAsia="等线"/>
                <w:color w:val="000000" w:themeColor="text1"/>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4.3</w:t>
            </w:r>
          </w:p>
        </w:tc>
      </w:tr>
      <w:tr w14:paraId="79BE59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vAlign w:val="center"/>
          </w:tcPr>
          <w:p w14:paraId="2E1602FD">
            <w:pPr>
              <w:pStyle w:val="57"/>
              <w:spacing w:beforeLines="0" w:afterLines="0" w:line="240" w:lineRule="auto"/>
              <w:rPr>
                <w:rFonts w:hint="eastAsia" w:hAnsi="宋体" w:cs="宋体"/>
                <w:snapToGrid w:val="0"/>
                <w:color w:val="000000" w:themeColor="text1"/>
                <w:kern w:val="21"/>
                <w:szCs w:val="21"/>
                <w:highlight w:val="none"/>
                <w14:textFill>
                  <w14:solidFill>
                    <w14:schemeClr w14:val="tx1"/>
                  </w14:solidFill>
                </w14:textFill>
              </w:rPr>
            </w:pPr>
          </w:p>
        </w:tc>
        <w:tc>
          <w:tcPr>
            <w:tcW w:w="1417" w:type="dxa"/>
            <w:vAlign w:val="center"/>
          </w:tcPr>
          <w:p w14:paraId="61A4E31E">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废边角料</w:t>
            </w:r>
          </w:p>
        </w:tc>
        <w:tc>
          <w:tcPr>
            <w:tcW w:w="1701" w:type="dxa"/>
            <w:vAlign w:val="center"/>
          </w:tcPr>
          <w:p w14:paraId="5911A8A9">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3.2</w:t>
            </w:r>
          </w:p>
        </w:tc>
        <w:tc>
          <w:tcPr>
            <w:tcW w:w="1276" w:type="dxa"/>
            <w:vAlign w:val="center"/>
          </w:tcPr>
          <w:p w14:paraId="2E402BF9">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01" w:type="dxa"/>
            <w:vAlign w:val="center"/>
          </w:tcPr>
          <w:p w14:paraId="24684611">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0D7CE79F">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0.2</w:t>
            </w:r>
          </w:p>
        </w:tc>
        <w:tc>
          <w:tcPr>
            <w:tcW w:w="1761" w:type="dxa"/>
            <w:vAlign w:val="center"/>
          </w:tcPr>
          <w:p w14:paraId="2BB25058">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75D0C51A">
            <w:pPr>
              <w:keepNext w:val="0"/>
              <w:keepLines w:val="0"/>
              <w:widowControl/>
              <w:suppressLineNumbers w:val="0"/>
              <w:jc w:val="center"/>
              <w:textAlignment w:val="center"/>
              <w:rPr>
                <w:rFonts w:hint="eastAsia" w:eastAsia="等线"/>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3.4</w:t>
            </w:r>
          </w:p>
        </w:tc>
        <w:tc>
          <w:tcPr>
            <w:tcW w:w="1324" w:type="dxa"/>
            <w:vAlign w:val="center"/>
          </w:tcPr>
          <w:p w14:paraId="25422B29">
            <w:pPr>
              <w:keepNext w:val="0"/>
              <w:keepLines w:val="0"/>
              <w:widowControl/>
              <w:suppressLineNumbers w:val="0"/>
              <w:jc w:val="center"/>
              <w:textAlignment w:val="center"/>
              <w:rPr>
                <w:rFonts w:hint="eastAsia" w:eastAsia="等线"/>
                <w:color w:val="000000" w:themeColor="text1"/>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0.2</w:t>
            </w:r>
          </w:p>
        </w:tc>
      </w:tr>
      <w:tr w14:paraId="27F61C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vAlign w:val="center"/>
          </w:tcPr>
          <w:p w14:paraId="5ECD0DA1">
            <w:pPr>
              <w:pStyle w:val="57"/>
              <w:spacing w:beforeLines="0" w:afterLines="0" w:line="240" w:lineRule="auto"/>
              <w:rPr>
                <w:rFonts w:hint="eastAsia" w:hAnsi="宋体" w:cs="宋体"/>
                <w:snapToGrid w:val="0"/>
                <w:color w:val="000000" w:themeColor="text1"/>
                <w:kern w:val="21"/>
                <w:szCs w:val="21"/>
                <w:highlight w:val="none"/>
                <w14:textFill>
                  <w14:solidFill>
                    <w14:schemeClr w14:val="tx1"/>
                  </w14:solidFill>
                </w14:textFill>
              </w:rPr>
            </w:pPr>
          </w:p>
        </w:tc>
        <w:tc>
          <w:tcPr>
            <w:tcW w:w="1417" w:type="dxa"/>
            <w:vAlign w:val="center"/>
          </w:tcPr>
          <w:p w14:paraId="191A60C8">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污水站沉渣</w:t>
            </w:r>
          </w:p>
        </w:tc>
        <w:tc>
          <w:tcPr>
            <w:tcW w:w="1701" w:type="dxa"/>
            <w:vAlign w:val="center"/>
          </w:tcPr>
          <w:p w14:paraId="42E17A56">
            <w:pPr>
              <w:jc w:val="center"/>
              <w:rPr>
                <w:rFonts w:hint="eastAsia"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2</w:t>
            </w:r>
          </w:p>
        </w:tc>
        <w:tc>
          <w:tcPr>
            <w:tcW w:w="1276" w:type="dxa"/>
            <w:vAlign w:val="center"/>
          </w:tcPr>
          <w:p w14:paraId="19CA084D">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01" w:type="dxa"/>
            <w:vAlign w:val="center"/>
          </w:tcPr>
          <w:p w14:paraId="50D3CC7B">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232413E4">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61" w:type="dxa"/>
            <w:vAlign w:val="center"/>
          </w:tcPr>
          <w:p w14:paraId="013367A6">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562A175B">
            <w:pPr>
              <w:keepNext w:val="0"/>
              <w:keepLines w:val="0"/>
              <w:widowControl/>
              <w:suppressLineNumbers w:val="0"/>
              <w:jc w:val="center"/>
              <w:textAlignment w:val="center"/>
              <w:rPr>
                <w:rFonts w:hint="eastAsia" w:eastAsia="等线"/>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w:t>
            </w:r>
          </w:p>
        </w:tc>
        <w:tc>
          <w:tcPr>
            <w:tcW w:w="1324" w:type="dxa"/>
            <w:vAlign w:val="center"/>
          </w:tcPr>
          <w:p w14:paraId="2E51060F">
            <w:pPr>
              <w:keepNext w:val="0"/>
              <w:keepLines w:val="0"/>
              <w:widowControl/>
              <w:suppressLineNumbers w:val="0"/>
              <w:jc w:val="center"/>
              <w:textAlignment w:val="center"/>
              <w:rPr>
                <w:rFonts w:hint="eastAsia" w:eastAsia="等线"/>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w:t>
            </w:r>
          </w:p>
        </w:tc>
      </w:tr>
      <w:tr w14:paraId="15B4C9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vAlign w:val="center"/>
          </w:tcPr>
          <w:p w14:paraId="1557470A">
            <w:pPr>
              <w:pStyle w:val="57"/>
              <w:spacing w:beforeLines="0" w:afterLines="0" w:line="240" w:lineRule="auto"/>
              <w:rPr>
                <w:rFonts w:hint="eastAsia" w:hAnsi="宋体" w:cs="宋体"/>
                <w:snapToGrid w:val="0"/>
                <w:color w:val="000000" w:themeColor="text1"/>
                <w:kern w:val="21"/>
                <w:szCs w:val="21"/>
                <w:highlight w:val="none"/>
                <w14:textFill>
                  <w14:solidFill>
                    <w14:schemeClr w14:val="tx1"/>
                  </w14:solidFill>
                </w14:textFill>
              </w:rPr>
            </w:pPr>
          </w:p>
        </w:tc>
        <w:tc>
          <w:tcPr>
            <w:tcW w:w="1417" w:type="dxa"/>
            <w:vAlign w:val="center"/>
          </w:tcPr>
          <w:p w14:paraId="56AFCD62">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废树脂</w:t>
            </w:r>
          </w:p>
        </w:tc>
        <w:tc>
          <w:tcPr>
            <w:tcW w:w="1701" w:type="dxa"/>
            <w:vAlign w:val="center"/>
          </w:tcPr>
          <w:p w14:paraId="39F3D4E7">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11.76</w:t>
            </w:r>
          </w:p>
        </w:tc>
        <w:tc>
          <w:tcPr>
            <w:tcW w:w="1276" w:type="dxa"/>
            <w:vAlign w:val="center"/>
          </w:tcPr>
          <w:p w14:paraId="6E74123C">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01" w:type="dxa"/>
            <w:vAlign w:val="center"/>
          </w:tcPr>
          <w:p w14:paraId="01AC5112">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37B525A1">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42</w:t>
            </w:r>
          </w:p>
        </w:tc>
        <w:tc>
          <w:tcPr>
            <w:tcW w:w="1761" w:type="dxa"/>
            <w:vAlign w:val="center"/>
          </w:tcPr>
          <w:p w14:paraId="27ED8D27">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2585E5EF">
            <w:pPr>
              <w:keepNext w:val="0"/>
              <w:keepLines w:val="0"/>
              <w:widowControl/>
              <w:suppressLineNumbers w:val="0"/>
              <w:jc w:val="center"/>
              <w:textAlignment w:val="center"/>
              <w:rPr>
                <w:rFonts w:hint="eastAsia" w:eastAsia="等线"/>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53.76</w:t>
            </w:r>
          </w:p>
        </w:tc>
        <w:tc>
          <w:tcPr>
            <w:tcW w:w="1324" w:type="dxa"/>
            <w:vAlign w:val="center"/>
          </w:tcPr>
          <w:p w14:paraId="2BFD827C">
            <w:pPr>
              <w:keepNext w:val="0"/>
              <w:keepLines w:val="0"/>
              <w:widowControl/>
              <w:suppressLineNumbers w:val="0"/>
              <w:jc w:val="center"/>
              <w:textAlignment w:val="center"/>
              <w:rPr>
                <w:rFonts w:hint="eastAsia" w:eastAsia="等线"/>
                <w:color w:val="000000" w:themeColor="text1"/>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42</w:t>
            </w:r>
          </w:p>
        </w:tc>
      </w:tr>
      <w:tr w14:paraId="29569D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restart"/>
            <w:vAlign w:val="center"/>
          </w:tcPr>
          <w:p w14:paraId="13AD0259">
            <w:pPr>
              <w:pStyle w:val="57"/>
              <w:spacing w:beforeLines="0" w:afterLines="0" w:line="240" w:lineRule="auto"/>
              <w:rPr>
                <w:rFonts w:hAnsi="宋体" w:cs="宋体"/>
                <w:snapToGrid w:val="0"/>
                <w:color w:val="000000" w:themeColor="text1"/>
                <w:kern w:val="21"/>
                <w:szCs w:val="21"/>
                <w:highlight w:val="none"/>
                <w14:textFill>
                  <w14:solidFill>
                    <w14:schemeClr w14:val="tx1"/>
                  </w14:solidFill>
                </w14:textFill>
              </w:rPr>
            </w:pPr>
            <w:r>
              <w:rPr>
                <w:rFonts w:hint="eastAsia" w:hAnsi="宋体" w:cs="宋体"/>
                <w:snapToGrid w:val="0"/>
                <w:color w:val="000000" w:themeColor="text1"/>
                <w:kern w:val="21"/>
                <w:szCs w:val="21"/>
                <w:highlight w:val="none"/>
                <w14:textFill>
                  <w14:solidFill>
                    <w14:schemeClr w14:val="tx1"/>
                  </w14:solidFill>
                </w14:textFill>
              </w:rPr>
              <w:t>危险废物</w:t>
            </w:r>
          </w:p>
        </w:tc>
        <w:tc>
          <w:tcPr>
            <w:tcW w:w="1417" w:type="dxa"/>
            <w:vAlign w:val="center"/>
          </w:tcPr>
          <w:p w14:paraId="6F3FBAD0">
            <w:pPr>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废切削液</w:t>
            </w:r>
            <w:r>
              <w:rPr>
                <w:rFonts w:hint="eastAsia" w:ascii="宋体" w:hAnsi="宋体" w:cs="宋体"/>
                <w:color w:val="000000" w:themeColor="text1"/>
                <w:sz w:val="21"/>
                <w:szCs w:val="21"/>
                <w:highlight w:val="none"/>
                <w:lang w:val="en-US" w:eastAsia="zh-CN"/>
                <w14:textFill>
                  <w14:solidFill>
                    <w14:schemeClr w14:val="tx1"/>
                  </w14:solidFill>
                </w14:textFill>
              </w:rPr>
              <w:t>、</w:t>
            </w:r>
            <w:r>
              <w:rPr>
                <w:rFonts w:hint="eastAsia" w:ascii="宋体" w:hAnsi="宋体" w:cs="宋体"/>
                <w:color w:val="000000" w:themeColor="text1"/>
                <w:sz w:val="21"/>
                <w:szCs w:val="21"/>
                <w:highlight w:val="none"/>
                <w:lang w:eastAsia="zh-CN"/>
                <w14:textFill>
                  <w14:solidFill>
                    <w14:schemeClr w14:val="tx1"/>
                  </w14:solidFill>
                </w14:textFill>
              </w:rPr>
              <w:t>磨削液</w:t>
            </w:r>
            <w:r>
              <w:rPr>
                <w:rFonts w:hint="eastAsia" w:ascii="宋体" w:hAnsi="宋体" w:cs="宋体"/>
                <w:color w:val="000000" w:themeColor="text1"/>
                <w:sz w:val="21"/>
                <w:szCs w:val="21"/>
                <w:highlight w:val="none"/>
                <w:lang w:val="en-US" w:eastAsia="zh-CN"/>
                <w14:textFill>
                  <w14:solidFill>
                    <w14:schemeClr w14:val="tx1"/>
                  </w14:solidFill>
                </w14:textFill>
              </w:rPr>
              <w:t>、</w:t>
            </w:r>
            <w:r>
              <w:rPr>
                <w:rFonts w:hint="eastAsia" w:ascii="宋体" w:hAnsi="宋体" w:cs="宋体"/>
                <w:color w:val="000000" w:themeColor="text1"/>
                <w:sz w:val="21"/>
                <w:szCs w:val="21"/>
                <w:highlight w:val="none"/>
                <w:lang w:eastAsia="zh-CN"/>
                <w14:textFill>
                  <w14:solidFill>
                    <w14:schemeClr w14:val="tx1"/>
                  </w14:solidFill>
                </w14:textFill>
              </w:rPr>
              <w:t>冷却液</w:t>
            </w:r>
          </w:p>
        </w:tc>
        <w:tc>
          <w:tcPr>
            <w:tcW w:w="1701" w:type="dxa"/>
            <w:vAlign w:val="center"/>
          </w:tcPr>
          <w:p w14:paraId="7AEEBD63">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0.4</w:t>
            </w:r>
          </w:p>
        </w:tc>
        <w:tc>
          <w:tcPr>
            <w:tcW w:w="1276" w:type="dxa"/>
            <w:vAlign w:val="center"/>
          </w:tcPr>
          <w:p w14:paraId="33E47AAC">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01" w:type="dxa"/>
            <w:vAlign w:val="center"/>
          </w:tcPr>
          <w:p w14:paraId="5F42EE20">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25B63312">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5.8</w:t>
            </w:r>
          </w:p>
        </w:tc>
        <w:tc>
          <w:tcPr>
            <w:tcW w:w="1761" w:type="dxa"/>
            <w:vAlign w:val="center"/>
          </w:tcPr>
          <w:p w14:paraId="59D1ED2A">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658443DD">
            <w:pPr>
              <w:keepNext w:val="0"/>
              <w:keepLines w:val="0"/>
              <w:widowControl/>
              <w:suppressLineNumbers w:val="0"/>
              <w:jc w:val="center"/>
              <w:textAlignment w:val="center"/>
              <w:rPr>
                <w:rFonts w:eastAsia="等线"/>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6.2</w:t>
            </w:r>
          </w:p>
        </w:tc>
        <w:tc>
          <w:tcPr>
            <w:tcW w:w="1324" w:type="dxa"/>
            <w:vAlign w:val="center"/>
          </w:tcPr>
          <w:p w14:paraId="1E2C6CCC">
            <w:pPr>
              <w:keepNext w:val="0"/>
              <w:keepLines w:val="0"/>
              <w:widowControl/>
              <w:suppressLineNumbers w:val="0"/>
              <w:jc w:val="center"/>
              <w:textAlignment w:val="center"/>
              <w:rPr>
                <w:rFonts w:eastAsia="等线"/>
                <w:color w:val="000000" w:themeColor="text1"/>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5.8</w:t>
            </w:r>
          </w:p>
        </w:tc>
      </w:tr>
      <w:tr w14:paraId="0EDF6A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vAlign w:val="center"/>
          </w:tcPr>
          <w:p w14:paraId="53F7112F">
            <w:pPr>
              <w:pStyle w:val="57"/>
              <w:spacing w:beforeLines="0" w:afterLines="0" w:line="240" w:lineRule="auto"/>
              <w:rPr>
                <w:rFonts w:hAnsi="宋体" w:cs="宋体"/>
                <w:snapToGrid w:val="0"/>
                <w:color w:val="000000" w:themeColor="text1"/>
                <w:kern w:val="21"/>
                <w:szCs w:val="21"/>
                <w:highlight w:val="none"/>
                <w14:textFill>
                  <w14:solidFill>
                    <w14:schemeClr w14:val="tx1"/>
                  </w14:solidFill>
                </w14:textFill>
              </w:rPr>
            </w:pPr>
          </w:p>
        </w:tc>
        <w:tc>
          <w:tcPr>
            <w:tcW w:w="1417" w:type="dxa"/>
            <w:vAlign w:val="center"/>
          </w:tcPr>
          <w:p w14:paraId="51C058BB">
            <w:pPr>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废胶桶</w:t>
            </w:r>
          </w:p>
        </w:tc>
        <w:tc>
          <w:tcPr>
            <w:tcW w:w="1701" w:type="dxa"/>
            <w:vAlign w:val="center"/>
          </w:tcPr>
          <w:p w14:paraId="576C20AF">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0.5</w:t>
            </w:r>
          </w:p>
        </w:tc>
        <w:tc>
          <w:tcPr>
            <w:tcW w:w="1276" w:type="dxa"/>
            <w:vAlign w:val="center"/>
          </w:tcPr>
          <w:p w14:paraId="52109F6B">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01" w:type="dxa"/>
            <w:vAlign w:val="center"/>
          </w:tcPr>
          <w:p w14:paraId="6B356F58">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2C5992B3">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0.5</w:t>
            </w:r>
          </w:p>
        </w:tc>
        <w:tc>
          <w:tcPr>
            <w:tcW w:w="1761" w:type="dxa"/>
            <w:vAlign w:val="center"/>
          </w:tcPr>
          <w:p w14:paraId="1240FA39">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340AF0E4">
            <w:pPr>
              <w:keepNext w:val="0"/>
              <w:keepLines w:val="0"/>
              <w:widowControl/>
              <w:suppressLineNumbers w:val="0"/>
              <w:jc w:val="center"/>
              <w:textAlignment w:val="center"/>
              <w:rPr>
                <w:rFonts w:hint="eastAsia" w:eastAsia="等线"/>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w:t>
            </w:r>
          </w:p>
        </w:tc>
        <w:tc>
          <w:tcPr>
            <w:tcW w:w="1324" w:type="dxa"/>
            <w:vAlign w:val="center"/>
          </w:tcPr>
          <w:p w14:paraId="5283E3D7">
            <w:pPr>
              <w:keepNext w:val="0"/>
              <w:keepLines w:val="0"/>
              <w:widowControl/>
              <w:suppressLineNumbers w:val="0"/>
              <w:jc w:val="center"/>
              <w:textAlignment w:val="center"/>
              <w:rPr>
                <w:rFonts w:eastAsia="等线"/>
                <w:color w:val="000000" w:themeColor="text1"/>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0.5</w:t>
            </w:r>
          </w:p>
        </w:tc>
      </w:tr>
      <w:tr w14:paraId="154F2E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vAlign w:val="center"/>
          </w:tcPr>
          <w:p w14:paraId="10AEE6FF">
            <w:pPr>
              <w:pStyle w:val="57"/>
              <w:spacing w:beforeLines="0" w:afterLines="0" w:line="240" w:lineRule="auto"/>
              <w:rPr>
                <w:rFonts w:hAnsi="宋体" w:cs="宋体"/>
                <w:snapToGrid w:val="0"/>
                <w:color w:val="000000" w:themeColor="text1"/>
                <w:kern w:val="21"/>
                <w:szCs w:val="21"/>
                <w:highlight w:val="none"/>
                <w14:textFill>
                  <w14:solidFill>
                    <w14:schemeClr w14:val="tx1"/>
                  </w14:solidFill>
                </w14:textFill>
              </w:rPr>
            </w:pPr>
          </w:p>
        </w:tc>
        <w:tc>
          <w:tcPr>
            <w:tcW w:w="1417" w:type="dxa"/>
            <w:vAlign w:val="center"/>
          </w:tcPr>
          <w:p w14:paraId="10103985">
            <w:pPr>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废有机溶剂空瓶</w:t>
            </w:r>
          </w:p>
        </w:tc>
        <w:tc>
          <w:tcPr>
            <w:tcW w:w="1701" w:type="dxa"/>
            <w:vAlign w:val="center"/>
          </w:tcPr>
          <w:p w14:paraId="4499092F">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0.027</w:t>
            </w:r>
          </w:p>
        </w:tc>
        <w:tc>
          <w:tcPr>
            <w:tcW w:w="1276" w:type="dxa"/>
            <w:vAlign w:val="center"/>
          </w:tcPr>
          <w:p w14:paraId="73916FDE">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01" w:type="dxa"/>
            <w:vAlign w:val="center"/>
          </w:tcPr>
          <w:p w14:paraId="37C87D62">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5DB53848">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0.1</w:t>
            </w:r>
          </w:p>
        </w:tc>
        <w:tc>
          <w:tcPr>
            <w:tcW w:w="1761" w:type="dxa"/>
            <w:vAlign w:val="center"/>
          </w:tcPr>
          <w:p w14:paraId="186CE594">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52171482">
            <w:pPr>
              <w:keepNext w:val="0"/>
              <w:keepLines w:val="0"/>
              <w:widowControl/>
              <w:suppressLineNumbers w:val="0"/>
              <w:jc w:val="center"/>
              <w:textAlignment w:val="center"/>
              <w:rPr>
                <w:rFonts w:hint="eastAsia" w:eastAsia="等线"/>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0.127</w:t>
            </w:r>
          </w:p>
        </w:tc>
        <w:tc>
          <w:tcPr>
            <w:tcW w:w="1324" w:type="dxa"/>
            <w:vAlign w:val="center"/>
          </w:tcPr>
          <w:p w14:paraId="26D536A2">
            <w:pPr>
              <w:keepNext w:val="0"/>
              <w:keepLines w:val="0"/>
              <w:widowControl/>
              <w:suppressLineNumbers w:val="0"/>
              <w:jc w:val="center"/>
              <w:textAlignment w:val="center"/>
              <w:rPr>
                <w:rFonts w:eastAsia="等线"/>
                <w:color w:val="000000" w:themeColor="text1"/>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0.1</w:t>
            </w:r>
          </w:p>
        </w:tc>
      </w:tr>
      <w:tr w14:paraId="28CC87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vAlign w:val="center"/>
          </w:tcPr>
          <w:p w14:paraId="08F857CA">
            <w:pPr>
              <w:pStyle w:val="57"/>
              <w:spacing w:beforeLines="0" w:afterLines="0" w:line="240" w:lineRule="auto"/>
              <w:rPr>
                <w:rFonts w:hAnsi="宋体" w:cs="宋体"/>
                <w:snapToGrid w:val="0"/>
                <w:color w:val="000000" w:themeColor="text1"/>
                <w:kern w:val="21"/>
                <w:szCs w:val="21"/>
                <w:highlight w:val="none"/>
                <w14:textFill>
                  <w14:solidFill>
                    <w14:schemeClr w14:val="tx1"/>
                  </w14:solidFill>
                </w14:textFill>
              </w:rPr>
            </w:pPr>
          </w:p>
        </w:tc>
        <w:tc>
          <w:tcPr>
            <w:tcW w:w="1417" w:type="dxa"/>
            <w:vAlign w:val="center"/>
          </w:tcPr>
          <w:p w14:paraId="2695213B">
            <w:pPr>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废晶体</w:t>
            </w:r>
          </w:p>
        </w:tc>
        <w:tc>
          <w:tcPr>
            <w:tcW w:w="1701" w:type="dxa"/>
            <w:vAlign w:val="center"/>
          </w:tcPr>
          <w:p w14:paraId="46CF175F">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0.2</w:t>
            </w:r>
          </w:p>
        </w:tc>
        <w:tc>
          <w:tcPr>
            <w:tcW w:w="1276" w:type="dxa"/>
            <w:vAlign w:val="center"/>
          </w:tcPr>
          <w:p w14:paraId="5DD9116D">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01" w:type="dxa"/>
            <w:vAlign w:val="center"/>
          </w:tcPr>
          <w:p w14:paraId="666701C3">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0877FEFC">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61" w:type="dxa"/>
            <w:vAlign w:val="center"/>
          </w:tcPr>
          <w:p w14:paraId="775EC70C">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37F230FF">
            <w:pPr>
              <w:keepNext w:val="0"/>
              <w:keepLines w:val="0"/>
              <w:widowControl/>
              <w:suppressLineNumbers w:val="0"/>
              <w:jc w:val="center"/>
              <w:textAlignment w:val="center"/>
              <w:rPr>
                <w:rFonts w:hint="eastAsia" w:eastAsia="等线"/>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0.2</w:t>
            </w:r>
          </w:p>
        </w:tc>
        <w:tc>
          <w:tcPr>
            <w:tcW w:w="1324" w:type="dxa"/>
            <w:vAlign w:val="center"/>
          </w:tcPr>
          <w:p w14:paraId="6B4AE5F0">
            <w:pPr>
              <w:keepNext w:val="0"/>
              <w:keepLines w:val="0"/>
              <w:widowControl/>
              <w:suppressLineNumbers w:val="0"/>
              <w:jc w:val="center"/>
              <w:textAlignment w:val="center"/>
              <w:rPr>
                <w:rFonts w:eastAsia="等线"/>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w:t>
            </w:r>
          </w:p>
        </w:tc>
      </w:tr>
      <w:tr w14:paraId="697C76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vAlign w:val="center"/>
          </w:tcPr>
          <w:p w14:paraId="684219BD">
            <w:pPr>
              <w:pStyle w:val="57"/>
              <w:spacing w:beforeLines="0" w:afterLines="0" w:line="240" w:lineRule="auto"/>
              <w:rPr>
                <w:rFonts w:hAnsi="宋体" w:cs="宋体"/>
                <w:snapToGrid w:val="0"/>
                <w:color w:val="000000" w:themeColor="text1"/>
                <w:kern w:val="21"/>
                <w:szCs w:val="21"/>
                <w:highlight w:val="none"/>
                <w14:textFill>
                  <w14:solidFill>
                    <w14:schemeClr w14:val="tx1"/>
                  </w14:solidFill>
                </w14:textFill>
              </w:rPr>
            </w:pPr>
          </w:p>
        </w:tc>
        <w:tc>
          <w:tcPr>
            <w:tcW w:w="1417" w:type="dxa"/>
            <w:vAlign w:val="center"/>
          </w:tcPr>
          <w:p w14:paraId="397EF813">
            <w:pPr>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熔料炉渣</w:t>
            </w:r>
          </w:p>
        </w:tc>
        <w:tc>
          <w:tcPr>
            <w:tcW w:w="1701" w:type="dxa"/>
            <w:vAlign w:val="center"/>
          </w:tcPr>
          <w:p w14:paraId="236435CC">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0.5</w:t>
            </w:r>
          </w:p>
        </w:tc>
        <w:tc>
          <w:tcPr>
            <w:tcW w:w="1276" w:type="dxa"/>
            <w:vAlign w:val="center"/>
          </w:tcPr>
          <w:p w14:paraId="18760DB8">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01" w:type="dxa"/>
            <w:vAlign w:val="center"/>
          </w:tcPr>
          <w:p w14:paraId="69B28E2E">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66518BE0">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61" w:type="dxa"/>
            <w:vAlign w:val="center"/>
          </w:tcPr>
          <w:p w14:paraId="128CA05D">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04A702A1">
            <w:pPr>
              <w:keepNext w:val="0"/>
              <w:keepLines w:val="0"/>
              <w:widowControl/>
              <w:suppressLineNumbers w:val="0"/>
              <w:jc w:val="center"/>
              <w:textAlignment w:val="center"/>
              <w:rPr>
                <w:rFonts w:hint="eastAsia" w:eastAsia="等线"/>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0.5</w:t>
            </w:r>
          </w:p>
        </w:tc>
        <w:tc>
          <w:tcPr>
            <w:tcW w:w="1324" w:type="dxa"/>
            <w:vAlign w:val="center"/>
          </w:tcPr>
          <w:p w14:paraId="3A911F9A">
            <w:pPr>
              <w:keepNext w:val="0"/>
              <w:keepLines w:val="0"/>
              <w:widowControl/>
              <w:suppressLineNumbers w:val="0"/>
              <w:jc w:val="center"/>
              <w:textAlignment w:val="center"/>
              <w:rPr>
                <w:rFonts w:eastAsia="等线"/>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w:t>
            </w:r>
          </w:p>
        </w:tc>
      </w:tr>
      <w:tr w14:paraId="0D4720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vAlign w:val="center"/>
          </w:tcPr>
          <w:p w14:paraId="7A808EA0">
            <w:pPr>
              <w:pStyle w:val="57"/>
              <w:spacing w:beforeLines="0" w:afterLines="0" w:line="240" w:lineRule="auto"/>
              <w:rPr>
                <w:rFonts w:hAnsi="宋体" w:cs="宋体"/>
                <w:snapToGrid w:val="0"/>
                <w:color w:val="000000" w:themeColor="text1"/>
                <w:kern w:val="21"/>
                <w:szCs w:val="21"/>
                <w:highlight w:val="none"/>
                <w14:textFill>
                  <w14:solidFill>
                    <w14:schemeClr w14:val="tx1"/>
                  </w14:solidFill>
                </w14:textFill>
              </w:rPr>
            </w:pPr>
          </w:p>
        </w:tc>
        <w:tc>
          <w:tcPr>
            <w:tcW w:w="1417" w:type="dxa"/>
            <w:vAlign w:val="center"/>
          </w:tcPr>
          <w:p w14:paraId="1AA828FE">
            <w:pPr>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清洗废液</w:t>
            </w:r>
          </w:p>
        </w:tc>
        <w:tc>
          <w:tcPr>
            <w:tcW w:w="1701" w:type="dxa"/>
            <w:vAlign w:val="center"/>
          </w:tcPr>
          <w:p w14:paraId="73B5F09A">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113.44</w:t>
            </w:r>
          </w:p>
        </w:tc>
        <w:tc>
          <w:tcPr>
            <w:tcW w:w="1276" w:type="dxa"/>
            <w:vAlign w:val="center"/>
          </w:tcPr>
          <w:p w14:paraId="355FD52E">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01" w:type="dxa"/>
            <w:vAlign w:val="center"/>
          </w:tcPr>
          <w:p w14:paraId="158C3C6B">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790D6058">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10.82</w:t>
            </w:r>
          </w:p>
        </w:tc>
        <w:tc>
          <w:tcPr>
            <w:tcW w:w="1761" w:type="dxa"/>
            <w:vAlign w:val="center"/>
          </w:tcPr>
          <w:p w14:paraId="26941E32">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2EABB578">
            <w:pPr>
              <w:keepNext w:val="0"/>
              <w:keepLines w:val="0"/>
              <w:widowControl/>
              <w:suppressLineNumbers w:val="0"/>
              <w:jc w:val="center"/>
              <w:textAlignment w:val="center"/>
              <w:rPr>
                <w:rFonts w:hint="eastAsia" w:eastAsia="等线"/>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124.26</w:t>
            </w:r>
          </w:p>
        </w:tc>
        <w:tc>
          <w:tcPr>
            <w:tcW w:w="1324" w:type="dxa"/>
            <w:vAlign w:val="center"/>
          </w:tcPr>
          <w:p w14:paraId="6B6FEEFE">
            <w:pPr>
              <w:keepNext w:val="0"/>
              <w:keepLines w:val="0"/>
              <w:widowControl/>
              <w:suppressLineNumbers w:val="0"/>
              <w:jc w:val="center"/>
              <w:textAlignment w:val="center"/>
              <w:rPr>
                <w:rFonts w:eastAsia="等线"/>
                <w:color w:val="000000" w:themeColor="text1"/>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10.82</w:t>
            </w:r>
          </w:p>
        </w:tc>
      </w:tr>
      <w:tr w14:paraId="390F55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vAlign w:val="center"/>
          </w:tcPr>
          <w:p w14:paraId="416E19A1">
            <w:pPr>
              <w:pStyle w:val="57"/>
              <w:spacing w:beforeLines="0" w:afterLines="0" w:line="240" w:lineRule="auto"/>
              <w:rPr>
                <w:rFonts w:hAnsi="宋体" w:cs="宋体"/>
                <w:snapToGrid w:val="0"/>
                <w:color w:val="000000" w:themeColor="text1"/>
                <w:kern w:val="21"/>
                <w:szCs w:val="21"/>
                <w:highlight w:val="none"/>
                <w14:textFill>
                  <w14:solidFill>
                    <w14:schemeClr w14:val="tx1"/>
                  </w14:solidFill>
                </w14:textFill>
              </w:rPr>
            </w:pPr>
          </w:p>
        </w:tc>
        <w:tc>
          <w:tcPr>
            <w:tcW w:w="1417" w:type="dxa"/>
            <w:vAlign w:val="center"/>
          </w:tcPr>
          <w:p w14:paraId="17D12369">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废活性炭</w:t>
            </w:r>
          </w:p>
        </w:tc>
        <w:tc>
          <w:tcPr>
            <w:tcW w:w="1701" w:type="dxa"/>
            <w:vAlign w:val="center"/>
          </w:tcPr>
          <w:p w14:paraId="0749857A">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24</w:t>
            </w:r>
          </w:p>
        </w:tc>
        <w:tc>
          <w:tcPr>
            <w:tcW w:w="1276" w:type="dxa"/>
            <w:vAlign w:val="center"/>
          </w:tcPr>
          <w:p w14:paraId="78829265">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01" w:type="dxa"/>
            <w:vAlign w:val="center"/>
          </w:tcPr>
          <w:p w14:paraId="1835ED25">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09086948">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55.4631</w:t>
            </w:r>
          </w:p>
        </w:tc>
        <w:tc>
          <w:tcPr>
            <w:tcW w:w="1761" w:type="dxa"/>
            <w:vAlign w:val="center"/>
          </w:tcPr>
          <w:p w14:paraId="040E859C">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2AFAE281">
            <w:pPr>
              <w:keepNext w:val="0"/>
              <w:keepLines w:val="0"/>
              <w:widowControl/>
              <w:suppressLineNumbers w:val="0"/>
              <w:jc w:val="center"/>
              <w:textAlignment w:val="center"/>
              <w:rPr>
                <w:rFonts w:hint="eastAsia" w:eastAsia="等线"/>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79.4631</w:t>
            </w:r>
          </w:p>
        </w:tc>
        <w:tc>
          <w:tcPr>
            <w:tcW w:w="1324" w:type="dxa"/>
            <w:vAlign w:val="center"/>
          </w:tcPr>
          <w:p w14:paraId="7EDF9025">
            <w:pPr>
              <w:keepNext w:val="0"/>
              <w:keepLines w:val="0"/>
              <w:widowControl/>
              <w:suppressLineNumbers w:val="0"/>
              <w:jc w:val="center"/>
              <w:textAlignment w:val="center"/>
              <w:rPr>
                <w:rFonts w:hint="eastAsia" w:eastAsia="等线"/>
                <w:color w:val="000000" w:themeColor="text1"/>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55.4631</w:t>
            </w:r>
          </w:p>
        </w:tc>
      </w:tr>
      <w:tr w14:paraId="5356FB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vAlign w:val="center"/>
          </w:tcPr>
          <w:p w14:paraId="596200F7">
            <w:pPr>
              <w:pStyle w:val="57"/>
              <w:spacing w:beforeLines="0" w:afterLines="0" w:line="240" w:lineRule="auto"/>
              <w:rPr>
                <w:rFonts w:hAnsi="宋体" w:cs="宋体"/>
                <w:snapToGrid w:val="0"/>
                <w:color w:val="000000" w:themeColor="text1"/>
                <w:kern w:val="21"/>
                <w:szCs w:val="21"/>
                <w:highlight w:val="none"/>
                <w14:textFill>
                  <w14:solidFill>
                    <w14:schemeClr w14:val="tx1"/>
                  </w14:solidFill>
                </w14:textFill>
              </w:rPr>
            </w:pPr>
          </w:p>
        </w:tc>
        <w:tc>
          <w:tcPr>
            <w:tcW w:w="1417" w:type="dxa"/>
            <w:vAlign w:val="center"/>
          </w:tcPr>
          <w:p w14:paraId="61DF03AA">
            <w:pPr>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含油抹布</w:t>
            </w:r>
          </w:p>
        </w:tc>
        <w:tc>
          <w:tcPr>
            <w:tcW w:w="1701" w:type="dxa"/>
            <w:vAlign w:val="center"/>
          </w:tcPr>
          <w:p w14:paraId="439C7F47">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0.002</w:t>
            </w:r>
          </w:p>
        </w:tc>
        <w:tc>
          <w:tcPr>
            <w:tcW w:w="1276" w:type="dxa"/>
            <w:vAlign w:val="center"/>
          </w:tcPr>
          <w:p w14:paraId="65CB9D8F">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01" w:type="dxa"/>
            <w:vAlign w:val="center"/>
          </w:tcPr>
          <w:p w14:paraId="4F685DD3">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71E4508D">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0.01</w:t>
            </w:r>
          </w:p>
        </w:tc>
        <w:tc>
          <w:tcPr>
            <w:tcW w:w="1761" w:type="dxa"/>
            <w:vAlign w:val="center"/>
          </w:tcPr>
          <w:p w14:paraId="5EF31673">
            <w:pPr>
              <w:jc w:val="center"/>
              <w:rPr>
                <w:rFonts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2EB122E7">
            <w:pPr>
              <w:keepNext w:val="0"/>
              <w:keepLines w:val="0"/>
              <w:widowControl/>
              <w:suppressLineNumbers w:val="0"/>
              <w:jc w:val="center"/>
              <w:textAlignment w:val="center"/>
              <w:rPr>
                <w:rFonts w:hint="default" w:eastAsia="等线"/>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0.012</w:t>
            </w:r>
          </w:p>
        </w:tc>
        <w:tc>
          <w:tcPr>
            <w:tcW w:w="1324" w:type="dxa"/>
            <w:vAlign w:val="center"/>
          </w:tcPr>
          <w:p w14:paraId="5C94CBB0">
            <w:pPr>
              <w:keepNext w:val="0"/>
              <w:keepLines w:val="0"/>
              <w:widowControl/>
              <w:suppressLineNumbers w:val="0"/>
              <w:jc w:val="center"/>
              <w:textAlignment w:val="center"/>
              <w:rPr>
                <w:rFonts w:hint="default" w:eastAsia="等线"/>
                <w:color w:val="000000" w:themeColor="text1"/>
                <w:sz w:val="21"/>
                <w:szCs w:val="21"/>
                <w:highlight w:val="none"/>
                <w:lang w:val="en-US"/>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0.01</w:t>
            </w:r>
          </w:p>
        </w:tc>
      </w:tr>
      <w:tr w14:paraId="403B9F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vAlign w:val="center"/>
          </w:tcPr>
          <w:p w14:paraId="6F61BE12">
            <w:pPr>
              <w:pStyle w:val="57"/>
              <w:spacing w:beforeLines="0" w:afterLines="0" w:line="240" w:lineRule="auto"/>
              <w:rPr>
                <w:rFonts w:hAnsi="宋体" w:cs="宋体"/>
                <w:snapToGrid w:val="0"/>
                <w:color w:val="000000" w:themeColor="text1"/>
                <w:kern w:val="21"/>
                <w:szCs w:val="21"/>
                <w:highlight w:val="none"/>
                <w14:textFill>
                  <w14:solidFill>
                    <w14:schemeClr w14:val="tx1"/>
                  </w14:solidFill>
                </w14:textFill>
              </w:rPr>
            </w:pPr>
          </w:p>
        </w:tc>
        <w:tc>
          <w:tcPr>
            <w:tcW w:w="1417" w:type="dxa"/>
            <w:vAlign w:val="center"/>
          </w:tcPr>
          <w:p w14:paraId="04EAFDF8">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刻蚀废液</w:t>
            </w:r>
          </w:p>
        </w:tc>
        <w:tc>
          <w:tcPr>
            <w:tcW w:w="1701" w:type="dxa"/>
            <w:vAlign w:val="center"/>
          </w:tcPr>
          <w:p w14:paraId="693673AA">
            <w:pPr>
              <w:jc w:val="center"/>
              <w:rPr>
                <w:rFonts w:hint="eastAsia"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276" w:type="dxa"/>
            <w:vAlign w:val="center"/>
          </w:tcPr>
          <w:p w14:paraId="66F6038E">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01" w:type="dxa"/>
            <w:vAlign w:val="center"/>
          </w:tcPr>
          <w:p w14:paraId="3B9C4A52">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07CEC132">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1800</w:t>
            </w:r>
          </w:p>
        </w:tc>
        <w:tc>
          <w:tcPr>
            <w:tcW w:w="1761" w:type="dxa"/>
            <w:vAlign w:val="center"/>
          </w:tcPr>
          <w:p w14:paraId="201A29C4">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3A2AF2A6">
            <w:pPr>
              <w:keepNext w:val="0"/>
              <w:keepLines w:val="0"/>
              <w:widowControl/>
              <w:suppressLineNumbers w:val="0"/>
              <w:jc w:val="center"/>
              <w:textAlignment w:val="center"/>
              <w:rPr>
                <w:rFonts w:hint="eastAsia" w:eastAsia="等线"/>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1800</w:t>
            </w:r>
          </w:p>
        </w:tc>
        <w:tc>
          <w:tcPr>
            <w:tcW w:w="1324" w:type="dxa"/>
            <w:vAlign w:val="center"/>
          </w:tcPr>
          <w:p w14:paraId="1EFC7F64">
            <w:pPr>
              <w:keepNext w:val="0"/>
              <w:keepLines w:val="0"/>
              <w:widowControl/>
              <w:suppressLineNumbers w:val="0"/>
              <w:jc w:val="center"/>
              <w:textAlignment w:val="center"/>
              <w:rPr>
                <w:rFonts w:hint="eastAsia" w:eastAsia="等线"/>
                <w:color w:val="000000" w:themeColor="text1"/>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1800</w:t>
            </w:r>
          </w:p>
        </w:tc>
      </w:tr>
      <w:tr w14:paraId="0EBABC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88" w:type="dxa"/>
            <w:vMerge w:val="continue"/>
            <w:vAlign w:val="center"/>
          </w:tcPr>
          <w:p w14:paraId="3AE4C43B">
            <w:pPr>
              <w:pStyle w:val="57"/>
              <w:spacing w:beforeLines="0" w:afterLines="0" w:line="240" w:lineRule="auto"/>
              <w:rPr>
                <w:rFonts w:hAnsi="宋体" w:cs="宋体"/>
                <w:snapToGrid w:val="0"/>
                <w:color w:val="000000" w:themeColor="text1"/>
                <w:kern w:val="21"/>
                <w:szCs w:val="21"/>
                <w:highlight w:val="none"/>
                <w14:textFill>
                  <w14:solidFill>
                    <w14:schemeClr w14:val="tx1"/>
                  </w14:solidFill>
                </w14:textFill>
              </w:rPr>
            </w:pPr>
          </w:p>
        </w:tc>
        <w:tc>
          <w:tcPr>
            <w:tcW w:w="1417" w:type="dxa"/>
            <w:vAlign w:val="center"/>
          </w:tcPr>
          <w:p w14:paraId="2A3E87EE">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污水处理站污泥</w:t>
            </w:r>
          </w:p>
        </w:tc>
        <w:tc>
          <w:tcPr>
            <w:tcW w:w="1701" w:type="dxa"/>
            <w:vAlign w:val="center"/>
          </w:tcPr>
          <w:p w14:paraId="56D4B74F">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276" w:type="dxa"/>
            <w:vAlign w:val="center"/>
          </w:tcPr>
          <w:p w14:paraId="5499867D">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701" w:type="dxa"/>
            <w:vAlign w:val="center"/>
          </w:tcPr>
          <w:p w14:paraId="13AC44B2">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559" w:type="dxa"/>
            <w:vAlign w:val="center"/>
          </w:tcPr>
          <w:p w14:paraId="08A441B0">
            <w:pPr>
              <w:jc w:val="center"/>
              <w:rPr>
                <w:rFonts w:hint="default" w:eastAsia="等线"/>
                <w:color w:val="000000" w:themeColor="text1"/>
                <w:sz w:val="21"/>
                <w:szCs w:val="21"/>
                <w:highlight w:val="none"/>
                <w:lang w:val="en-US" w:eastAsia="zh-CN"/>
                <w14:textFill>
                  <w14:solidFill>
                    <w14:schemeClr w14:val="tx1"/>
                  </w14:solidFill>
                </w14:textFill>
              </w:rPr>
            </w:pPr>
            <w:r>
              <w:rPr>
                <w:rFonts w:hint="eastAsia" w:eastAsia="等线"/>
                <w:color w:val="000000" w:themeColor="text1"/>
                <w:sz w:val="21"/>
                <w:szCs w:val="21"/>
                <w:highlight w:val="none"/>
                <w:lang w:val="en-US" w:eastAsia="zh-CN"/>
                <w14:textFill>
                  <w14:solidFill>
                    <w14:schemeClr w14:val="tx1"/>
                  </w14:solidFill>
                </w14:textFill>
              </w:rPr>
              <w:t>40</w:t>
            </w:r>
          </w:p>
        </w:tc>
        <w:tc>
          <w:tcPr>
            <w:tcW w:w="1761" w:type="dxa"/>
            <w:vAlign w:val="center"/>
          </w:tcPr>
          <w:p w14:paraId="3D6E4F88">
            <w:pPr>
              <w:jc w:val="center"/>
              <w:rPr>
                <w:rFonts w:hint="eastAsia" w:eastAsia="等线"/>
                <w:color w:val="000000" w:themeColor="text1"/>
                <w:sz w:val="21"/>
                <w:szCs w:val="21"/>
                <w:highlight w:val="none"/>
                <w14:textFill>
                  <w14:solidFill>
                    <w14:schemeClr w14:val="tx1"/>
                  </w14:solidFill>
                </w14:textFill>
              </w:rPr>
            </w:pPr>
            <w:r>
              <w:rPr>
                <w:rFonts w:hint="eastAsia" w:eastAsia="等线"/>
                <w:color w:val="000000" w:themeColor="text1"/>
                <w:sz w:val="21"/>
                <w:szCs w:val="21"/>
                <w:highlight w:val="none"/>
                <w14:textFill>
                  <w14:solidFill>
                    <w14:schemeClr w14:val="tx1"/>
                  </w14:solidFill>
                </w14:textFill>
              </w:rPr>
              <w:t>/</w:t>
            </w:r>
          </w:p>
        </w:tc>
        <w:tc>
          <w:tcPr>
            <w:tcW w:w="1461" w:type="dxa"/>
            <w:vAlign w:val="center"/>
          </w:tcPr>
          <w:p w14:paraId="7B0B26BB">
            <w:pPr>
              <w:keepNext w:val="0"/>
              <w:keepLines w:val="0"/>
              <w:widowControl/>
              <w:suppressLineNumbers w:val="0"/>
              <w:jc w:val="center"/>
              <w:textAlignment w:val="center"/>
              <w:rPr>
                <w:rFonts w:hint="eastAsia" w:eastAsia="等线"/>
                <w:color w:val="000000" w:themeColor="text1"/>
                <w:sz w:val="21"/>
                <w:szCs w:val="21"/>
                <w:highlight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40</w:t>
            </w:r>
          </w:p>
        </w:tc>
        <w:tc>
          <w:tcPr>
            <w:tcW w:w="1324" w:type="dxa"/>
            <w:vAlign w:val="center"/>
          </w:tcPr>
          <w:p w14:paraId="2DB7EB2F">
            <w:pPr>
              <w:keepNext w:val="0"/>
              <w:keepLines w:val="0"/>
              <w:widowControl/>
              <w:suppressLineNumbers w:val="0"/>
              <w:jc w:val="center"/>
              <w:textAlignment w:val="center"/>
              <w:rPr>
                <w:rFonts w:hint="eastAsia" w:eastAsia="等线"/>
                <w:color w:val="000000" w:themeColor="text1"/>
                <w:sz w:val="21"/>
                <w:szCs w:val="21"/>
                <w:highlight w:val="none"/>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40</w:t>
            </w:r>
          </w:p>
        </w:tc>
      </w:tr>
    </w:tbl>
    <w:p w14:paraId="494476CB">
      <w:pPr>
        <w:pStyle w:val="57"/>
        <w:spacing w:before="192" w:beforeLines="80" w:after="24"/>
        <w:jc w:val="left"/>
        <w:rPr>
          <w:rFonts w:hAnsi="宋体"/>
          <w:snapToGrid w:val="0"/>
          <w:color w:val="000000" w:themeColor="text1"/>
          <w:spacing w:val="-6"/>
          <w:kern w:val="21"/>
          <w:szCs w:val="21"/>
          <w:highlight w:val="none"/>
          <w14:textFill>
            <w14:solidFill>
              <w14:schemeClr w14:val="tx1"/>
            </w14:solidFill>
          </w14:textFill>
        </w:rPr>
      </w:pPr>
      <w:r>
        <w:rPr>
          <w:rFonts w:hAnsi="宋体"/>
          <w:snapToGrid w:val="0"/>
          <w:color w:val="000000" w:themeColor="text1"/>
          <w:kern w:val="21"/>
          <w:szCs w:val="21"/>
          <w:highlight w:val="none"/>
          <w14:textFill>
            <w14:solidFill>
              <w14:schemeClr w14:val="tx1"/>
            </w14:solidFill>
          </w14:textFill>
        </w:rPr>
        <w:t>注：</w:t>
      </w:r>
      <w:r>
        <w:rPr>
          <w:rFonts w:hAnsi="宋体"/>
          <w:snapToGrid w:val="0"/>
          <w:color w:val="000000" w:themeColor="text1"/>
          <w:spacing w:val="-16"/>
          <w:kern w:val="21"/>
          <w:szCs w:val="21"/>
          <w:highlight w:val="none"/>
          <w14:textFill>
            <w14:solidFill>
              <w14:schemeClr w14:val="tx1"/>
            </w14:solidFill>
          </w14:textFill>
        </w:rPr>
        <w:fldChar w:fldCharType="begin"/>
      </w:r>
      <w:r>
        <w:rPr>
          <w:rFonts w:hAnsi="宋体"/>
          <w:snapToGrid w:val="0"/>
          <w:color w:val="000000" w:themeColor="text1"/>
          <w:spacing w:val="-16"/>
          <w:kern w:val="21"/>
          <w:szCs w:val="21"/>
          <w:highlight w:val="none"/>
          <w14:textFill>
            <w14:solidFill>
              <w14:schemeClr w14:val="tx1"/>
            </w14:solidFill>
          </w14:textFill>
        </w:rPr>
        <w:instrText xml:space="preserve"> = 6 \* GB3 \* MERGEFORMAT </w:instrText>
      </w:r>
      <w:r>
        <w:rPr>
          <w:rFonts w:hAnsi="宋体"/>
          <w:snapToGrid w:val="0"/>
          <w:color w:val="000000" w:themeColor="text1"/>
          <w:spacing w:val="-16"/>
          <w:kern w:val="21"/>
          <w:szCs w:val="21"/>
          <w:highlight w:val="none"/>
          <w14:textFill>
            <w14:solidFill>
              <w14:schemeClr w14:val="tx1"/>
            </w14:solidFill>
          </w14:textFill>
        </w:rPr>
        <w:fldChar w:fldCharType="separate"/>
      </w:r>
      <w:r>
        <w:rPr>
          <w:rFonts w:hint="eastAsia" w:hAnsi="宋体"/>
          <w:color w:val="000000" w:themeColor="text1"/>
          <w:szCs w:val="21"/>
          <w:highlight w:val="none"/>
          <w14:textFill>
            <w14:solidFill>
              <w14:schemeClr w14:val="tx1"/>
            </w14:solidFill>
          </w14:textFill>
        </w:rPr>
        <w:t>⑥</w:t>
      </w:r>
      <w:r>
        <w:rPr>
          <w:rFonts w:hAnsi="宋体"/>
          <w:snapToGrid w:val="0"/>
          <w:color w:val="000000" w:themeColor="text1"/>
          <w:spacing w:val="-16"/>
          <w:kern w:val="21"/>
          <w:szCs w:val="21"/>
          <w:highlight w:val="none"/>
          <w14:textFill>
            <w14:solidFill>
              <w14:schemeClr w14:val="tx1"/>
            </w14:solidFill>
          </w14:textFill>
        </w:rPr>
        <w:fldChar w:fldCharType="end"/>
      </w:r>
      <w:r>
        <w:rPr>
          <w:rFonts w:hAnsi="宋体"/>
          <w:snapToGrid w:val="0"/>
          <w:color w:val="000000" w:themeColor="text1"/>
          <w:spacing w:val="-16"/>
          <w:kern w:val="21"/>
          <w:szCs w:val="21"/>
          <w:highlight w:val="none"/>
          <w14:textFill>
            <w14:solidFill>
              <w14:schemeClr w14:val="tx1"/>
            </w14:solidFill>
          </w14:textFill>
        </w:rPr>
        <w:t>=</w:t>
      </w:r>
      <w:r>
        <w:rPr>
          <w:rFonts w:hAnsi="宋体"/>
          <w:snapToGrid w:val="0"/>
          <w:color w:val="000000" w:themeColor="text1"/>
          <w:spacing w:val="-6"/>
          <w:kern w:val="21"/>
          <w:szCs w:val="21"/>
          <w:highlight w:val="none"/>
          <w14:textFill>
            <w14:solidFill>
              <w14:schemeClr w14:val="tx1"/>
            </w14:solidFill>
          </w14:textFill>
        </w:rPr>
        <w:fldChar w:fldCharType="begin"/>
      </w:r>
      <w:r>
        <w:rPr>
          <w:rFonts w:hAnsi="宋体"/>
          <w:snapToGrid w:val="0"/>
          <w:color w:val="000000" w:themeColor="text1"/>
          <w:spacing w:val="-6"/>
          <w:kern w:val="21"/>
          <w:szCs w:val="21"/>
          <w:highlight w:val="none"/>
          <w14:textFill>
            <w14:solidFill>
              <w14:schemeClr w14:val="tx1"/>
            </w14:solidFill>
          </w14:textFill>
        </w:rPr>
        <w:instrText xml:space="preserve"> = 1 \* GB3 \* MERGEFORMAT </w:instrText>
      </w:r>
      <w:r>
        <w:rPr>
          <w:rFonts w:hAnsi="宋体"/>
          <w:snapToGrid w:val="0"/>
          <w:color w:val="000000" w:themeColor="text1"/>
          <w:spacing w:val="-6"/>
          <w:kern w:val="21"/>
          <w:szCs w:val="21"/>
          <w:highlight w:val="none"/>
          <w14:textFill>
            <w14:solidFill>
              <w14:schemeClr w14:val="tx1"/>
            </w14:solidFill>
          </w14:textFill>
        </w:rPr>
        <w:fldChar w:fldCharType="separate"/>
      </w:r>
      <w:r>
        <w:rPr>
          <w:rFonts w:hint="eastAsia" w:hAnsi="宋体"/>
          <w:color w:val="000000" w:themeColor="text1"/>
          <w:szCs w:val="21"/>
          <w:highlight w:val="none"/>
          <w14:textFill>
            <w14:solidFill>
              <w14:schemeClr w14:val="tx1"/>
            </w14:solidFill>
          </w14:textFill>
        </w:rPr>
        <w:t>①</w:t>
      </w:r>
      <w:r>
        <w:rPr>
          <w:rFonts w:hAnsi="宋体"/>
          <w:snapToGrid w:val="0"/>
          <w:color w:val="000000" w:themeColor="text1"/>
          <w:spacing w:val="-6"/>
          <w:kern w:val="21"/>
          <w:szCs w:val="21"/>
          <w:highlight w:val="none"/>
          <w14:textFill>
            <w14:solidFill>
              <w14:schemeClr w14:val="tx1"/>
            </w14:solidFill>
          </w14:textFill>
        </w:rPr>
        <w:fldChar w:fldCharType="end"/>
      </w:r>
      <w:r>
        <w:rPr>
          <w:rFonts w:hAnsi="宋体"/>
          <w:snapToGrid w:val="0"/>
          <w:color w:val="000000" w:themeColor="text1"/>
          <w:spacing w:val="-6"/>
          <w:kern w:val="21"/>
          <w:szCs w:val="21"/>
          <w:highlight w:val="none"/>
          <w14:textFill>
            <w14:solidFill>
              <w14:schemeClr w14:val="tx1"/>
            </w14:solidFill>
          </w14:textFill>
        </w:rPr>
        <w:t>+</w:t>
      </w:r>
      <w:r>
        <w:rPr>
          <w:rFonts w:hAnsi="宋体"/>
          <w:snapToGrid w:val="0"/>
          <w:color w:val="000000" w:themeColor="text1"/>
          <w:spacing w:val="-6"/>
          <w:kern w:val="21"/>
          <w:szCs w:val="21"/>
          <w:highlight w:val="none"/>
          <w14:textFill>
            <w14:solidFill>
              <w14:schemeClr w14:val="tx1"/>
            </w14:solidFill>
          </w14:textFill>
        </w:rPr>
        <w:fldChar w:fldCharType="begin"/>
      </w:r>
      <w:r>
        <w:rPr>
          <w:rFonts w:hAnsi="宋体"/>
          <w:snapToGrid w:val="0"/>
          <w:color w:val="000000" w:themeColor="text1"/>
          <w:spacing w:val="-6"/>
          <w:kern w:val="21"/>
          <w:szCs w:val="21"/>
          <w:highlight w:val="none"/>
          <w14:textFill>
            <w14:solidFill>
              <w14:schemeClr w14:val="tx1"/>
            </w14:solidFill>
          </w14:textFill>
        </w:rPr>
        <w:instrText xml:space="preserve"> = 3 \* GB3 \* MERGEFORMAT </w:instrText>
      </w:r>
      <w:r>
        <w:rPr>
          <w:rFonts w:hAnsi="宋体"/>
          <w:snapToGrid w:val="0"/>
          <w:color w:val="000000" w:themeColor="text1"/>
          <w:spacing w:val="-6"/>
          <w:kern w:val="21"/>
          <w:szCs w:val="21"/>
          <w:highlight w:val="none"/>
          <w14:textFill>
            <w14:solidFill>
              <w14:schemeClr w14:val="tx1"/>
            </w14:solidFill>
          </w14:textFill>
        </w:rPr>
        <w:fldChar w:fldCharType="separate"/>
      </w:r>
      <w:r>
        <w:rPr>
          <w:rFonts w:hint="eastAsia" w:hAnsi="宋体"/>
          <w:color w:val="000000" w:themeColor="text1"/>
          <w:szCs w:val="21"/>
          <w:highlight w:val="none"/>
          <w14:textFill>
            <w14:solidFill>
              <w14:schemeClr w14:val="tx1"/>
            </w14:solidFill>
          </w14:textFill>
        </w:rPr>
        <w:t>③</w:t>
      </w:r>
      <w:r>
        <w:rPr>
          <w:rFonts w:hAnsi="宋体"/>
          <w:snapToGrid w:val="0"/>
          <w:color w:val="000000" w:themeColor="text1"/>
          <w:spacing w:val="-6"/>
          <w:kern w:val="21"/>
          <w:szCs w:val="21"/>
          <w:highlight w:val="none"/>
          <w14:textFill>
            <w14:solidFill>
              <w14:schemeClr w14:val="tx1"/>
            </w14:solidFill>
          </w14:textFill>
        </w:rPr>
        <w:fldChar w:fldCharType="end"/>
      </w:r>
      <w:r>
        <w:rPr>
          <w:rFonts w:hAnsi="宋体"/>
          <w:snapToGrid w:val="0"/>
          <w:color w:val="000000" w:themeColor="text1"/>
          <w:spacing w:val="-6"/>
          <w:kern w:val="21"/>
          <w:szCs w:val="21"/>
          <w:highlight w:val="none"/>
          <w14:textFill>
            <w14:solidFill>
              <w14:schemeClr w14:val="tx1"/>
            </w14:solidFill>
          </w14:textFill>
        </w:rPr>
        <w:t>+</w:t>
      </w:r>
      <w:r>
        <w:rPr>
          <w:rFonts w:hAnsi="宋体"/>
          <w:snapToGrid w:val="0"/>
          <w:color w:val="000000" w:themeColor="text1"/>
          <w:spacing w:val="-6"/>
          <w:kern w:val="21"/>
          <w:szCs w:val="21"/>
          <w:highlight w:val="none"/>
          <w14:textFill>
            <w14:solidFill>
              <w14:schemeClr w14:val="tx1"/>
            </w14:solidFill>
          </w14:textFill>
        </w:rPr>
        <w:fldChar w:fldCharType="begin"/>
      </w:r>
      <w:r>
        <w:rPr>
          <w:rFonts w:hAnsi="宋体"/>
          <w:snapToGrid w:val="0"/>
          <w:color w:val="000000" w:themeColor="text1"/>
          <w:spacing w:val="-6"/>
          <w:kern w:val="21"/>
          <w:szCs w:val="21"/>
          <w:highlight w:val="none"/>
          <w14:textFill>
            <w14:solidFill>
              <w14:schemeClr w14:val="tx1"/>
            </w14:solidFill>
          </w14:textFill>
        </w:rPr>
        <w:instrText xml:space="preserve"> = 4 \* GB3 \* MERGEFORMAT </w:instrText>
      </w:r>
      <w:r>
        <w:rPr>
          <w:rFonts w:hAnsi="宋体"/>
          <w:snapToGrid w:val="0"/>
          <w:color w:val="000000" w:themeColor="text1"/>
          <w:spacing w:val="-6"/>
          <w:kern w:val="21"/>
          <w:szCs w:val="21"/>
          <w:highlight w:val="none"/>
          <w14:textFill>
            <w14:solidFill>
              <w14:schemeClr w14:val="tx1"/>
            </w14:solidFill>
          </w14:textFill>
        </w:rPr>
        <w:fldChar w:fldCharType="separate"/>
      </w:r>
      <w:r>
        <w:rPr>
          <w:rFonts w:hint="eastAsia" w:hAnsi="宋体"/>
          <w:color w:val="000000" w:themeColor="text1"/>
          <w:szCs w:val="21"/>
          <w:highlight w:val="none"/>
          <w14:textFill>
            <w14:solidFill>
              <w14:schemeClr w14:val="tx1"/>
            </w14:solidFill>
          </w14:textFill>
        </w:rPr>
        <w:t>④</w:t>
      </w:r>
      <w:r>
        <w:rPr>
          <w:rFonts w:hAnsi="宋体"/>
          <w:snapToGrid w:val="0"/>
          <w:color w:val="000000" w:themeColor="text1"/>
          <w:spacing w:val="-6"/>
          <w:kern w:val="21"/>
          <w:szCs w:val="21"/>
          <w:highlight w:val="none"/>
          <w14:textFill>
            <w14:solidFill>
              <w14:schemeClr w14:val="tx1"/>
            </w14:solidFill>
          </w14:textFill>
        </w:rPr>
        <w:fldChar w:fldCharType="end"/>
      </w:r>
      <w:r>
        <w:rPr>
          <w:rFonts w:hAnsi="宋体"/>
          <w:snapToGrid w:val="0"/>
          <w:color w:val="000000" w:themeColor="text1"/>
          <w:spacing w:val="-6"/>
          <w:kern w:val="21"/>
          <w:szCs w:val="21"/>
          <w:highlight w:val="none"/>
          <w14:textFill>
            <w14:solidFill>
              <w14:schemeClr w14:val="tx1"/>
            </w14:solidFill>
          </w14:textFill>
        </w:rPr>
        <w:t>-</w:t>
      </w:r>
      <w:r>
        <w:rPr>
          <w:rFonts w:hAnsi="宋体"/>
          <w:snapToGrid w:val="0"/>
          <w:color w:val="000000" w:themeColor="text1"/>
          <w:spacing w:val="-16"/>
          <w:kern w:val="21"/>
          <w:szCs w:val="21"/>
          <w:highlight w:val="none"/>
          <w14:textFill>
            <w14:solidFill>
              <w14:schemeClr w14:val="tx1"/>
            </w14:solidFill>
          </w14:textFill>
        </w:rPr>
        <w:fldChar w:fldCharType="begin"/>
      </w:r>
      <w:r>
        <w:rPr>
          <w:rFonts w:hAnsi="宋体"/>
          <w:snapToGrid w:val="0"/>
          <w:color w:val="000000" w:themeColor="text1"/>
          <w:spacing w:val="-16"/>
          <w:kern w:val="21"/>
          <w:szCs w:val="21"/>
          <w:highlight w:val="none"/>
          <w14:textFill>
            <w14:solidFill>
              <w14:schemeClr w14:val="tx1"/>
            </w14:solidFill>
          </w14:textFill>
        </w:rPr>
        <w:instrText xml:space="preserve"> = 5 \* GB3 \* MERGEFORMAT </w:instrText>
      </w:r>
      <w:r>
        <w:rPr>
          <w:rFonts w:hAnsi="宋体"/>
          <w:snapToGrid w:val="0"/>
          <w:color w:val="000000" w:themeColor="text1"/>
          <w:spacing w:val="-16"/>
          <w:kern w:val="21"/>
          <w:szCs w:val="21"/>
          <w:highlight w:val="none"/>
          <w14:textFill>
            <w14:solidFill>
              <w14:schemeClr w14:val="tx1"/>
            </w14:solidFill>
          </w14:textFill>
        </w:rPr>
        <w:fldChar w:fldCharType="separate"/>
      </w:r>
      <w:r>
        <w:rPr>
          <w:rFonts w:hint="eastAsia" w:hAnsi="宋体"/>
          <w:color w:val="000000" w:themeColor="text1"/>
          <w:szCs w:val="21"/>
          <w:highlight w:val="none"/>
          <w14:textFill>
            <w14:solidFill>
              <w14:schemeClr w14:val="tx1"/>
            </w14:solidFill>
          </w14:textFill>
        </w:rPr>
        <w:t>⑤</w:t>
      </w:r>
      <w:r>
        <w:rPr>
          <w:rFonts w:hAnsi="宋体"/>
          <w:snapToGrid w:val="0"/>
          <w:color w:val="000000" w:themeColor="text1"/>
          <w:spacing w:val="-16"/>
          <w:kern w:val="21"/>
          <w:szCs w:val="21"/>
          <w:highlight w:val="none"/>
          <w14:textFill>
            <w14:solidFill>
              <w14:schemeClr w14:val="tx1"/>
            </w14:solidFill>
          </w14:textFill>
        </w:rPr>
        <w:fldChar w:fldCharType="end"/>
      </w:r>
      <w:r>
        <w:rPr>
          <w:rFonts w:hAnsi="宋体"/>
          <w:snapToGrid w:val="0"/>
          <w:color w:val="000000" w:themeColor="text1"/>
          <w:spacing w:val="-16"/>
          <w:kern w:val="21"/>
          <w:szCs w:val="21"/>
          <w:highlight w:val="none"/>
          <w14:textFill>
            <w14:solidFill>
              <w14:schemeClr w14:val="tx1"/>
            </w14:solidFill>
          </w14:textFill>
        </w:rPr>
        <w:t>；</w:t>
      </w:r>
      <w:r>
        <w:rPr>
          <w:rFonts w:hAnsi="宋体"/>
          <w:snapToGrid w:val="0"/>
          <w:color w:val="000000" w:themeColor="text1"/>
          <w:spacing w:val="-6"/>
          <w:kern w:val="21"/>
          <w:szCs w:val="21"/>
          <w:highlight w:val="none"/>
          <w14:textFill>
            <w14:solidFill>
              <w14:schemeClr w14:val="tx1"/>
            </w14:solidFill>
          </w14:textFill>
        </w:rPr>
        <w:fldChar w:fldCharType="begin"/>
      </w:r>
      <w:r>
        <w:rPr>
          <w:rFonts w:hAnsi="宋体"/>
          <w:snapToGrid w:val="0"/>
          <w:color w:val="000000" w:themeColor="text1"/>
          <w:spacing w:val="-6"/>
          <w:kern w:val="21"/>
          <w:szCs w:val="21"/>
          <w:highlight w:val="none"/>
          <w14:textFill>
            <w14:solidFill>
              <w14:schemeClr w14:val="tx1"/>
            </w14:solidFill>
          </w14:textFill>
        </w:rPr>
        <w:instrText xml:space="preserve"> = 7 \* GB3 \* MERGEFORMAT </w:instrText>
      </w:r>
      <w:r>
        <w:rPr>
          <w:rFonts w:hAnsi="宋体"/>
          <w:snapToGrid w:val="0"/>
          <w:color w:val="000000" w:themeColor="text1"/>
          <w:spacing w:val="-6"/>
          <w:kern w:val="21"/>
          <w:szCs w:val="21"/>
          <w:highlight w:val="none"/>
          <w14:textFill>
            <w14:solidFill>
              <w14:schemeClr w14:val="tx1"/>
            </w14:solidFill>
          </w14:textFill>
        </w:rPr>
        <w:fldChar w:fldCharType="separate"/>
      </w:r>
      <w:r>
        <w:rPr>
          <w:rFonts w:hint="eastAsia" w:hAnsi="宋体"/>
          <w:color w:val="000000" w:themeColor="text1"/>
          <w:szCs w:val="21"/>
          <w:highlight w:val="none"/>
          <w14:textFill>
            <w14:solidFill>
              <w14:schemeClr w14:val="tx1"/>
            </w14:solidFill>
          </w14:textFill>
        </w:rPr>
        <w:t>⑦</w:t>
      </w:r>
      <w:r>
        <w:rPr>
          <w:rFonts w:hAnsi="宋体"/>
          <w:snapToGrid w:val="0"/>
          <w:color w:val="000000" w:themeColor="text1"/>
          <w:spacing w:val="-6"/>
          <w:kern w:val="21"/>
          <w:szCs w:val="21"/>
          <w:highlight w:val="none"/>
          <w14:textFill>
            <w14:solidFill>
              <w14:schemeClr w14:val="tx1"/>
            </w14:solidFill>
          </w14:textFill>
        </w:rPr>
        <w:fldChar w:fldCharType="end"/>
      </w:r>
      <w:r>
        <w:rPr>
          <w:rFonts w:hAnsi="宋体"/>
          <w:snapToGrid w:val="0"/>
          <w:color w:val="000000" w:themeColor="text1"/>
          <w:spacing w:val="-6"/>
          <w:kern w:val="21"/>
          <w:szCs w:val="21"/>
          <w:highlight w:val="none"/>
          <w14:textFill>
            <w14:solidFill>
              <w14:schemeClr w14:val="tx1"/>
            </w14:solidFill>
          </w14:textFill>
        </w:rPr>
        <w:t>=</w:t>
      </w:r>
      <w:r>
        <w:rPr>
          <w:rFonts w:hAnsi="宋体"/>
          <w:snapToGrid w:val="0"/>
          <w:color w:val="000000" w:themeColor="text1"/>
          <w:spacing w:val="-16"/>
          <w:kern w:val="21"/>
          <w:szCs w:val="21"/>
          <w:highlight w:val="none"/>
          <w14:textFill>
            <w14:solidFill>
              <w14:schemeClr w14:val="tx1"/>
            </w14:solidFill>
          </w14:textFill>
        </w:rPr>
        <w:fldChar w:fldCharType="begin"/>
      </w:r>
      <w:r>
        <w:rPr>
          <w:rFonts w:hAnsi="宋体"/>
          <w:snapToGrid w:val="0"/>
          <w:color w:val="000000" w:themeColor="text1"/>
          <w:spacing w:val="-16"/>
          <w:kern w:val="21"/>
          <w:szCs w:val="21"/>
          <w:highlight w:val="none"/>
          <w14:textFill>
            <w14:solidFill>
              <w14:schemeClr w14:val="tx1"/>
            </w14:solidFill>
          </w14:textFill>
        </w:rPr>
        <w:instrText xml:space="preserve"> = 6 \* GB3 \* MERGEFORMAT </w:instrText>
      </w:r>
      <w:r>
        <w:rPr>
          <w:rFonts w:hAnsi="宋体"/>
          <w:snapToGrid w:val="0"/>
          <w:color w:val="000000" w:themeColor="text1"/>
          <w:spacing w:val="-16"/>
          <w:kern w:val="21"/>
          <w:szCs w:val="21"/>
          <w:highlight w:val="none"/>
          <w14:textFill>
            <w14:solidFill>
              <w14:schemeClr w14:val="tx1"/>
            </w14:solidFill>
          </w14:textFill>
        </w:rPr>
        <w:fldChar w:fldCharType="separate"/>
      </w:r>
      <w:r>
        <w:rPr>
          <w:rFonts w:hint="eastAsia" w:hAnsi="宋体"/>
          <w:color w:val="000000" w:themeColor="text1"/>
          <w:szCs w:val="21"/>
          <w:highlight w:val="none"/>
          <w14:textFill>
            <w14:solidFill>
              <w14:schemeClr w14:val="tx1"/>
            </w14:solidFill>
          </w14:textFill>
        </w:rPr>
        <w:t>⑥</w:t>
      </w:r>
      <w:r>
        <w:rPr>
          <w:rFonts w:hAnsi="宋体"/>
          <w:snapToGrid w:val="0"/>
          <w:color w:val="000000" w:themeColor="text1"/>
          <w:spacing w:val="-16"/>
          <w:kern w:val="21"/>
          <w:szCs w:val="21"/>
          <w:highlight w:val="none"/>
          <w14:textFill>
            <w14:solidFill>
              <w14:schemeClr w14:val="tx1"/>
            </w14:solidFill>
          </w14:textFill>
        </w:rPr>
        <w:fldChar w:fldCharType="end"/>
      </w:r>
      <w:r>
        <w:rPr>
          <w:rFonts w:hAnsi="宋体"/>
          <w:snapToGrid w:val="0"/>
          <w:color w:val="000000" w:themeColor="text1"/>
          <w:spacing w:val="-16"/>
          <w:kern w:val="21"/>
          <w:szCs w:val="21"/>
          <w:highlight w:val="none"/>
          <w14:textFill>
            <w14:solidFill>
              <w14:schemeClr w14:val="tx1"/>
            </w14:solidFill>
          </w14:textFill>
        </w:rPr>
        <w:t>-</w:t>
      </w:r>
      <w:r>
        <w:rPr>
          <w:rFonts w:hAnsi="宋体"/>
          <w:snapToGrid w:val="0"/>
          <w:color w:val="000000" w:themeColor="text1"/>
          <w:spacing w:val="-6"/>
          <w:kern w:val="21"/>
          <w:szCs w:val="21"/>
          <w:highlight w:val="none"/>
          <w14:textFill>
            <w14:solidFill>
              <w14:schemeClr w14:val="tx1"/>
            </w14:solidFill>
          </w14:textFill>
        </w:rPr>
        <w:fldChar w:fldCharType="begin"/>
      </w:r>
      <w:r>
        <w:rPr>
          <w:rFonts w:hAnsi="宋体"/>
          <w:snapToGrid w:val="0"/>
          <w:color w:val="000000" w:themeColor="text1"/>
          <w:spacing w:val="-6"/>
          <w:kern w:val="21"/>
          <w:szCs w:val="21"/>
          <w:highlight w:val="none"/>
          <w14:textFill>
            <w14:solidFill>
              <w14:schemeClr w14:val="tx1"/>
            </w14:solidFill>
          </w14:textFill>
        </w:rPr>
        <w:instrText xml:space="preserve"> = 1 \* GB3 \* MERGEFORMAT </w:instrText>
      </w:r>
      <w:r>
        <w:rPr>
          <w:rFonts w:hAnsi="宋体"/>
          <w:snapToGrid w:val="0"/>
          <w:color w:val="000000" w:themeColor="text1"/>
          <w:spacing w:val="-6"/>
          <w:kern w:val="21"/>
          <w:szCs w:val="21"/>
          <w:highlight w:val="none"/>
          <w14:textFill>
            <w14:solidFill>
              <w14:schemeClr w14:val="tx1"/>
            </w14:solidFill>
          </w14:textFill>
        </w:rPr>
        <w:fldChar w:fldCharType="separate"/>
      </w:r>
      <w:r>
        <w:rPr>
          <w:rFonts w:hint="eastAsia" w:hAnsi="宋体"/>
          <w:color w:val="000000" w:themeColor="text1"/>
          <w:szCs w:val="21"/>
          <w:highlight w:val="none"/>
          <w14:textFill>
            <w14:solidFill>
              <w14:schemeClr w14:val="tx1"/>
            </w14:solidFill>
          </w14:textFill>
        </w:rPr>
        <w:t>①</w:t>
      </w:r>
      <w:r>
        <w:rPr>
          <w:rFonts w:hAnsi="宋体"/>
          <w:snapToGrid w:val="0"/>
          <w:color w:val="000000" w:themeColor="text1"/>
          <w:spacing w:val="-6"/>
          <w:kern w:val="21"/>
          <w:szCs w:val="21"/>
          <w:highlight w:val="none"/>
          <w14:textFill>
            <w14:solidFill>
              <w14:schemeClr w14:val="tx1"/>
            </w14:solidFill>
          </w14:textFill>
        </w:rPr>
        <w:fldChar w:fldCharType="end"/>
      </w:r>
    </w:p>
    <w:p w14:paraId="628E357E">
      <w:pPr>
        <w:rPr>
          <w:color w:val="000000" w:themeColor="text1"/>
          <w:highlight w:val="none"/>
          <w14:textFill>
            <w14:solidFill>
              <w14:schemeClr w14:val="tx1"/>
            </w14:solidFill>
          </w14:textFill>
        </w:rPr>
      </w:pPr>
    </w:p>
    <w:p w14:paraId="4889CD5B">
      <w:pPr>
        <w:rPr>
          <w:color w:val="000000" w:themeColor="text1"/>
          <w:highlight w:val="none"/>
          <w14:textFill>
            <w14:solidFill>
              <w14:schemeClr w14:val="tx1"/>
            </w14:solidFill>
          </w14:textFill>
        </w:rPr>
        <w:sectPr>
          <w:footerReference r:id="rId10" w:type="default"/>
          <w:pgSz w:w="16838" w:h="11906" w:orient="landscape"/>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48C2AC57">
      <w:pPr>
        <w:pStyle w:val="26"/>
        <w:adjustRightInd w:val="0"/>
        <w:snapToGrid w:val="0"/>
        <w:spacing w:before="0" w:beforeAutospacing="0" w:after="0" w:afterAutospacing="0"/>
        <w:outlineLvl w:val="0"/>
        <w:rPr>
          <w:rFonts w:ascii="黑体" w:hAnsi="黑体" w:eastAsia="黑体"/>
          <w:snapToGrid w:val="0"/>
          <w:color w:val="000000" w:themeColor="text1"/>
          <w:sz w:val="32"/>
          <w:szCs w:val="32"/>
          <w:highlight w:val="none"/>
          <w14:textFill>
            <w14:solidFill>
              <w14:schemeClr w14:val="tx1"/>
            </w14:solidFill>
          </w14:textFill>
        </w:rPr>
      </w:pPr>
      <w:bookmarkStart w:id="24" w:name="_Toc10484"/>
      <w:r>
        <w:rPr>
          <w:rFonts w:hint="eastAsia" w:ascii="黑体" w:hAnsi="黑体" w:eastAsia="黑体"/>
          <w:snapToGrid w:val="0"/>
          <w:color w:val="000000" w:themeColor="text1"/>
          <w:sz w:val="32"/>
          <w:szCs w:val="32"/>
          <w:highlight w:val="none"/>
          <w14:textFill>
            <w14:solidFill>
              <w14:schemeClr w14:val="tx1"/>
            </w14:solidFill>
          </w14:textFill>
        </w:rPr>
        <w:t>附图</w:t>
      </w:r>
      <w:bookmarkEnd w:id="24"/>
    </w:p>
    <w:p w14:paraId="6F5A5EFE">
      <w:pPr>
        <w:pStyle w:val="12"/>
        <w:jc w:val="center"/>
        <w:rPr>
          <w:rFonts w:hint="eastAsia" w:eastAsia="宋体"/>
          <w:snapToGrid w:val="0"/>
          <w:color w:val="000000" w:themeColor="text1"/>
          <w:highlight w:val="none"/>
          <w:lang w:eastAsia="zh-CN"/>
          <w14:textFill>
            <w14:solidFill>
              <w14:schemeClr w14:val="tx1"/>
            </w14:solidFill>
          </w14:textFill>
        </w:rPr>
      </w:pPr>
      <w:r>
        <w:rPr>
          <w:rFonts w:hint="eastAsia" w:eastAsia="宋体"/>
          <w:snapToGrid w:val="0"/>
          <w:color w:val="000000" w:themeColor="text1"/>
          <w:highlight w:val="none"/>
          <w:lang w:eastAsia="zh-CN"/>
          <w14:textFill>
            <w14:solidFill>
              <w14:schemeClr w14:val="tx1"/>
            </w14:solidFill>
          </w14:textFill>
        </w:rPr>
        <w:drawing>
          <wp:inline distT="0" distB="0" distL="114300" distR="114300">
            <wp:extent cx="4974590" cy="7308850"/>
            <wp:effectExtent l="9525" t="9525" r="26035" b="15875"/>
            <wp:docPr id="5" name="图片 5" descr="地理位置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地理位置图"/>
                    <pic:cNvPicPr>
                      <a:picLocks noChangeAspect="1"/>
                    </pic:cNvPicPr>
                  </pic:nvPicPr>
                  <pic:blipFill>
                    <a:blip r:embed="rId28"/>
                    <a:stretch>
                      <a:fillRect/>
                    </a:stretch>
                  </pic:blipFill>
                  <pic:spPr>
                    <a:xfrm>
                      <a:off x="0" y="0"/>
                      <a:ext cx="4974590" cy="7308850"/>
                    </a:xfrm>
                    <a:prstGeom prst="rect">
                      <a:avLst/>
                    </a:prstGeom>
                    <a:ln>
                      <a:solidFill>
                        <a:schemeClr val="tx1"/>
                      </a:solidFill>
                    </a:ln>
                  </pic:spPr>
                </pic:pic>
              </a:graphicData>
            </a:graphic>
          </wp:inline>
        </w:drawing>
      </w:r>
    </w:p>
    <w:p w14:paraId="34BE3E68">
      <w:pPr>
        <w:jc w:val="center"/>
        <w:outlineLvl w:val="1"/>
        <w:rPr>
          <w:rFonts w:hint="eastAsia" w:ascii="黑体" w:hAnsi="黑体" w:eastAsia="黑体"/>
          <w:snapToGrid w:val="0"/>
          <w:color w:val="000000" w:themeColor="text1"/>
          <w:sz w:val="24"/>
          <w:szCs w:val="24"/>
          <w:highlight w:val="none"/>
          <w:lang w:val="en-US" w:eastAsia="zh-CN"/>
          <w14:textFill>
            <w14:solidFill>
              <w14:schemeClr w14:val="tx1"/>
            </w14:solidFill>
          </w14:textFill>
        </w:rPr>
      </w:pPr>
      <w:bookmarkStart w:id="25" w:name="_Toc25475"/>
      <w:bookmarkStart w:id="26" w:name="_Toc28885"/>
      <w:bookmarkStart w:id="27" w:name="_Toc16143"/>
      <w:r>
        <w:rPr>
          <w:b/>
          <w:bCs w:val="0"/>
          <w:color w:val="000000" w:themeColor="text1"/>
          <w:sz w:val="24"/>
          <w:highlight w:val="none"/>
          <w14:textFill>
            <w14:solidFill>
              <w14:schemeClr w14:val="tx1"/>
            </w14:solidFill>
          </w14:textFill>
        </w:rPr>
        <w:t xml:space="preserve">附图1  </w:t>
      </w:r>
      <w:r>
        <w:rPr>
          <w:rFonts w:hint="eastAsia"/>
          <w:b/>
          <w:bCs w:val="0"/>
          <w:color w:val="000000" w:themeColor="text1"/>
          <w:sz w:val="24"/>
          <w:highlight w:val="none"/>
          <w14:textFill>
            <w14:solidFill>
              <w14:schemeClr w14:val="tx1"/>
            </w14:solidFill>
          </w14:textFill>
        </w:rPr>
        <w:t>项目地理位置布</w:t>
      </w:r>
      <w:r>
        <w:rPr>
          <w:b/>
          <w:bCs w:val="0"/>
          <w:color w:val="000000" w:themeColor="text1"/>
          <w:sz w:val="24"/>
          <w:highlight w:val="none"/>
          <w14:textFill>
            <w14:solidFill>
              <w14:schemeClr w14:val="tx1"/>
            </w14:solidFill>
          </w14:textFill>
        </w:rPr>
        <w:t>图</w:t>
      </w:r>
      <w:bookmarkEnd w:id="25"/>
      <w:bookmarkEnd w:id="26"/>
      <w:bookmarkEnd w:id="27"/>
    </w:p>
    <w:p w14:paraId="49BEBE9C">
      <w:pPr>
        <w:jc w:val="center"/>
        <w:rPr>
          <w:rFonts w:hint="eastAsia"/>
          <w:color w:val="000000" w:themeColor="text1"/>
          <w:highlight w:val="none"/>
          <w:lang w:eastAsia="zh-CN"/>
          <w14:textFill>
            <w14:solidFill>
              <w14:schemeClr w14:val="tx1"/>
            </w14:solidFill>
          </w14:textFill>
        </w:rPr>
      </w:pPr>
    </w:p>
    <w:sectPr>
      <w:footerReference r:id="rId11" w:type="default"/>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2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FA322">
    <w:pPr>
      <w:pStyle w:val="19"/>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ADBC8">
    <w:pPr>
      <w:pStyle w:val="19"/>
      <w:framePr w:wrap="around" w:vAnchor="text" w:hAnchor="margin" w:xAlign="center" w:y="1"/>
      <w:rPr>
        <w:rStyle w:val="33"/>
      </w:rPr>
    </w:pPr>
    <w:r>
      <w:fldChar w:fldCharType="begin"/>
    </w:r>
    <w:r>
      <w:rPr>
        <w:rStyle w:val="33"/>
      </w:rPr>
      <w:instrText xml:space="preserve">PAGE  </w:instrText>
    </w:r>
    <w:r>
      <w:fldChar w:fldCharType="end"/>
    </w:r>
  </w:p>
  <w:p w14:paraId="4280EF6C">
    <w:pPr>
      <w:pStyle w:val="1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2A8F6">
    <w:pPr>
      <w:pStyle w:val="19"/>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8780B">
    <w:pPr>
      <w:pStyle w:val="19"/>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7753EF">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2C7753EF">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E3D28">
    <w:pPr>
      <w:pStyle w:val="12"/>
      <w:spacing w:line="14" w:lineRule="auto"/>
      <w:ind w:firstLine="480"/>
      <w:rPr>
        <w:sz w:val="12"/>
      </w:rPr>
    </w:pPr>
    <w:r>
      <w:rPr>
        <w:sz w:val="1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1BF3D1">
                          <w:pPr>
                            <w:pStyle w:val="19"/>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3A1BF3D1">
                    <w:pPr>
                      <w:pStyle w:val="19"/>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5E1E4">
    <w:pPr>
      <w:pStyle w:val="19"/>
      <w:ind w:right="360"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57F657">
                          <w:pPr>
                            <w:pStyle w:val="19"/>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6E57F657">
                    <w:pPr>
                      <w:pStyle w:val="19"/>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472E">
    <w:pPr>
      <w:pStyle w:val="19"/>
      <w:ind w:right="360" w:firstLine="36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3C012D">
                          <w:pPr>
                            <w:pStyle w:val="19"/>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313C012D">
                    <w:pPr>
                      <w:pStyle w:val="19"/>
                    </w:pPr>
                    <w:r>
                      <w:fldChar w:fldCharType="begin"/>
                    </w:r>
                    <w:r>
                      <w:instrText xml:space="preserve"> PAGE  \* MERGEFORMAT </w:instrText>
                    </w:r>
                    <w:r>
                      <w:fldChar w:fldCharType="separate"/>
                    </w:r>
                    <w:r>
                      <w:t>51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02BED">
    <w:pPr>
      <w:pStyle w:val="2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726BA">
    <w:pPr>
      <w:jc w:val="cente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B46E95"/>
    <w:multiLevelType w:val="multilevel"/>
    <w:tmpl w:val="26B46E95"/>
    <w:lvl w:ilvl="0" w:tentative="0">
      <w:start w:val="1"/>
      <w:numFmt w:val="decimal"/>
      <w:pStyle w:val="73"/>
      <w:suff w:val="space"/>
      <w:lvlText w:val="%1"/>
      <w:lvlJc w:val="left"/>
      <w:pPr>
        <w:tabs>
          <w:tab w:val="left" w:pos="0"/>
        </w:tabs>
        <w:ind w:left="0" w:firstLine="0"/>
      </w:pPr>
      <w:rPr>
        <w:rFonts w:hint="default" w:ascii="Times New Roman" w:hAnsi="Times New Roman" w:eastAsia="黑体" w:cs="Times New Roman"/>
        <w:b/>
        <w:i w:val="0"/>
        <w:sz w:val="32"/>
      </w:rPr>
    </w:lvl>
    <w:lvl w:ilvl="1" w:tentative="0">
      <w:start w:val="1"/>
      <w:numFmt w:val="decimal"/>
      <w:suff w:val="space"/>
      <w:lvlText w:val="%1.%2"/>
      <w:lvlJc w:val="left"/>
      <w:pPr>
        <w:ind w:left="0" w:firstLine="0"/>
      </w:pPr>
      <w:rPr>
        <w:rFonts w:hint="default" w:ascii="Times New Roman" w:hAnsi="Times New Roman" w:eastAsia="黑体" w:cs="Times New Roman"/>
        <w:b/>
        <w:i w:val="0"/>
        <w:sz w:val="30"/>
      </w:rPr>
    </w:lvl>
    <w:lvl w:ilvl="2" w:tentative="0">
      <w:start w:val="1"/>
      <w:numFmt w:val="decimal"/>
      <w:suff w:val="space"/>
      <w:lvlText w:val="%1.%2.%3"/>
      <w:lvlJc w:val="left"/>
      <w:pPr>
        <w:ind w:left="142" w:firstLine="0"/>
      </w:pPr>
      <w:rPr>
        <w:rFonts w:hint="default" w:ascii="Times New Roman" w:hAnsi="Times New Roman" w:eastAsia="黑体" w:cs="Times New Roman"/>
        <w:b/>
        <w:bCs w:val="0"/>
        <w:i w:val="0"/>
        <w:iCs w:val="0"/>
        <w:caps w:val="0"/>
        <w:smallCaps w:val="0"/>
        <w:strike w:val="0"/>
        <w:dstrike w:val="0"/>
        <w:color w:val="000000"/>
        <w:spacing w:val="0"/>
        <w:position w:val="0"/>
        <w:sz w:val="28"/>
        <w:u w:val="none"/>
      </w:rPr>
    </w:lvl>
    <w:lvl w:ilvl="3" w:tentative="0">
      <w:start w:val="1"/>
      <w:numFmt w:val="decimal"/>
      <w:suff w:val="space"/>
      <w:lvlText w:val="%1.%2.%3.%4"/>
      <w:lvlJc w:val="left"/>
      <w:pPr>
        <w:ind w:left="0" w:firstLine="0"/>
      </w:pPr>
      <w:rPr>
        <w:rFonts w:hint="default" w:ascii="Times New Roman" w:hAnsi="Times New Roman" w:eastAsia="黑体" w:cs="Times New Roman"/>
        <w:b/>
        <w:bCs w:val="0"/>
        <w:i w:val="0"/>
        <w:iCs w:val="0"/>
        <w:caps w:val="0"/>
        <w:smallCaps w:val="0"/>
        <w:strike w:val="0"/>
        <w:dstrike w:val="0"/>
        <w:color w:val="000000"/>
        <w:spacing w:val="0"/>
        <w:position w:val="0"/>
        <w:sz w:val="24"/>
        <w:u w:val="none"/>
      </w:rPr>
    </w:lvl>
    <w:lvl w:ilvl="4" w:tentative="0">
      <w:start w:val="1"/>
      <w:numFmt w:val="decimal"/>
      <w:lvlText w:val="%5%2."/>
      <w:lvlJc w:val="left"/>
      <w:pPr>
        <w:tabs>
          <w:tab w:val="left" w:pos="720"/>
        </w:tabs>
        <w:ind w:left="0" w:firstLine="0"/>
      </w:pPr>
      <w:rPr>
        <w:rFonts w:ascii="Times New Roman" w:hAnsi="Times New Roman" w:cs="Times New Roman"/>
        <w:b w:val="0"/>
        <w:bCs w:val="0"/>
        <w:i w:val="0"/>
        <w:iCs w:val="0"/>
        <w:caps w:val="0"/>
        <w:smallCaps w:val="0"/>
        <w:strike w:val="0"/>
        <w:dstrike w:val="0"/>
        <w:color w:val="000000"/>
        <w:spacing w:val="0"/>
        <w:position w:val="0"/>
        <w:u w:val="none"/>
      </w:rPr>
    </w:lvl>
    <w:lvl w:ilvl="5" w:tentative="0">
      <w:start w:val="1"/>
      <w:numFmt w:val="decimal"/>
      <w:lvlText w:val="%1.%2.%3.%4.%5.%6"/>
      <w:lvlJc w:val="left"/>
      <w:pPr>
        <w:tabs>
          <w:tab w:val="left" w:pos="1152"/>
        </w:tabs>
        <w:ind w:left="0" w:firstLine="0"/>
      </w:pPr>
    </w:lvl>
    <w:lvl w:ilvl="6" w:tentative="0">
      <w:start w:val="1"/>
      <w:numFmt w:val="decimal"/>
      <w:lvlText w:val="%1.%2.%3.%4.%5.%6.%7"/>
      <w:lvlJc w:val="left"/>
      <w:pPr>
        <w:tabs>
          <w:tab w:val="left" w:pos="1296"/>
        </w:tabs>
        <w:ind w:left="0" w:firstLine="0"/>
      </w:pPr>
    </w:lvl>
    <w:lvl w:ilvl="7" w:tentative="0">
      <w:start w:val="1"/>
      <w:numFmt w:val="decimal"/>
      <w:lvlText w:val="%1.%2.%3.%4.%5.%6.%7.%8"/>
      <w:lvlJc w:val="left"/>
      <w:pPr>
        <w:tabs>
          <w:tab w:val="left" w:pos="1440"/>
        </w:tabs>
        <w:ind w:left="0" w:firstLine="0"/>
      </w:pPr>
    </w:lvl>
    <w:lvl w:ilvl="8" w:tentative="0">
      <w:start w:val="1"/>
      <w:numFmt w:val="decimal"/>
      <w:lvlText w:val="%1.%2.%3.%4.%5.%6.%7.%8.%9"/>
      <w:lvlJc w:val="left"/>
      <w:pPr>
        <w:tabs>
          <w:tab w:val="left" w:pos="1584"/>
        </w:tabs>
        <w:ind w:left="0" w:firstLine="0"/>
      </w:pPr>
    </w:lvl>
  </w:abstractNum>
  <w:abstractNum w:abstractNumId="1">
    <w:nsid w:val="69830D8B"/>
    <w:multiLevelType w:val="singleLevel"/>
    <w:tmpl w:val="69830D8B"/>
    <w:lvl w:ilvl="0" w:tentative="0">
      <w:start w:val="1"/>
      <w:numFmt w:val="decimal"/>
      <w:suff w:val="nothing"/>
      <w:lvlText w:val="（%1）"/>
      <w:lvlJc w:val="left"/>
    </w:lvl>
  </w:abstractNum>
  <w:abstractNum w:abstractNumId="2">
    <w:nsid w:val="72C075B7"/>
    <w:multiLevelType w:val="multilevel"/>
    <w:tmpl w:val="72C075B7"/>
    <w:lvl w:ilvl="0" w:tentative="0">
      <w:start w:val="1"/>
      <w:numFmt w:val="decimal"/>
      <w:pStyle w:val="27"/>
      <w:lvlText w:val="%1"/>
      <w:lvlJc w:val="left"/>
      <w:pPr>
        <w:ind w:left="0" w:firstLine="0"/>
      </w:pPr>
      <w:rPr>
        <w:rFonts w:hint="eastAsia"/>
      </w:rPr>
    </w:lvl>
    <w:lvl w:ilvl="1" w:tentative="0">
      <w:start w:val="1"/>
      <w:numFmt w:val="decimal"/>
      <w:pStyle w:val="3"/>
      <w:suff w:val="space"/>
      <w:lvlText w:val="%1.%2"/>
      <w:lvlJc w:val="left"/>
      <w:pPr>
        <w:ind w:left="0" w:firstLine="0"/>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oNotHyphenateCaps/>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B1A"/>
    <w:rsid w:val="0000312D"/>
    <w:rsid w:val="000036CE"/>
    <w:rsid w:val="000060B3"/>
    <w:rsid w:val="000062A8"/>
    <w:rsid w:val="000070B6"/>
    <w:rsid w:val="000118FC"/>
    <w:rsid w:val="0001191A"/>
    <w:rsid w:val="00011AE2"/>
    <w:rsid w:val="00013654"/>
    <w:rsid w:val="0001767C"/>
    <w:rsid w:val="0002030C"/>
    <w:rsid w:val="00021901"/>
    <w:rsid w:val="00022855"/>
    <w:rsid w:val="00022975"/>
    <w:rsid w:val="00024874"/>
    <w:rsid w:val="000263BC"/>
    <w:rsid w:val="000279B0"/>
    <w:rsid w:val="00031CC2"/>
    <w:rsid w:val="0003206D"/>
    <w:rsid w:val="000329CF"/>
    <w:rsid w:val="00032EBF"/>
    <w:rsid w:val="0003313B"/>
    <w:rsid w:val="0003447B"/>
    <w:rsid w:val="00035832"/>
    <w:rsid w:val="000420B3"/>
    <w:rsid w:val="0004364B"/>
    <w:rsid w:val="00046B87"/>
    <w:rsid w:val="00046E90"/>
    <w:rsid w:val="00050209"/>
    <w:rsid w:val="000503BA"/>
    <w:rsid w:val="000503CB"/>
    <w:rsid w:val="00052649"/>
    <w:rsid w:val="0005496C"/>
    <w:rsid w:val="000603B7"/>
    <w:rsid w:val="000616A7"/>
    <w:rsid w:val="000616AD"/>
    <w:rsid w:val="00061B1F"/>
    <w:rsid w:val="00061F74"/>
    <w:rsid w:val="0006221B"/>
    <w:rsid w:val="00063C38"/>
    <w:rsid w:val="00065BDA"/>
    <w:rsid w:val="00065CFE"/>
    <w:rsid w:val="0006753E"/>
    <w:rsid w:val="00070118"/>
    <w:rsid w:val="00071F03"/>
    <w:rsid w:val="0007225C"/>
    <w:rsid w:val="00072831"/>
    <w:rsid w:val="000733C4"/>
    <w:rsid w:val="000736B5"/>
    <w:rsid w:val="00074783"/>
    <w:rsid w:val="00074C03"/>
    <w:rsid w:val="00076149"/>
    <w:rsid w:val="0007643A"/>
    <w:rsid w:val="00076ACF"/>
    <w:rsid w:val="0008070B"/>
    <w:rsid w:val="000810AC"/>
    <w:rsid w:val="00081A02"/>
    <w:rsid w:val="00082231"/>
    <w:rsid w:val="00082F28"/>
    <w:rsid w:val="00084054"/>
    <w:rsid w:val="00084C88"/>
    <w:rsid w:val="00085C9C"/>
    <w:rsid w:val="000863F0"/>
    <w:rsid w:val="000869A9"/>
    <w:rsid w:val="00090271"/>
    <w:rsid w:val="00090387"/>
    <w:rsid w:val="000911A0"/>
    <w:rsid w:val="00091635"/>
    <w:rsid w:val="00092D38"/>
    <w:rsid w:val="0009377B"/>
    <w:rsid w:val="0009506B"/>
    <w:rsid w:val="00096621"/>
    <w:rsid w:val="00096B42"/>
    <w:rsid w:val="00096B53"/>
    <w:rsid w:val="0009727E"/>
    <w:rsid w:val="00097FFC"/>
    <w:rsid w:val="000A10ED"/>
    <w:rsid w:val="000A20C9"/>
    <w:rsid w:val="000B058F"/>
    <w:rsid w:val="000B2074"/>
    <w:rsid w:val="000B28BC"/>
    <w:rsid w:val="000B3174"/>
    <w:rsid w:val="000B4467"/>
    <w:rsid w:val="000B4ACC"/>
    <w:rsid w:val="000B4DB9"/>
    <w:rsid w:val="000B5050"/>
    <w:rsid w:val="000B616C"/>
    <w:rsid w:val="000C074F"/>
    <w:rsid w:val="000C09AC"/>
    <w:rsid w:val="000C1679"/>
    <w:rsid w:val="000C2A0B"/>
    <w:rsid w:val="000C2B0C"/>
    <w:rsid w:val="000C3465"/>
    <w:rsid w:val="000C767F"/>
    <w:rsid w:val="000D13AC"/>
    <w:rsid w:val="000D1686"/>
    <w:rsid w:val="000D1DD0"/>
    <w:rsid w:val="000D357D"/>
    <w:rsid w:val="000D364A"/>
    <w:rsid w:val="000D4EA2"/>
    <w:rsid w:val="000D5A44"/>
    <w:rsid w:val="000D6770"/>
    <w:rsid w:val="000D7716"/>
    <w:rsid w:val="000E05E1"/>
    <w:rsid w:val="000E0C51"/>
    <w:rsid w:val="000E0DE3"/>
    <w:rsid w:val="000E1998"/>
    <w:rsid w:val="000E38F3"/>
    <w:rsid w:val="000E3ED2"/>
    <w:rsid w:val="000E54F1"/>
    <w:rsid w:val="000E60D2"/>
    <w:rsid w:val="000E66CA"/>
    <w:rsid w:val="000E7396"/>
    <w:rsid w:val="000F05A2"/>
    <w:rsid w:val="000F399B"/>
    <w:rsid w:val="000F424F"/>
    <w:rsid w:val="000F458C"/>
    <w:rsid w:val="000F4DB3"/>
    <w:rsid w:val="000F6716"/>
    <w:rsid w:val="000F789E"/>
    <w:rsid w:val="0010212C"/>
    <w:rsid w:val="001038BB"/>
    <w:rsid w:val="00103959"/>
    <w:rsid w:val="0010551A"/>
    <w:rsid w:val="00107999"/>
    <w:rsid w:val="00107BD4"/>
    <w:rsid w:val="001119F1"/>
    <w:rsid w:val="00111E5F"/>
    <w:rsid w:val="0011309F"/>
    <w:rsid w:val="001141D3"/>
    <w:rsid w:val="001142DB"/>
    <w:rsid w:val="00114F4A"/>
    <w:rsid w:val="00116BDF"/>
    <w:rsid w:val="0012468C"/>
    <w:rsid w:val="00124C1F"/>
    <w:rsid w:val="00124CB8"/>
    <w:rsid w:val="001254BE"/>
    <w:rsid w:val="00126F9C"/>
    <w:rsid w:val="0013086C"/>
    <w:rsid w:val="00131E54"/>
    <w:rsid w:val="00131F42"/>
    <w:rsid w:val="00132403"/>
    <w:rsid w:val="00132788"/>
    <w:rsid w:val="001333ED"/>
    <w:rsid w:val="001357F1"/>
    <w:rsid w:val="00140994"/>
    <w:rsid w:val="00140FA8"/>
    <w:rsid w:val="00142CFF"/>
    <w:rsid w:val="00142FEB"/>
    <w:rsid w:val="00143A2D"/>
    <w:rsid w:val="00144CD2"/>
    <w:rsid w:val="00145A41"/>
    <w:rsid w:val="001462B6"/>
    <w:rsid w:val="00147059"/>
    <w:rsid w:val="001477C2"/>
    <w:rsid w:val="00150CA2"/>
    <w:rsid w:val="001511B2"/>
    <w:rsid w:val="00151675"/>
    <w:rsid w:val="00151B81"/>
    <w:rsid w:val="00153BFC"/>
    <w:rsid w:val="001562F7"/>
    <w:rsid w:val="00157435"/>
    <w:rsid w:val="00160BCC"/>
    <w:rsid w:val="001614DA"/>
    <w:rsid w:val="0016176A"/>
    <w:rsid w:val="001643AC"/>
    <w:rsid w:val="00164C9A"/>
    <w:rsid w:val="0016700C"/>
    <w:rsid w:val="00167173"/>
    <w:rsid w:val="00172DA1"/>
    <w:rsid w:val="0017303F"/>
    <w:rsid w:val="00174743"/>
    <w:rsid w:val="00174984"/>
    <w:rsid w:val="0017504D"/>
    <w:rsid w:val="00175F95"/>
    <w:rsid w:val="0017671A"/>
    <w:rsid w:val="00176747"/>
    <w:rsid w:val="00177422"/>
    <w:rsid w:val="0018127B"/>
    <w:rsid w:val="00181E84"/>
    <w:rsid w:val="0018353E"/>
    <w:rsid w:val="00184470"/>
    <w:rsid w:val="00184590"/>
    <w:rsid w:val="00185686"/>
    <w:rsid w:val="001870D1"/>
    <w:rsid w:val="0018768E"/>
    <w:rsid w:val="0018781E"/>
    <w:rsid w:val="00187E68"/>
    <w:rsid w:val="00190FD3"/>
    <w:rsid w:val="0019262D"/>
    <w:rsid w:val="001927A6"/>
    <w:rsid w:val="00192806"/>
    <w:rsid w:val="00192C37"/>
    <w:rsid w:val="00192CD0"/>
    <w:rsid w:val="00193352"/>
    <w:rsid w:val="001933CE"/>
    <w:rsid w:val="0019423C"/>
    <w:rsid w:val="001956E6"/>
    <w:rsid w:val="00195D4B"/>
    <w:rsid w:val="0019765C"/>
    <w:rsid w:val="001A00FD"/>
    <w:rsid w:val="001A1B35"/>
    <w:rsid w:val="001A1EC9"/>
    <w:rsid w:val="001A48A2"/>
    <w:rsid w:val="001A57DC"/>
    <w:rsid w:val="001A585F"/>
    <w:rsid w:val="001A5F94"/>
    <w:rsid w:val="001A6F61"/>
    <w:rsid w:val="001B0DAA"/>
    <w:rsid w:val="001B107F"/>
    <w:rsid w:val="001B18D2"/>
    <w:rsid w:val="001B37BA"/>
    <w:rsid w:val="001B5A01"/>
    <w:rsid w:val="001B6ECF"/>
    <w:rsid w:val="001B72B8"/>
    <w:rsid w:val="001B73FD"/>
    <w:rsid w:val="001C0446"/>
    <w:rsid w:val="001C28A5"/>
    <w:rsid w:val="001C374C"/>
    <w:rsid w:val="001C5650"/>
    <w:rsid w:val="001C67B8"/>
    <w:rsid w:val="001C6898"/>
    <w:rsid w:val="001C69B3"/>
    <w:rsid w:val="001C6BF8"/>
    <w:rsid w:val="001D07ED"/>
    <w:rsid w:val="001D1000"/>
    <w:rsid w:val="001D47B3"/>
    <w:rsid w:val="001D5280"/>
    <w:rsid w:val="001D5595"/>
    <w:rsid w:val="001D7874"/>
    <w:rsid w:val="001D7F22"/>
    <w:rsid w:val="001E04F8"/>
    <w:rsid w:val="001E3B18"/>
    <w:rsid w:val="001E57F0"/>
    <w:rsid w:val="001E6C92"/>
    <w:rsid w:val="001E6E8D"/>
    <w:rsid w:val="001F0F17"/>
    <w:rsid w:val="001F25D0"/>
    <w:rsid w:val="001F2D20"/>
    <w:rsid w:val="001F3347"/>
    <w:rsid w:val="001F69E4"/>
    <w:rsid w:val="001F7E8C"/>
    <w:rsid w:val="002016EE"/>
    <w:rsid w:val="00202C9A"/>
    <w:rsid w:val="00204AE8"/>
    <w:rsid w:val="0020789F"/>
    <w:rsid w:val="002125B4"/>
    <w:rsid w:val="002137C2"/>
    <w:rsid w:val="00213E5C"/>
    <w:rsid w:val="00214FA7"/>
    <w:rsid w:val="002155B8"/>
    <w:rsid w:val="0021573D"/>
    <w:rsid w:val="00216389"/>
    <w:rsid w:val="00220D67"/>
    <w:rsid w:val="00220F24"/>
    <w:rsid w:val="00220F41"/>
    <w:rsid w:val="00221F6F"/>
    <w:rsid w:val="0022231D"/>
    <w:rsid w:val="00223483"/>
    <w:rsid w:val="00223AC1"/>
    <w:rsid w:val="00224839"/>
    <w:rsid w:val="00224858"/>
    <w:rsid w:val="002249B2"/>
    <w:rsid w:val="00225EF9"/>
    <w:rsid w:val="0022621A"/>
    <w:rsid w:val="00226574"/>
    <w:rsid w:val="002265D3"/>
    <w:rsid w:val="0022680C"/>
    <w:rsid w:val="002278EC"/>
    <w:rsid w:val="00230355"/>
    <w:rsid w:val="00230952"/>
    <w:rsid w:val="0023280E"/>
    <w:rsid w:val="002331C1"/>
    <w:rsid w:val="00233360"/>
    <w:rsid w:val="00236784"/>
    <w:rsid w:val="002377D1"/>
    <w:rsid w:val="002400BE"/>
    <w:rsid w:val="00240560"/>
    <w:rsid w:val="0024154A"/>
    <w:rsid w:val="002442FC"/>
    <w:rsid w:val="0024488B"/>
    <w:rsid w:val="00246745"/>
    <w:rsid w:val="00246925"/>
    <w:rsid w:val="002477C1"/>
    <w:rsid w:val="00247969"/>
    <w:rsid w:val="002506BC"/>
    <w:rsid w:val="00250D6F"/>
    <w:rsid w:val="002513F7"/>
    <w:rsid w:val="00251E46"/>
    <w:rsid w:val="002520B3"/>
    <w:rsid w:val="00252899"/>
    <w:rsid w:val="00254345"/>
    <w:rsid w:val="002559DE"/>
    <w:rsid w:val="00255D41"/>
    <w:rsid w:val="00255EF6"/>
    <w:rsid w:val="002612D3"/>
    <w:rsid w:val="002626E7"/>
    <w:rsid w:val="00262755"/>
    <w:rsid w:val="00264557"/>
    <w:rsid w:val="002655B9"/>
    <w:rsid w:val="0026649A"/>
    <w:rsid w:val="00267050"/>
    <w:rsid w:val="00267FB4"/>
    <w:rsid w:val="00270293"/>
    <w:rsid w:val="0027129C"/>
    <w:rsid w:val="00272B43"/>
    <w:rsid w:val="0027584C"/>
    <w:rsid w:val="00276DB2"/>
    <w:rsid w:val="0027743F"/>
    <w:rsid w:val="002805AB"/>
    <w:rsid w:val="00282BB9"/>
    <w:rsid w:val="00284204"/>
    <w:rsid w:val="00286224"/>
    <w:rsid w:val="00286243"/>
    <w:rsid w:val="00286864"/>
    <w:rsid w:val="00287298"/>
    <w:rsid w:val="002908CE"/>
    <w:rsid w:val="002915F7"/>
    <w:rsid w:val="00291773"/>
    <w:rsid w:val="00292127"/>
    <w:rsid w:val="0029229D"/>
    <w:rsid w:val="002925F9"/>
    <w:rsid w:val="002942DF"/>
    <w:rsid w:val="002953D2"/>
    <w:rsid w:val="002956C3"/>
    <w:rsid w:val="00296FC8"/>
    <w:rsid w:val="00297655"/>
    <w:rsid w:val="002978B0"/>
    <w:rsid w:val="00297B95"/>
    <w:rsid w:val="002A0C0D"/>
    <w:rsid w:val="002A168C"/>
    <w:rsid w:val="002A2F32"/>
    <w:rsid w:val="002A3DC7"/>
    <w:rsid w:val="002A4594"/>
    <w:rsid w:val="002B1658"/>
    <w:rsid w:val="002B4188"/>
    <w:rsid w:val="002B49E2"/>
    <w:rsid w:val="002B56C5"/>
    <w:rsid w:val="002B63EF"/>
    <w:rsid w:val="002B6495"/>
    <w:rsid w:val="002B6964"/>
    <w:rsid w:val="002B6B23"/>
    <w:rsid w:val="002B6D23"/>
    <w:rsid w:val="002B7B00"/>
    <w:rsid w:val="002B7C44"/>
    <w:rsid w:val="002C1083"/>
    <w:rsid w:val="002C2B17"/>
    <w:rsid w:val="002C3956"/>
    <w:rsid w:val="002C6873"/>
    <w:rsid w:val="002C6B4B"/>
    <w:rsid w:val="002C722C"/>
    <w:rsid w:val="002D0B07"/>
    <w:rsid w:val="002D3ABF"/>
    <w:rsid w:val="002D3DD0"/>
    <w:rsid w:val="002D53A3"/>
    <w:rsid w:val="002E1F3A"/>
    <w:rsid w:val="002E1F72"/>
    <w:rsid w:val="002E23D0"/>
    <w:rsid w:val="002E298A"/>
    <w:rsid w:val="002E40A4"/>
    <w:rsid w:val="002E4298"/>
    <w:rsid w:val="002E5C84"/>
    <w:rsid w:val="002E6DCD"/>
    <w:rsid w:val="002F114B"/>
    <w:rsid w:val="002F157E"/>
    <w:rsid w:val="002F2666"/>
    <w:rsid w:val="002F4536"/>
    <w:rsid w:val="002F6190"/>
    <w:rsid w:val="002F631B"/>
    <w:rsid w:val="00301978"/>
    <w:rsid w:val="00301D3C"/>
    <w:rsid w:val="00301F2D"/>
    <w:rsid w:val="00301FC5"/>
    <w:rsid w:val="00302523"/>
    <w:rsid w:val="0030332C"/>
    <w:rsid w:val="00304509"/>
    <w:rsid w:val="003051C2"/>
    <w:rsid w:val="00305646"/>
    <w:rsid w:val="0030584C"/>
    <w:rsid w:val="00310013"/>
    <w:rsid w:val="00310883"/>
    <w:rsid w:val="00311C18"/>
    <w:rsid w:val="00312296"/>
    <w:rsid w:val="0031323C"/>
    <w:rsid w:val="00313AF0"/>
    <w:rsid w:val="00314348"/>
    <w:rsid w:val="00314BA0"/>
    <w:rsid w:val="00314F0E"/>
    <w:rsid w:val="0031538A"/>
    <w:rsid w:val="00317FF6"/>
    <w:rsid w:val="00321D8E"/>
    <w:rsid w:val="0032209F"/>
    <w:rsid w:val="003246E9"/>
    <w:rsid w:val="00325928"/>
    <w:rsid w:val="00332863"/>
    <w:rsid w:val="00333A2A"/>
    <w:rsid w:val="00333E52"/>
    <w:rsid w:val="003346D1"/>
    <w:rsid w:val="00334DD9"/>
    <w:rsid w:val="00336532"/>
    <w:rsid w:val="0033684D"/>
    <w:rsid w:val="00337B42"/>
    <w:rsid w:val="00340356"/>
    <w:rsid w:val="00341B42"/>
    <w:rsid w:val="00342EF7"/>
    <w:rsid w:val="0034348F"/>
    <w:rsid w:val="003441D3"/>
    <w:rsid w:val="00344E62"/>
    <w:rsid w:val="00345F68"/>
    <w:rsid w:val="0034657E"/>
    <w:rsid w:val="003479FF"/>
    <w:rsid w:val="0035006D"/>
    <w:rsid w:val="0035426A"/>
    <w:rsid w:val="00356419"/>
    <w:rsid w:val="00356653"/>
    <w:rsid w:val="00356738"/>
    <w:rsid w:val="0035677C"/>
    <w:rsid w:val="0035743F"/>
    <w:rsid w:val="00357BE2"/>
    <w:rsid w:val="00360548"/>
    <w:rsid w:val="0036170C"/>
    <w:rsid w:val="0036436D"/>
    <w:rsid w:val="003650B8"/>
    <w:rsid w:val="00365DE0"/>
    <w:rsid w:val="003660BA"/>
    <w:rsid w:val="00366E0F"/>
    <w:rsid w:val="0037093A"/>
    <w:rsid w:val="0037188E"/>
    <w:rsid w:val="00371BED"/>
    <w:rsid w:val="00372779"/>
    <w:rsid w:val="00372EED"/>
    <w:rsid w:val="00374137"/>
    <w:rsid w:val="00374504"/>
    <w:rsid w:val="003752FC"/>
    <w:rsid w:val="0038187D"/>
    <w:rsid w:val="00381A72"/>
    <w:rsid w:val="00382D53"/>
    <w:rsid w:val="00383143"/>
    <w:rsid w:val="00384676"/>
    <w:rsid w:val="00385DBA"/>
    <w:rsid w:val="00385E0C"/>
    <w:rsid w:val="00390857"/>
    <w:rsid w:val="00391151"/>
    <w:rsid w:val="00391B15"/>
    <w:rsid w:val="00393593"/>
    <w:rsid w:val="0039433E"/>
    <w:rsid w:val="00395CF8"/>
    <w:rsid w:val="00396A50"/>
    <w:rsid w:val="00397766"/>
    <w:rsid w:val="00397885"/>
    <w:rsid w:val="003A1C65"/>
    <w:rsid w:val="003A3009"/>
    <w:rsid w:val="003A4BF3"/>
    <w:rsid w:val="003A6A1A"/>
    <w:rsid w:val="003A77A5"/>
    <w:rsid w:val="003A78A5"/>
    <w:rsid w:val="003B1A09"/>
    <w:rsid w:val="003B420D"/>
    <w:rsid w:val="003B576E"/>
    <w:rsid w:val="003B6897"/>
    <w:rsid w:val="003B6F52"/>
    <w:rsid w:val="003B7E24"/>
    <w:rsid w:val="003B7EE1"/>
    <w:rsid w:val="003C2679"/>
    <w:rsid w:val="003C2CB1"/>
    <w:rsid w:val="003C3301"/>
    <w:rsid w:val="003C524E"/>
    <w:rsid w:val="003C656D"/>
    <w:rsid w:val="003C682F"/>
    <w:rsid w:val="003C6C16"/>
    <w:rsid w:val="003D2B85"/>
    <w:rsid w:val="003D2F4B"/>
    <w:rsid w:val="003D31CE"/>
    <w:rsid w:val="003D67D0"/>
    <w:rsid w:val="003D794D"/>
    <w:rsid w:val="003E01C2"/>
    <w:rsid w:val="003E0340"/>
    <w:rsid w:val="003E1043"/>
    <w:rsid w:val="003E26BB"/>
    <w:rsid w:val="003E3058"/>
    <w:rsid w:val="003E40E7"/>
    <w:rsid w:val="003E453E"/>
    <w:rsid w:val="003E54FF"/>
    <w:rsid w:val="003E616D"/>
    <w:rsid w:val="003E64FE"/>
    <w:rsid w:val="003E76A9"/>
    <w:rsid w:val="003F03F3"/>
    <w:rsid w:val="003F0809"/>
    <w:rsid w:val="003F10E1"/>
    <w:rsid w:val="003F1C34"/>
    <w:rsid w:val="003F2034"/>
    <w:rsid w:val="003F2192"/>
    <w:rsid w:val="003F24AE"/>
    <w:rsid w:val="003F2FFF"/>
    <w:rsid w:val="003F43E9"/>
    <w:rsid w:val="003F49F0"/>
    <w:rsid w:val="003F4B39"/>
    <w:rsid w:val="003F6A8C"/>
    <w:rsid w:val="003F755C"/>
    <w:rsid w:val="004004C4"/>
    <w:rsid w:val="004006EF"/>
    <w:rsid w:val="00406CB6"/>
    <w:rsid w:val="00406F01"/>
    <w:rsid w:val="00407758"/>
    <w:rsid w:val="00407DF6"/>
    <w:rsid w:val="00410F19"/>
    <w:rsid w:val="0041252D"/>
    <w:rsid w:val="00412FAC"/>
    <w:rsid w:val="004134CD"/>
    <w:rsid w:val="00413ECC"/>
    <w:rsid w:val="00416B2E"/>
    <w:rsid w:val="00416D50"/>
    <w:rsid w:val="00416FD5"/>
    <w:rsid w:val="004173CB"/>
    <w:rsid w:val="00417772"/>
    <w:rsid w:val="00420E6A"/>
    <w:rsid w:val="00421BEA"/>
    <w:rsid w:val="00423B16"/>
    <w:rsid w:val="004246F4"/>
    <w:rsid w:val="00425995"/>
    <w:rsid w:val="00425A9E"/>
    <w:rsid w:val="0042642B"/>
    <w:rsid w:val="00426D57"/>
    <w:rsid w:val="00426D6B"/>
    <w:rsid w:val="00427822"/>
    <w:rsid w:val="0043058F"/>
    <w:rsid w:val="004305C3"/>
    <w:rsid w:val="004305C5"/>
    <w:rsid w:val="0043190A"/>
    <w:rsid w:val="00431E6C"/>
    <w:rsid w:val="00432ED1"/>
    <w:rsid w:val="004333C0"/>
    <w:rsid w:val="00433CE7"/>
    <w:rsid w:val="0043699C"/>
    <w:rsid w:val="004369D6"/>
    <w:rsid w:val="00437F69"/>
    <w:rsid w:val="0044099A"/>
    <w:rsid w:val="00440F50"/>
    <w:rsid w:val="0044131C"/>
    <w:rsid w:val="004474AB"/>
    <w:rsid w:val="0044770D"/>
    <w:rsid w:val="00447FAF"/>
    <w:rsid w:val="00450292"/>
    <w:rsid w:val="00451010"/>
    <w:rsid w:val="00452738"/>
    <w:rsid w:val="004547C8"/>
    <w:rsid w:val="004558DC"/>
    <w:rsid w:val="00455994"/>
    <w:rsid w:val="00455A99"/>
    <w:rsid w:val="00455D23"/>
    <w:rsid w:val="00456091"/>
    <w:rsid w:val="004560D4"/>
    <w:rsid w:val="00456359"/>
    <w:rsid w:val="00456FDA"/>
    <w:rsid w:val="004575BE"/>
    <w:rsid w:val="004602D8"/>
    <w:rsid w:val="00461FCF"/>
    <w:rsid w:val="00466321"/>
    <w:rsid w:val="0047054B"/>
    <w:rsid w:val="00470D3C"/>
    <w:rsid w:val="00470DDD"/>
    <w:rsid w:val="0047271B"/>
    <w:rsid w:val="00472BEA"/>
    <w:rsid w:val="004746FD"/>
    <w:rsid w:val="00474F81"/>
    <w:rsid w:val="0047602C"/>
    <w:rsid w:val="00476322"/>
    <w:rsid w:val="004779BA"/>
    <w:rsid w:val="00480695"/>
    <w:rsid w:val="00483989"/>
    <w:rsid w:val="00483B39"/>
    <w:rsid w:val="004843CB"/>
    <w:rsid w:val="00484B9B"/>
    <w:rsid w:val="004855F6"/>
    <w:rsid w:val="0048661E"/>
    <w:rsid w:val="0049045A"/>
    <w:rsid w:val="0049161A"/>
    <w:rsid w:val="00492190"/>
    <w:rsid w:val="00492C23"/>
    <w:rsid w:val="0049361C"/>
    <w:rsid w:val="004937A8"/>
    <w:rsid w:val="004938A1"/>
    <w:rsid w:val="0049415A"/>
    <w:rsid w:val="00494670"/>
    <w:rsid w:val="00494747"/>
    <w:rsid w:val="0049601B"/>
    <w:rsid w:val="004961C9"/>
    <w:rsid w:val="00496327"/>
    <w:rsid w:val="004A05D7"/>
    <w:rsid w:val="004A0E4C"/>
    <w:rsid w:val="004A0F8B"/>
    <w:rsid w:val="004A1E53"/>
    <w:rsid w:val="004A3502"/>
    <w:rsid w:val="004A3823"/>
    <w:rsid w:val="004A534F"/>
    <w:rsid w:val="004A6FBB"/>
    <w:rsid w:val="004B17DE"/>
    <w:rsid w:val="004B5CEA"/>
    <w:rsid w:val="004B6CEE"/>
    <w:rsid w:val="004B6E81"/>
    <w:rsid w:val="004B736A"/>
    <w:rsid w:val="004B7C16"/>
    <w:rsid w:val="004C075B"/>
    <w:rsid w:val="004C2759"/>
    <w:rsid w:val="004C45C5"/>
    <w:rsid w:val="004C4E76"/>
    <w:rsid w:val="004D07D7"/>
    <w:rsid w:val="004D0EAE"/>
    <w:rsid w:val="004D116D"/>
    <w:rsid w:val="004D4A52"/>
    <w:rsid w:val="004E02DE"/>
    <w:rsid w:val="004E0FDB"/>
    <w:rsid w:val="004E6946"/>
    <w:rsid w:val="004E7787"/>
    <w:rsid w:val="004E7EEE"/>
    <w:rsid w:val="004F024C"/>
    <w:rsid w:val="004F1332"/>
    <w:rsid w:val="004F1AD8"/>
    <w:rsid w:val="004F1BFD"/>
    <w:rsid w:val="004F2C1A"/>
    <w:rsid w:val="004F3082"/>
    <w:rsid w:val="004F5F1D"/>
    <w:rsid w:val="004F7A43"/>
    <w:rsid w:val="0050023D"/>
    <w:rsid w:val="005013CA"/>
    <w:rsid w:val="00502863"/>
    <w:rsid w:val="005039CB"/>
    <w:rsid w:val="00504C29"/>
    <w:rsid w:val="00504CB9"/>
    <w:rsid w:val="0050558F"/>
    <w:rsid w:val="00505687"/>
    <w:rsid w:val="00506286"/>
    <w:rsid w:val="00506F65"/>
    <w:rsid w:val="00510813"/>
    <w:rsid w:val="00510F75"/>
    <w:rsid w:val="00511990"/>
    <w:rsid w:val="00511DE0"/>
    <w:rsid w:val="005120F9"/>
    <w:rsid w:val="0051454D"/>
    <w:rsid w:val="00514870"/>
    <w:rsid w:val="00514984"/>
    <w:rsid w:val="00514B9B"/>
    <w:rsid w:val="00517921"/>
    <w:rsid w:val="00517F02"/>
    <w:rsid w:val="00520D2D"/>
    <w:rsid w:val="00521CAD"/>
    <w:rsid w:val="00522102"/>
    <w:rsid w:val="005225DD"/>
    <w:rsid w:val="00524303"/>
    <w:rsid w:val="005258A2"/>
    <w:rsid w:val="00527CDD"/>
    <w:rsid w:val="005322BE"/>
    <w:rsid w:val="005332F2"/>
    <w:rsid w:val="00533B12"/>
    <w:rsid w:val="00537161"/>
    <w:rsid w:val="005375DF"/>
    <w:rsid w:val="005401AE"/>
    <w:rsid w:val="00541317"/>
    <w:rsid w:val="00542E07"/>
    <w:rsid w:val="00545424"/>
    <w:rsid w:val="00545D0C"/>
    <w:rsid w:val="00545E85"/>
    <w:rsid w:val="005502CF"/>
    <w:rsid w:val="00554A7B"/>
    <w:rsid w:val="0055572C"/>
    <w:rsid w:val="00555F4F"/>
    <w:rsid w:val="0056106A"/>
    <w:rsid w:val="005614BD"/>
    <w:rsid w:val="00562758"/>
    <w:rsid w:val="00562843"/>
    <w:rsid w:val="00563C3F"/>
    <w:rsid w:val="00564206"/>
    <w:rsid w:val="00571105"/>
    <w:rsid w:val="005720AE"/>
    <w:rsid w:val="00572276"/>
    <w:rsid w:val="0057564B"/>
    <w:rsid w:val="00575662"/>
    <w:rsid w:val="005771E6"/>
    <w:rsid w:val="00582C24"/>
    <w:rsid w:val="00582DBD"/>
    <w:rsid w:val="005839E3"/>
    <w:rsid w:val="00586F9C"/>
    <w:rsid w:val="005901C8"/>
    <w:rsid w:val="005901DE"/>
    <w:rsid w:val="005921FB"/>
    <w:rsid w:val="00594D77"/>
    <w:rsid w:val="00595075"/>
    <w:rsid w:val="005957A6"/>
    <w:rsid w:val="005965D8"/>
    <w:rsid w:val="005969E4"/>
    <w:rsid w:val="005A06B7"/>
    <w:rsid w:val="005A09AC"/>
    <w:rsid w:val="005A1759"/>
    <w:rsid w:val="005A2924"/>
    <w:rsid w:val="005A5419"/>
    <w:rsid w:val="005A68A7"/>
    <w:rsid w:val="005A7B69"/>
    <w:rsid w:val="005B111B"/>
    <w:rsid w:val="005B16C6"/>
    <w:rsid w:val="005B388F"/>
    <w:rsid w:val="005B4CC4"/>
    <w:rsid w:val="005B51DF"/>
    <w:rsid w:val="005B7E8F"/>
    <w:rsid w:val="005C06E9"/>
    <w:rsid w:val="005C103B"/>
    <w:rsid w:val="005C1517"/>
    <w:rsid w:val="005C1580"/>
    <w:rsid w:val="005C3EA0"/>
    <w:rsid w:val="005C636A"/>
    <w:rsid w:val="005D15E4"/>
    <w:rsid w:val="005D2B04"/>
    <w:rsid w:val="005D36AB"/>
    <w:rsid w:val="005D4ECB"/>
    <w:rsid w:val="005D6120"/>
    <w:rsid w:val="005D65F3"/>
    <w:rsid w:val="005D6B97"/>
    <w:rsid w:val="005E123E"/>
    <w:rsid w:val="005E2D62"/>
    <w:rsid w:val="005E3715"/>
    <w:rsid w:val="005E4274"/>
    <w:rsid w:val="005F1AC6"/>
    <w:rsid w:val="005F22BC"/>
    <w:rsid w:val="00600593"/>
    <w:rsid w:val="00600726"/>
    <w:rsid w:val="00600847"/>
    <w:rsid w:val="00602D90"/>
    <w:rsid w:val="00604355"/>
    <w:rsid w:val="006047C2"/>
    <w:rsid w:val="006077DC"/>
    <w:rsid w:val="00612208"/>
    <w:rsid w:val="006171BA"/>
    <w:rsid w:val="00617511"/>
    <w:rsid w:val="00617CBF"/>
    <w:rsid w:val="00617CC3"/>
    <w:rsid w:val="006205FE"/>
    <w:rsid w:val="00620A17"/>
    <w:rsid w:val="006216F3"/>
    <w:rsid w:val="00621EF5"/>
    <w:rsid w:val="00622020"/>
    <w:rsid w:val="006236D8"/>
    <w:rsid w:val="0062418D"/>
    <w:rsid w:val="00625527"/>
    <w:rsid w:val="00625719"/>
    <w:rsid w:val="006260FD"/>
    <w:rsid w:val="00626445"/>
    <w:rsid w:val="0063031E"/>
    <w:rsid w:val="00632FA7"/>
    <w:rsid w:val="0063372F"/>
    <w:rsid w:val="00634EE9"/>
    <w:rsid w:val="0063561E"/>
    <w:rsid w:val="00636392"/>
    <w:rsid w:val="006377A6"/>
    <w:rsid w:val="00637A3D"/>
    <w:rsid w:val="00637C21"/>
    <w:rsid w:val="00640790"/>
    <w:rsid w:val="006411EF"/>
    <w:rsid w:val="00645FA5"/>
    <w:rsid w:val="00646318"/>
    <w:rsid w:val="006506DE"/>
    <w:rsid w:val="00650957"/>
    <w:rsid w:val="006532BD"/>
    <w:rsid w:val="0065383A"/>
    <w:rsid w:val="00653B0F"/>
    <w:rsid w:val="00655BFB"/>
    <w:rsid w:val="00656C45"/>
    <w:rsid w:val="00657237"/>
    <w:rsid w:val="00660365"/>
    <w:rsid w:val="006604E3"/>
    <w:rsid w:val="00660F89"/>
    <w:rsid w:val="00661175"/>
    <w:rsid w:val="00661787"/>
    <w:rsid w:val="00662F66"/>
    <w:rsid w:val="0066580F"/>
    <w:rsid w:val="00666F73"/>
    <w:rsid w:val="0066798A"/>
    <w:rsid w:val="00671DAD"/>
    <w:rsid w:val="00672A13"/>
    <w:rsid w:val="0067309C"/>
    <w:rsid w:val="006748B8"/>
    <w:rsid w:val="00676B7C"/>
    <w:rsid w:val="006775C3"/>
    <w:rsid w:val="00677719"/>
    <w:rsid w:val="00680DED"/>
    <w:rsid w:val="00681C0C"/>
    <w:rsid w:val="006834C4"/>
    <w:rsid w:val="00685EE2"/>
    <w:rsid w:val="0068615C"/>
    <w:rsid w:val="006861F1"/>
    <w:rsid w:val="006913E2"/>
    <w:rsid w:val="006918C4"/>
    <w:rsid w:val="0069290A"/>
    <w:rsid w:val="00692C5B"/>
    <w:rsid w:val="00695ADD"/>
    <w:rsid w:val="0069723E"/>
    <w:rsid w:val="0069775A"/>
    <w:rsid w:val="00697813"/>
    <w:rsid w:val="006A00CC"/>
    <w:rsid w:val="006A0470"/>
    <w:rsid w:val="006A3435"/>
    <w:rsid w:val="006A3EE8"/>
    <w:rsid w:val="006A3FE7"/>
    <w:rsid w:val="006A6FEB"/>
    <w:rsid w:val="006A7042"/>
    <w:rsid w:val="006A72BF"/>
    <w:rsid w:val="006B03F2"/>
    <w:rsid w:val="006B070B"/>
    <w:rsid w:val="006B2918"/>
    <w:rsid w:val="006B37DC"/>
    <w:rsid w:val="006B3C61"/>
    <w:rsid w:val="006B4F68"/>
    <w:rsid w:val="006B52E0"/>
    <w:rsid w:val="006B5B05"/>
    <w:rsid w:val="006B5B99"/>
    <w:rsid w:val="006B6346"/>
    <w:rsid w:val="006B67A5"/>
    <w:rsid w:val="006B69A0"/>
    <w:rsid w:val="006B6B01"/>
    <w:rsid w:val="006C0592"/>
    <w:rsid w:val="006C0EF8"/>
    <w:rsid w:val="006C272E"/>
    <w:rsid w:val="006C35B0"/>
    <w:rsid w:val="006C36EE"/>
    <w:rsid w:val="006C3894"/>
    <w:rsid w:val="006C398C"/>
    <w:rsid w:val="006C4557"/>
    <w:rsid w:val="006C5479"/>
    <w:rsid w:val="006C73F7"/>
    <w:rsid w:val="006D09B4"/>
    <w:rsid w:val="006D13B5"/>
    <w:rsid w:val="006D1884"/>
    <w:rsid w:val="006D1F41"/>
    <w:rsid w:val="006D2D5E"/>
    <w:rsid w:val="006D31AB"/>
    <w:rsid w:val="006D39CD"/>
    <w:rsid w:val="006D5E2E"/>
    <w:rsid w:val="006E0CE7"/>
    <w:rsid w:val="006E0F2D"/>
    <w:rsid w:val="006E12FF"/>
    <w:rsid w:val="006E1CD1"/>
    <w:rsid w:val="006E2F4F"/>
    <w:rsid w:val="006E3C36"/>
    <w:rsid w:val="006E5ADB"/>
    <w:rsid w:val="006E607E"/>
    <w:rsid w:val="006E68F7"/>
    <w:rsid w:val="006E7369"/>
    <w:rsid w:val="006E7848"/>
    <w:rsid w:val="006F0293"/>
    <w:rsid w:val="006F1F73"/>
    <w:rsid w:val="006F2BCC"/>
    <w:rsid w:val="006F3EE8"/>
    <w:rsid w:val="006F4B9E"/>
    <w:rsid w:val="00701E48"/>
    <w:rsid w:val="0070264F"/>
    <w:rsid w:val="00703280"/>
    <w:rsid w:val="00703F19"/>
    <w:rsid w:val="00705F3D"/>
    <w:rsid w:val="00706C5D"/>
    <w:rsid w:val="007078F1"/>
    <w:rsid w:val="00711615"/>
    <w:rsid w:val="0071161F"/>
    <w:rsid w:val="00715297"/>
    <w:rsid w:val="00715826"/>
    <w:rsid w:val="00717620"/>
    <w:rsid w:val="00717CBA"/>
    <w:rsid w:val="00720D52"/>
    <w:rsid w:val="00721548"/>
    <w:rsid w:val="00721696"/>
    <w:rsid w:val="007226E0"/>
    <w:rsid w:val="00724953"/>
    <w:rsid w:val="00730C0D"/>
    <w:rsid w:val="00731612"/>
    <w:rsid w:val="00732922"/>
    <w:rsid w:val="007359CC"/>
    <w:rsid w:val="007417A2"/>
    <w:rsid w:val="007417CC"/>
    <w:rsid w:val="0075049E"/>
    <w:rsid w:val="00750BF1"/>
    <w:rsid w:val="00750C20"/>
    <w:rsid w:val="0075104D"/>
    <w:rsid w:val="0075162E"/>
    <w:rsid w:val="007523A0"/>
    <w:rsid w:val="00753C6D"/>
    <w:rsid w:val="00753EC3"/>
    <w:rsid w:val="00754034"/>
    <w:rsid w:val="00754918"/>
    <w:rsid w:val="00755876"/>
    <w:rsid w:val="00756556"/>
    <w:rsid w:val="00760E7E"/>
    <w:rsid w:val="007618C4"/>
    <w:rsid w:val="007619DC"/>
    <w:rsid w:val="00764D3F"/>
    <w:rsid w:val="00765038"/>
    <w:rsid w:val="00765907"/>
    <w:rsid w:val="00766160"/>
    <w:rsid w:val="00766E58"/>
    <w:rsid w:val="007671E8"/>
    <w:rsid w:val="00767980"/>
    <w:rsid w:val="00767A9D"/>
    <w:rsid w:val="00770562"/>
    <w:rsid w:val="00770B19"/>
    <w:rsid w:val="00770F7C"/>
    <w:rsid w:val="007741EE"/>
    <w:rsid w:val="0077463F"/>
    <w:rsid w:val="00775C7F"/>
    <w:rsid w:val="00780206"/>
    <w:rsid w:val="007802DF"/>
    <w:rsid w:val="00780C7B"/>
    <w:rsid w:val="0078132D"/>
    <w:rsid w:val="00781A30"/>
    <w:rsid w:val="0078234C"/>
    <w:rsid w:val="007828A7"/>
    <w:rsid w:val="007836EA"/>
    <w:rsid w:val="00784CDA"/>
    <w:rsid w:val="007872D9"/>
    <w:rsid w:val="007906C4"/>
    <w:rsid w:val="00790C31"/>
    <w:rsid w:val="007912E5"/>
    <w:rsid w:val="0079292A"/>
    <w:rsid w:val="00793F95"/>
    <w:rsid w:val="007940EA"/>
    <w:rsid w:val="00795BDB"/>
    <w:rsid w:val="00795E98"/>
    <w:rsid w:val="00795FA9"/>
    <w:rsid w:val="007966D7"/>
    <w:rsid w:val="007967E8"/>
    <w:rsid w:val="007A0EAB"/>
    <w:rsid w:val="007A20BA"/>
    <w:rsid w:val="007A2170"/>
    <w:rsid w:val="007A22BF"/>
    <w:rsid w:val="007A2A0D"/>
    <w:rsid w:val="007A318B"/>
    <w:rsid w:val="007A3323"/>
    <w:rsid w:val="007A5570"/>
    <w:rsid w:val="007A6C8B"/>
    <w:rsid w:val="007A6FD9"/>
    <w:rsid w:val="007B1164"/>
    <w:rsid w:val="007B1330"/>
    <w:rsid w:val="007B1416"/>
    <w:rsid w:val="007B1DD8"/>
    <w:rsid w:val="007B348A"/>
    <w:rsid w:val="007B3531"/>
    <w:rsid w:val="007B5173"/>
    <w:rsid w:val="007B5D91"/>
    <w:rsid w:val="007B5E6C"/>
    <w:rsid w:val="007B62B4"/>
    <w:rsid w:val="007B72B8"/>
    <w:rsid w:val="007B7A58"/>
    <w:rsid w:val="007C1F24"/>
    <w:rsid w:val="007C21B5"/>
    <w:rsid w:val="007C3B5D"/>
    <w:rsid w:val="007C4E2C"/>
    <w:rsid w:val="007C7297"/>
    <w:rsid w:val="007C7C58"/>
    <w:rsid w:val="007D01DE"/>
    <w:rsid w:val="007D1A6E"/>
    <w:rsid w:val="007D1B1A"/>
    <w:rsid w:val="007E01E5"/>
    <w:rsid w:val="007E28BB"/>
    <w:rsid w:val="007E3971"/>
    <w:rsid w:val="007E40FA"/>
    <w:rsid w:val="007E4BD2"/>
    <w:rsid w:val="007F2BBB"/>
    <w:rsid w:val="007F3059"/>
    <w:rsid w:val="007F3857"/>
    <w:rsid w:val="007F56BA"/>
    <w:rsid w:val="007F56EC"/>
    <w:rsid w:val="007F5938"/>
    <w:rsid w:val="007F742E"/>
    <w:rsid w:val="007F7FDF"/>
    <w:rsid w:val="008011E2"/>
    <w:rsid w:val="00801393"/>
    <w:rsid w:val="00801F1F"/>
    <w:rsid w:val="0080252A"/>
    <w:rsid w:val="00802F88"/>
    <w:rsid w:val="008030CD"/>
    <w:rsid w:val="0080556B"/>
    <w:rsid w:val="008124B8"/>
    <w:rsid w:val="00812635"/>
    <w:rsid w:val="0081293E"/>
    <w:rsid w:val="00814D61"/>
    <w:rsid w:val="00815465"/>
    <w:rsid w:val="008168C9"/>
    <w:rsid w:val="0081748A"/>
    <w:rsid w:val="00817B6F"/>
    <w:rsid w:val="00817DE6"/>
    <w:rsid w:val="00817E9A"/>
    <w:rsid w:val="00817F5B"/>
    <w:rsid w:val="00820486"/>
    <w:rsid w:val="00820923"/>
    <w:rsid w:val="00824228"/>
    <w:rsid w:val="00825253"/>
    <w:rsid w:val="00826C8D"/>
    <w:rsid w:val="00826D2A"/>
    <w:rsid w:val="00827264"/>
    <w:rsid w:val="008306BD"/>
    <w:rsid w:val="0083190E"/>
    <w:rsid w:val="00831A80"/>
    <w:rsid w:val="00831F0B"/>
    <w:rsid w:val="008336C4"/>
    <w:rsid w:val="00833743"/>
    <w:rsid w:val="008340A4"/>
    <w:rsid w:val="0083459A"/>
    <w:rsid w:val="00834FCA"/>
    <w:rsid w:val="008351B3"/>
    <w:rsid w:val="008357BB"/>
    <w:rsid w:val="008361CD"/>
    <w:rsid w:val="00837805"/>
    <w:rsid w:val="008410D6"/>
    <w:rsid w:val="00841564"/>
    <w:rsid w:val="0084238C"/>
    <w:rsid w:val="00846409"/>
    <w:rsid w:val="00846E97"/>
    <w:rsid w:val="00847E24"/>
    <w:rsid w:val="0085021E"/>
    <w:rsid w:val="008532D2"/>
    <w:rsid w:val="00853AC7"/>
    <w:rsid w:val="008553CE"/>
    <w:rsid w:val="0085601D"/>
    <w:rsid w:val="00857940"/>
    <w:rsid w:val="00857B1E"/>
    <w:rsid w:val="008600BD"/>
    <w:rsid w:val="008601BD"/>
    <w:rsid w:val="00863068"/>
    <w:rsid w:val="00863774"/>
    <w:rsid w:val="008652AF"/>
    <w:rsid w:val="008658BA"/>
    <w:rsid w:val="008673D3"/>
    <w:rsid w:val="0087135F"/>
    <w:rsid w:val="0087163E"/>
    <w:rsid w:val="00872D94"/>
    <w:rsid w:val="00873FF9"/>
    <w:rsid w:val="00874D0F"/>
    <w:rsid w:val="00876767"/>
    <w:rsid w:val="00880364"/>
    <w:rsid w:val="008858B0"/>
    <w:rsid w:val="00886323"/>
    <w:rsid w:val="00886C54"/>
    <w:rsid w:val="008908BF"/>
    <w:rsid w:val="00890B22"/>
    <w:rsid w:val="00891592"/>
    <w:rsid w:val="00891E9E"/>
    <w:rsid w:val="008923F2"/>
    <w:rsid w:val="008A1D82"/>
    <w:rsid w:val="008A2EA2"/>
    <w:rsid w:val="008A2F68"/>
    <w:rsid w:val="008A53BB"/>
    <w:rsid w:val="008A55EB"/>
    <w:rsid w:val="008A5E68"/>
    <w:rsid w:val="008A5F80"/>
    <w:rsid w:val="008A768C"/>
    <w:rsid w:val="008A7B4F"/>
    <w:rsid w:val="008B44F5"/>
    <w:rsid w:val="008B4940"/>
    <w:rsid w:val="008B4FA6"/>
    <w:rsid w:val="008B5282"/>
    <w:rsid w:val="008B6252"/>
    <w:rsid w:val="008B65B0"/>
    <w:rsid w:val="008B7A46"/>
    <w:rsid w:val="008B7C17"/>
    <w:rsid w:val="008C1757"/>
    <w:rsid w:val="008C2D01"/>
    <w:rsid w:val="008C38EE"/>
    <w:rsid w:val="008C40E6"/>
    <w:rsid w:val="008C48B6"/>
    <w:rsid w:val="008C4E74"/>
    <w:rsid w:val="008C7865"/>
    <w:rsid w:val="008D0B91"/>
    <w:rsid w:val="008D0F7A"/>
    <w:rsid w:val="008D6775"/>
    <w:rsid w:val="008D68E4"/>
    <w:rsid w:val="008D7454"/>
    <w:rsid w:val="008D7890"/>
    <w:rsid w:val="008D7AED"/>
    <w:rsid w:val="008D7CD9"/>
    <w:rsid w:val="008E0506"/>
    <w:rsid w:val="008E0CFF"/>
    <w:rsid w:val="008E1A82"/>
    <w:rsid w:val="008E2B93"/>
    <w:rsid w:val="008E382C"/>
    <w:rsid w:val="008E5D6B"/>
    <w:rsid w:val="008E5DC4"/>
    <w:rsid w:val="008E6678"/>
    <w:rsid w:val="008E6AE4"/>
    <w:rsid w:val="008E76F0"/>
    <w:rsid w:val="008F15FE"/>
    <w:rsid w:val="008F270E"/>
    <w:rsid w:val="008F2D29"/>
    <w:rsid w:val="008F41CA"/>
    <w:rsid w:val="008F5187"/>
    <w:rsid w:val="008F5322"/>
    <w:rsid w:val="008F60D8"/>
    <w:rsid w:val="008F6C8A"/>
    <w:rsid w:val="0090164A"/>
    <w:rsid w:val="00902727"/>
    <w:rsid w:val="00902956"/>
    <w:rsid w:val="0090312B"/>
    <w:rsid w:val="00904028"/>
    <w:rsid w:val="009062BE"/>
    <w:rsid w:val="0090686D"/>
    <w:rsid w:val="009108E2"/>
    <w:rsid w:val="009126EC"/>
    <w:rsid w:val="00913B50"/>
    <w:rsid w:val="00914733"/>
    <w:rsid w:val="00914E3F"/>
    <w:rsid w:val="00915655"/>
    <w:rsid w:val="00915FC9"/>
    <w:rsid w:val="0091703F"/>
    <w:rsid w:val="0091736D"/>
    <w:rsid w:val="00922234"/>
    <w:rsid w:val="0092239B"/>
    <w:rsid w:val="009230CD"/>
    <w:rsid w:val="0093037A"/>
    <w:rsid w:val="00933ADC"/>
    <w:rsid w:val="009340FE"/>
    <w:rsid w:val="0093468C"/>
    <w:rsid w:val="0093577F"/>
    <w:rsid w:val="009360AF"/>
    <w:rsid w:val="0094015E"/>
    <w:rsid w:val="0094154D"/>
    <w:rsid w:val="00941DF2"/>
    <w:rsid w:val="009427B6"/>
    <w:rsid w:val="00942C8C"/>
    <w:rsid w:val="00942F76"/>
    <w:rsid w:val="0094396E"/>
    <w:rsid w:val="009475A8"/>
    <w:rsid w:val="0094797F"/>
    <w:rsid w:val="0095155F"/>
    <w:rsid w:val="009515AC"/>
    <w:rsid w:val="0095287B"/>
    <w:rsid w:val="00952BDD"/>
    <w:rsid w:val="00953B28"/>
    <w:rsid w:val="00954429"/>
    <w:rsid w:val="00955D7B"/>
    <w:rsid w:val="009563CE"/>
    <w:rsid w:val="009601C9"/>
    <w:rsid w:val="009603E3"/>
    <w:rsid w:val="00963417"/>
    <w:rsid w:val="00964532"/>
    <w:rsid w:val="009653F5"/>
    <w:rsid w:val="00965F59"/>
    <w:rsid w:val="009667D1"/>
    <w:rsid w:val="00967EDA"/>
    <w:rsid w:val="009715D8"/>
    <w:rsid w:val="009743C8"/>
    <w:rsid w:val="00974E37"/>
    <w:rsid w:val="00975A6A"/>
    <w:rsid w:val="00976328"/>
    <w:rsid w:val="0097680D"/>
    <w:rsid w:val="00977EDA"/>
    <w:rsid w:val="00982438"/>
    <w:rsid w:val="0098404C"/>
    <w:rsid w:val="00985283"/>
    <w:rsid w:val="00985477"/>
    <w:rsid w:val="00985F48"/>
    <w:rsid w:val="00987222"/>
    <w:rsid w:val="0099078F"/>
    <w:rsid w:val="00991CFD"/>
    <w:rsid w:val="00992BED"/>
    <w:rsid w:val="00995366"/>
    <w:rsid w:val="00995992"/>
    <w:rsid w:val="00996418"/>
    <w:rsid w:val="009A03E5"/>
    <w:rsid w:val="009A0F3B"/>
    <w:rsid w:val="009A1BB4"/>
    <w:rsid w:val="009A2628"/>
    <w:rsid w:val="009A2ACA"/>
    <w:rsid w:val="009A3200"/>
    <w:rsid w:val="009A4313"/>
    <w:rsid w:val="009A5BB9"/>
    <w:rsid w:val="009B02C2"/>
    <w:rsid w:val="009B0897"/>
    <w:rsid w:val="009B11C4"/>
    <w:rsid w:val="009B3E9C"/>
    <w:rsid w:val="009B4387"/>
    <w:rsid w:val="009B5500"/>
    <w:rsid w:val="009B6630"/>
    <w:rsid w:val="009B6FDB"/>
    <w:rsid w:val="009B7BD9"/>
    <w:rsid w:val="009C173E"/>
    <w:rsid w:val="009C33AC"/>
    <w:rsid w:val="009C36DE"/>
    <w:rsid w:val="009C54AC"/>
    <w:rsid w:val="009C581E"/>
    <w:rsid w:val="009C7549"/>
    <w:rsid w:val="009C7DD5"/>
    <w:rsid w:val="009D081A"/>
    <w:rsid w:val="009D13A7"/>
    <w:rsid w:val="009D143E"/>
    <w:rsid w:val="009D1EF9"/>
    <w:rsid w:val="009D3695"/>
    <w:rsid w:val="009D4873"/>
    <w:rsid w:val="009D4DD6"/>
    <w:rsid w:val="009D55CC"/>
    <w:rsid w:val="009D794B"/>
    <w:rsid w:val="009E04E3"/>
    <w:rsid w:val="009E227D"/>
    <w:rsid w:val="009E5019"/>
    <w:rsid w:val="009E768B"/>
    <w:rsid w:val="009F04FA"/>
    <w:rsid w:val="009F09C0"/>
    <w:rsid w:val="009F0AF2"/>
    <w:rsid w:val="009F1B31"/>
    <w:rsid w:val="009F44A9"/>
    <w:rsid w:val="009F4E52"/>
    <w:rsid w:val="009F6D89"/>
    <w:rsid w:val="009F76EB"/>
    <w:rsid w:val="00A01ECA"/>
    <w:rsid w:val="00A0308B"/>
    <w:rsid w:val="00A0391B"/>
    <w:rsid w:val="00A04A51"/>
    <w:rsid w:val="00A04F1B"/>
    <w:rsid w:val="00A04FE2"/>
    <w:rsid w:val="00A0501B"/>
    <w:rsid w:val="00A06AEE"/>
    <w:rsid w:val="00A115E4"/>
    <w:rsid w:val="00A119E4"/>
    <w:rsid w:val="00A12CE3"/>
    <w:rsid w:val="00A143B2"/>
    <w:rsid w:val="00A14947"/>
    <w:rsid w:val="00A149D9"/>
    <w:rsid w:val="00A14D40"/>
    <w:rsid w:val="00A14F7C"/>
    <w:rsid w:val="00A15A54"/>
    <w:rsid w:val="00A16586"/>
    <w:rsid w:val="00A16DF1"/>
    <w:rsid w:val="00A17B3E"/>
    <w:rsid w:val="00A2090C"/>
    <w:rsid w:val="00A2099E"/>
    <w:rsid w:val="00A213F0"/>
    <w:rsid w:val="00A2309F"/>
    <w:rsid w:val="00A236AC"/>
    <w:rsid w:val="00A23F10"/>
    <w:rsid w:val="00A25F8F"/>
    <w:rsid w:val="00A315CC"/>
    <w:rsid w:val="00A32A7E"/>
    <w:rsid w:val="00A32A83"/>
    <w:rsid w:val="00A33EF5"/>
    <w:rsid w:val="00A33F27"/>
    <w:rsid w:val="00A3405F"/>
    <w:rsid w:val="00A368DB"/>
    <w:rsid w:val="00A37CEE"/>
    <w:rsid w:val="00A405C1"/>
    <w:rsid w:val="00A419B7"/>
    <w:rsid w:val="00A423AA"/>
    <w:rsid w:val="00A45AA2"/>
    <w:rsid w:val="00A46216"/>
    <w:rsid w:val="00A47AA4"/>
    <w:rsid w:val="00A505E6"/>
    <w:rsid w:val="00A515FD"/>
    <w:rsid w:val="00A53EC6"/>
    <w:rsid w:val="00A55C0F"/>
    <w:rsid w:val="00A560E9"/>
    <w:rsid w:val="00A57AA0"/>
    <w:rsid w:val="00A60C58"/>
    <w:rsid w:val="00A61CF9"/>
    <w:rsid w:val="00A61E02"/>
    <w:rsid w:val="00A61E7B"/>
    <w:rsid w:val="00A63C9A"/>
    <w:rsid w:val="00A647BF"/>
    <w:rsid w:val="00A660D1"/>
    <w:rsid w:val="00A6786E"/>
    <w:rsid w:val="00A7057F"/>
    <w:rsid w:val="00A71894"/>
    <w:rsid w:val="00A73CEA"/>
    <w:rsid w:val="00A751F4"/>
    <w:rsid w:val="00A7538F"/>
    <w:rsid w:val="00A7577F"/>
    <w:rsid w:val="00A76BAB"/>
    <w:rsid w:val="00A813CC"/>
    <w:rsid w:val="00A82A3C"/>
    <w:rsid w:val="00A84B3D"/>
    <w:rsid w:val="00A86D29"/>
    <w:rsid w:val="00A8713F"/>
    <w:rsid w:val="00A90142"/>
    <w:rsid w:val="00A907B7"/>
    <w:rsid w:val="00A90BA1"/>
    <w:rsid w:val="00A9495D"/>
    <w:rsid w:val="00A97A9A"/>
    <w:rsid w:val="00AA0671"/>
    <w:rsid w:val="00AA2531"/>
    <w:rsid w:val="00AA42C5"/>
    <w:rsid w:val="00AA480F"/>
    <w:rsid w:val="00AA6630"/>
    <w:rsid w:val="00AB081D"/>
    <w:rsid w:val="00AB1E09"/>
    <w:rsid w:val="00AB245A"/>
    <w:rsid w:val="00AB4B4C"/>
    <w:rsid w:val="00AB5330"/>
    <w:rsid w:val="00AB5B8B"/>
    <w:rsid w:val="00AB7747"/>
    <w:rsid w:val="00AC14CE"/>
    <w:rsid w:val="00AC2A56"/>
    <w:rsid w:val="00AC47DB"/>
    <w:rsid w:val="00AC756C"/>
    <w:rsid w:val="00AD055E"/>
    <w:rsid w:val="00AD0A2F"/>
    <w:rsid w:val="00AD3FB0"/>
    <w:rsid w:val="00AD47A7"/>
    <w:rsid w:val="00AD5E1F"/>
    <w:rsid w:val="00AD61CB"/>
    <w:rsid w:val="00AE06D4"/>
    <w:rsid w:val="00AE0F11"/>
    <w:rsid w:val="00AE2952"/>
    <w:rsid w:val="00AE6DDF"/>
    <w:rsid w:val="00AF0BA0"/>
    <w:rsid w:val="00AF0CBF"/>
    <w:rsid w:val="00AF1C9A"/>
    <w:rsid w:val="00AF257F"/>
    <w:rsid w:val="00AF33CF"/>
    <w:rsid w:val="00AF4D50"/>
    <w:rsid w:val="00AF5DEC"/>
    <w:rsid w:val="00AF5FD8"/>
    <w:rsid w:val="00AF6179"/>
    <w:rsid w:val="00AF6EAA"/>
    <w:rsid w:val="00AF78AB"/>
    <w:rsid w:val="00B01CD9"/>
    <w:rsid w:val="00B03736"/>
    <w:rsid w:val="00B04DE5"/>
    <w:rsid w:val="00B05538"/>
    <w:rsid w:val="00B10545"/>
    <w:rsid w:val="00B12139"/>
    <w:rsid w:val="00B1295A"/>
    <w:rsid w:val="00B16844"/>
    <w:rsid w:val="00B16FF8"/>
    <w:rsid w:val="00B17A3D"/>
    <w:rsid w:val="00B20A45"/>
    <w:rsid w:val="00B20DF2"/>
    <w:rsid w:val="00B2135E"/>
    <w:rsid w:val="00B225BA"/>
    <w:rsid w:val="00B22C5C"/>
    <w:rsid w:val="00B24F30"/>
    <w:rsid w:val="00B31629"/>
    <w:rsid w:val="00B31ABF"/>
    <w:rsid w:val="00B31BB9"/>
    <w:rsid w:val="00B33BE3"/>
    <w:rsid w:val="00B353A6"/>
    <w:rsid w:val="00B35F0F"/>
    <w:rsid w:val="00B363F2"/>
    <w:rsid w:val="00B3680E"/>
    <w:rsid w:val="00B3725D"/>
    <w:rsid w:val="00B4048C"/>
    <w:rsid w:val="00B40D82"/>
    <w:rsid w:val="00B442A6"/>
    <w:rsid w:val="00B45C94"/>
    <w:rsid w:val="00B479B7"/>
    <w:rsid w:val="00B50F66"/>
    <w:rsid w:val="00B51176"/>
    <w:rsid w:val="00B51441"/>
    <w:rsid w:val="00B51929"/>
    <w:rsid w:val="00B53112"/>
    <w:rsid w:val="00B53B5D"/>
    <w:rsid w:val="00B57390"/>
    <w:rsid w:val="00B5759B"/>
    <w:rsid w:val="00B6055E"/>
    <w:rsid w:val="00B6317D"/>
    <w:rsid w:val="00B63D50"/>
    <w:rsid w:val="00B64217"/>
    <w:rsid w:val="00B6501A"/>
    <w:rsid w:val="00B65965"/>
    <w:rsid w:val="00B66715"/>
    <w:rsid w:val="00B66ED2"/>
    <w:rsid w:val="00B717C9"/>
    <w:rsid w:val="00B736EC"/>
    <w:rsid w:val="00B74D1E"/>
    <w:rsid w:val="00B7723F"/>
    <w:rsid w:val="00B80534"/>
    <w:rsid w:val="00B82B05"/>
    <w:rsid w:val="00B8433C"/>
    <w:rsid w:val="00B84E6C"/>
    <w:rsid w:val="00B856E3"/>
    <w:rsid w:val="00B85931"/>
    <w:rsid w:val="00B859F2"/>
    <w:rsid w:val="00B867E2"/>
    <w:rsid w:val="00B8687F"/>
    <w:rsid w:val="00B87491"/>
    <w:rsid w:val="00B8751F"/>
    <w:rsid w:val="00B87850"/>
    <w:rsid w:val="00B90CD6"/>
    <w:rsid w:val="00B917A9"/>
    <w:rsid w:val="00B9364B"/>
    <w:rsid w:val="00BA0192"/>
    <w:rsid w:val="00BA1434"/>
    <w:rsid w:val="00BA2735"/>
    <w:rsid w:val="00BA299D"/>
    <w:rsid w:val="00BA29E9"/>
    <w:rsid w:val="00BA2A9D"/>
    <w:rsid w:val="00BA695D"/>
    <w:rsid w:val="00BA7142"/>
    <w:rsid w:val="00BB237C"/>
    <w:rsid w:val="00BB2C03"/>
    <w:rsid w:val="00BB3577"/>
    <w:rsid w:val="00BB41A3"/>
    <w:rsid w:val="00BB4DB5"/>
    <w:rsid w:val="00BB5F8D"/>
    <w:rsid w:val="00BB7380"/>
    <w:rsid w:val="00BB7E39"/>
    <w:rsid w:val="00BC1D0B"/>
    <w:rsid w:val="00BC2D62"/>
    <w:rsid w:val="00BC32DC"/>
    <w:rsid w:val="00BC331B"/>
    <w:rsid w:val="00BC35B6"/>
    <w:rsid w:val="00BC3790"/>
    <w:rsid w:val="00BC3799"/>
    <w:rsid w:val="00BC38E7"/>
    <w:rsid w:val="00BD0DF5"/>
    <w:rsid w:val="00BD12F0"/>
    <w:rsid w:val="00BD1B51"/>
    <w:rsid w:val="00BD2C8E"/>
    <w:rsid w:val="00BD31F2"/>
    <w:rsid w:val="00BD3EBD"/>
    <w:rsid w:val="00BD4061"/>
    <w:rsid w:val="00BD41FD"/>
    <w:rsid w:val="00BD4596"/>
    <w:rsid w:val="00BD5BD9"/>
    <w:rsid w:val="00BD6E98"/>
    <w:rsid w:val="00BD72E4"/>
    <w:rsid w:val="00BD78DE"/>
    <w:rsid w:val="00BD7B7C"/>
    <w:rsid w:val="00BE1405"/>
    <w:rsid w:val="00BE26B7"/>
    <w:rsid w:val="00BE312D"/>
    <w:rsid w:val="00BE3962"/>
    <w:rsid w:val="00BE4801"/>
    <w:rsid w:val="00BE6CC6"/>
    <w:rsid w:val="00BF12D8"/>
    <w:rsid w:val="00BF1C20"/>
    <w:rsid w:val="00BF3DF4"/>
    <w:rsid w:val="00BF4320"/>
    <w:rsid w:val="00BF6075"/>
    <w:rsid w:val="00BF7277"/>
    <w:rsid w:val="00BF7802"/>
    <w:rsid w:val="00C04186"/>
    <w:rsid w:val="00C05B5B"/>
    <w:rsid w:val="00C05DC0"/>
    <w:rsid w:val="00C05DED"/>
    <w:rsid w:val="00C0600F"/>
    <w:rsid w:val="00C0738B"/>
    <w:rsid w:val="00C10578"/>
    <w:rsid w:val="00C105DD"/>
    <w:rsid w:val="00C11BE1"/>
    <w:rsid w:val="00C126C2"/>
    <w:rsid w:val="00C12D60"/>
    <w:rsid w:val="00C12DEE"/>
    <w:rsid w:val="00C135BC"/>
    <w:rsid w:val="00C148A0"/>
    <w:rsid w:val="00C15C95"/>
    <w:rsid w:val="00C1697E"/>
    <w:rsid w:val="00C232ED"/>
    <w:rsid w:val="00C256DF"/>
    <w:rsid w:val="00C2596A"/>
    <w:rsid w:val="00C25A53"/>
    <w:rsid w:val="00C27537"/>
    <w:rsid w:val="00C2783F"/>
    <w:rsid w:val="00C27CC2"/>
    <w:rsid w:val="00C31051"/>
    <w:rsid w:val="00C328FE"/>
    <w:rsid w:val="00C33507"/>
    <w:rsid w:val="00C35064"/>
    <w:rsid w:val="00C354C1"/>
    <w:rsid w:val="00C41F5C"/>
    <w:rsid w:val="00C42B94"/>
    <w:rsid w:val="00C42E40"/>
    <w:rsid w:val="00C4409D"/>
    <w:rsid w:val="00C44B8E"/>
    <w:rsid w:val="00C44E72"/>
    <w:rsid w:val="00C4516D"/>
    <w:rsid w:val="00C455F3"/>
    <w:rsid w:val="00C45A06"/>
    <w:rsid w:val="00C46104"/>
    <w:rsid w:val="00C47E5B"/>
    <w:rsid w:val="00C50265"/>
    <w:rsid w:val="00C5080C"/>
    <w:rsid w:val="00C50D3E"/>
    <w:rsid w:val="00C51E31"/>
    <w:rsid w:val="00C55F4D"/>
    <w:rsid w:val="00C567F9"/>
    <w:rsid w:val="00C56CEB"/>
    <w:rsid w:val="00C57B0B"/>
    <w:rsid w:val="00C61478"/>
    <w:rsid w:val="00C61E4B"/>
    <w:rsid w:val="00C62310"/>
    <w:rsid w:val="00C637D5"/>
    <w:rsid w:val="00C63A24"/>
    <w:rsid w:val="00C64A60"/>
    <w:rsid w:val="00C64BFF"/>
    <w:rsid w:val="00C662F7"/>
    <w:rsid w:val="00C667AD"/>
    <w:rsid w:val="00C70356"/>
    <w:rsid w:val="00C704E9"/>
    <w:rsid w:val="00C720FF"/>
    <w:rsid w:val="00C74224"/>
    <w:rsid w:val="00C742DE"/>
    <w:rsid w:val="00C74827"/>
    <w:rsid w:val="00C763C9"/>
    <w:rsid w:val="00C77176"/>
    <w:rsid w:val="00C774BB"/>
    <w:rsid w:val="00C77AA7"/>
    <w:rsid w:val="00C80057"/>
    <w:rsid w:val="00C80F37"/>
    <w:rsid w:val="00C812A4"/>
    <w:rsid w:val="00C81901"/>
    <w:rsid w:val="00C82232"/>
    <w:rsid w:val="00C822CF"/>
    <w:rsid w:val="00C82913"/>
    <w:rsid w:val="00C82EAE"/>
    <w:rsid w:val="00C858B0"/>
    <w:rsid w:val="00C85D32"/>
    <w:rsid w:val="00C87366"/>
    <w:rsid w:val="00C874E6"/>
    <w:rsid w:val="00C90054"/>
    <w:rsid w:val="00C9226F"/>
    <w:rsid w:val="00C92ADB"/>
    <w:rsid w:val="00C93B20"/>
    <w:rsid w:val="00C94EC4"/>
    <w:rsid w:val="00C95AD8"/>
    <w:rsid w:val="00C9626F"/>
    <w:rsid w:val="00C9667C"/>
    <w:rsid w:val="00C96B1F"/>
    <w:rsid w:val="00C96BA5"/>
    <w:rsid w:val="00C96EB9"/>
    <w:rsid w:val="00C972B1"/>
    <w:rsid w:val="00C97A88"/>
    <w:rsid w:val="00CA13B8"/>
    <w:rsid w:val="00CA2CCE"/>
    <w:rsid w:val="00CA32CB"/>
    <w:rsid w:val="00CA43FD"/>
    <w:rsid w:val="00CA65E9"/>
    <w:rsid w:val="00CA7046"/>
    <w:rsid w:val="00CA7AF2"/>
    <w:rsid w:val="00CA7EF8"/>
    <w:rsid w:val="00CB018F"/>
    <w:rsid w:val="00CB0D6E"/>
    <w:rsid w:val="00CB1392"/>
    <w:rsid w:val="00CB2354"/>
    <w:rsid w:val="00CB2A7E"/>
    <w:rsid w:val="00CB5E61"/>
    <w:rsid w:val="00CC11BA"/>
    <w:rsid w:val="00CC1C05"/>
    <w:rsid w:val="00CC2313"/>
    <w:rsid w:val="00CC47EB"/>
    <w:rsid w:val="00CC489B"/>
    <w:rsid w:val="00CC6386"/>
    <w:rsid w:val="00CC6845"/>
    <w:rsid w:val="00CD0C51"/>
    <w:rsid w:val="00CD181D"/>
    <w:rsid w:val="00CD2237"/>
    <w:rsid w:val="00CD2BCD"/>
    <w:rsid w:val="00CD3A4C"/>
    <w:rsid w:val="00CD787E"/>
    <w:rsid w:val="00CE031F"/>
    <w:rsid w:val="00CE10E9"/>
    <w:rsid w:val="00CE2910"/>
    <w:rsid w:val="00CE2AA1"/>
    <w:rsid w:val="00CE3D6F"/>
    <w:rsid w:val="00CE43AB"/>
    <w:rsid w:val="00CE5393"/>
    <w:rsid w:val="00CE5A77"/>
    <w:rsid w:val="00CE7EDD"/>
    <w:rsid w:val="00CF02F6"/>
    <w:rsid w:val="00CF090E"/>
    <w:rsid w:val="00CF1095"/>
    <w:rsid w:val="00CF2042"/>
    <w:rsid w:val="00CF2F0E"/>
    <w:rsid w:val="00CF334A"/>
    <w:rsid w:val="00CF36BE"/>
    <w:rsid w:val="00CF6000"/>
    <w:rsid w:val="00CF7480"/>
    <w:rsid w:val="00CF74AA"/>
    <w:rsid w:val="00CF780C"/>
    <w:rsid w:val="00D003F3"/>
    <w:rsid w:val="00D00CFF"/>
    <w:rsid w:val="00D00D3D"/>
    <w:rsid w:val="00D02DB2"/>
    <w:rsid w:val="00D0364F"/>
    <w:rsid w:val="00D03F71"/>
    <w:rsid w:val="00D04E17"/>
    <w:rsid w:val="00D06834"/>
    <w:rsid w:val="00D075C6"/>
    <w:rsid w:val="00D103F9"/>
    <w:rsid w:val="00D1322A"/>
    <w:rsid w:val="00D13975"/>
    <w:rsid w:val="00D14B17"/>
    <w:rsid w:val="00D157C5"/>
    <w:rsid w:val="00D170E3"/>
    <w:rsid w:val="00D23066"/>
    <w:rsid w:val="00D241BA"/>
    <w:rsid w:val="00D2481B"/>
    <w:rsid w:val="00D267CA"/>
    <w:rsid w:val="00D27414"/>
    <w:rsid w:val="00D308ED"/>
    <w:rsid w:val="00D328CC"/>
    <w:rsid w:val="00D32FFB"/>
    <w:rsid w:val="00D33635"/>
    <w:rsid w:val="00D34275"/>
    <w:rsid w:val="00D36D86"/>
    <w:rsid w:val="00D40E8F"/>
    <w:rsid w:val="00D42789"/>
    <w:rsid w:val="00D428AA"/>
    <w:rsid w:val="00D44C54"/>
    <w:rsid w:val="00D507BC"/>
    <w:rsid w:val="00D50A34"/>
    <w:rsid w:val="00D539EC"/>
    <w:rsid w:val="00D53EFA"/>
    <w:rsid w:val="00D57FF4"/>
    <w:rsid w:val="00D603C8"/>
    <w:rsid w:val="00D62516"/>
    <w:rsid w:val="00D62F7B"/>
    <w:rsid w:val="00D656BC"/>
    <w:rsid w:val="00D73F2E"/>
    <w:rsid w:val="00D761A8"/>
    <w:rsid w:val="00D809B8"/>
    <w:rsid w:val="00D80F0F"/>
    <w:rsid w:val="00D82BCC"/>
    <w:rsid w:val="00D833DD"/>
    <w:rsid w:val="00D83D0E"/>
    <w:rsid w:val="00D85122"/>
    <w:rsid w:val="00D87761"/>
    <w:rsid w:val="00D91EDB"/>
    <w:rsid w:val="00D94095"/>
    <w:rsid w:val="00D94A7C"/>
    <w:rsid w:val="00D956F3"/>
    <w:rsid w:val="00D95896"/>
    <w:rsid w:val="00D9766A"/>
    <w:rsid w:val="00DA2B33"/>
    <w:rsid w:val="00DA2CE5"/>
    <w:rsid w:val="00DA4520"/>
    <w:rsid w:val="00DA5671"/>
    <w:rsid w:val="00DA6529"/>
    <w:rsid w:val="00DA6A33"/>
    <w:rsid w:val="00DB04F5"/>
    <w:rsid w:val="00DB21F4"/>
    <w:rsid w:val="00DB23BD"/>
    <w:rsid w:val="00DB25F0"/>
    <w:rsid w:val="00DB2983"/>
    <w:rsid w:val="00DB3D30"/>
    <w:rsid w:val="00DB42DA"/>
    <w:rsid w:val="00DB436F"/>
    <w:rsid w:val="00DB4414"/>
    <w:rsid w:val="00DB4BD7"/>
    <w:rsid w:val="00DB62F6"/>
    <w:rsid w:val="00DB720A"/>
    <w:rsid w:val="00DB7CC6"/>
    <w:rsid w:val="00DC09F2"/>
    <w:rsid w:val="00DC0ABB"/>
    <w:rsid w:val="00DC1257"/>
    <w:rsid w:val="00DC2F0C"/>
    <w:rsid w:val="00DC3DC0"/>
    <w:rsid w:val="00DC5B2B"/>
    <w:rsid w:val="00DC7A16"/>
    <w:rsid w:val="00DC7F5F"/>
    <w:rsid w:val="00DD0E83"/>
    <w:rsid w:val="00DD11A0"/>
    <w:rsid w:val="00DD1765"/>
    <w:rsid w:val="00DD25A4"/>
    <w:rsid w:val="00DD318D"/>
    <w:rsid w:val="00DD50A1"/>
    <w:rsid w:val="00DD5F7F"/>
    <w:rsid w:val="00DE3C03"/>
    <w:rsid w:val="00DE3E4B"/>
    <w:rsid w:val="00DF2895"/>
    <w:rsid w:val="00DF2E12"/>
    <w:rsid w:val="00DF514A"/>
    <w:rsid w:val="00DF6690"/>
    <w:rsid w:val="00DF6804"/>
    <w:rsid w:val="00DF7037"/>
    <w:rsid w:val="00DF7CEF"/>
    <w:rsid w:val="00E02AD3"/>
    <w:rsid w:val="00E03424"/>
    <w:rsid w:val="00E0358D"/>
    <w:rsid w:val="00E04323"/>
    <w:rsid w:val="00E05328"/>
    <w:rsid w:val="00E055BB"/>
    <w:rsid w:val="00E070A2"/>
    <w:rsid w:val="00E07B2F"/>
    <w:rsid w:val="00E07DDE"/>
    <w:rsid w:val="00E07FC9"/>
    <w:rsid w:val="00E1204A"/>
    <w:rsid w:val="00E15ADE"/>
    <w:rsid w:val="00E20E05"/>
    <w:rsid w:val="00E224C6"/>
    <w:rsid w:val="00E22D2A"/>
    <w:rsid w:val="00E23944"/>
    <w:rsid w:val="00E24737"/>
    <w:rsid w:val="00E2656A"/>
    <w:rsid w:val="00E278E3"/>
    <w:rsid w:val="00E30D45"/>
    <w:rsid w:val="00E3374A"/>
    <w:rsid w:val="00E34AA9"/>
    <w:rsid w:val="00E3565E"/>
    <w:rsid w:val="00E356C7"/>
    <w:rsid w:val="00E361FE"/>
    <w:rsid w:val="00E371FE"/>
    <w:rsid w:val="00E412D0"/>
    <w:rsid w:val="00E45A54"/>
    <w:rsid w:val="00E46CE7"/>
    <w:rsid w:val="00E5026F"/>
    <w:rsid w:val="00E50B6C"/>
    <w:rsid w:val="00E56322"/>
    <w:rsid w:val="00E56848"/>
    <w:rsid w:val="00E60982"/>
    <w:rsid w:val="00E60BA1"/>
    <w:rsid w:val="00E62405"/>
    <w:rsid w:val="00E62C62"/>
    <w:rsid w:val="00E64535"/>
    <w:rsid w:val="00E654C1"/>
    <w:rsid w:val="00E6559C"/>
    <w:rsid w:val="00E65D97"/>
    <w:rsid w:val="00E66124"/>
    <w:rsid w:val="00E66A03"/>
    <w:rsid w:val="00E72A5A"/>
    <w:rsid w:val="00E73354"/>
    <w:rsid w:val="00E77111"/>
    <w:rsid w:val="00E77E90"/>
    <w:rsid w:val="00E82F9E"/>
    <w:rsid w:val="00E85F31"/>
    <w:rsid w:val="00E900B7"/>
    <w:rsid w:val="00E9070B"/>
    <w:rsid w:val="00E9242D"/>
    <w:rsid w:val="00E93024"/>
    <w:rsid w:val="00E94151"/>
    <w:rsid w:val="00E949D5"/>
    <w:rsid w:val="00E95425"/>
    <w:rsid w:val="00E9574D"/>
    <w:rsid w:val="00E95CDB"/>
    <w:rsid w:val="00EA1DB7"/>
    <w:rsid w:val="00EA25A2"/>
    <w:rsid w:val="00EA3945"/>
    <w:rsid w:val="00EA4B62"/>
    <w:rsid w:val="00EA619D"/>
    <w:rsid w:val="00EA75D5"/>
    <w:rsid w:val="00EB286D"/>
    <w:rsid w:val="00EB3B89"/>
    <w:rsid w:val="00EB51E7"/>
    <w:rsid w:val="00EB5255"/>
    <w:rsid w:val="00EB5C47"/>
    <w:rsid w:val="00EB7936"/>
    <w:rsid w:val="00EC00DA"/>
    <w:rsid w:val="00EC186B"/>
    <w:rsid w:val="00EC2BC0"/>
    <w:rsid w:val="00EC2CAE"/>
    <w:rsid w:val="00EC3FCA"/>
    <w:rsid w:val="00EC684E"/>
    <w:rsid w:val="00ED0491"/>
    <w:rsid w:val="00ED0639"/>
    <w:rsid w:val="00ED121B"/>
    <w:rsid w:val="00ED20F8"/>
    <w:rsid w:val="00ED34AE"/>
    <w:rsid w:val="00ED4660"/>
    <w:rsid w:val="00EE0497"/>
    <w:rsid w:val="00EE09B5"/>
    <w:rsid w:val="00EE0BF9"/>
    <w:rsid w:val="00EE1D02"/>
    <w:rsid w:val="00EE230C"/>
    <w:rsid w:val="00EE2D10"/>
    <w:rsid w:val="00EE2E5C"/>
    <w:rsid w:val="00EE4D12"/>
    <w:rsid w:val="00EE5E64"/>
    <w:rsid w:val="00EF0A71"/>
    <w:rsid w:val="00EF0D05"/>
    <w:rsid w:val="00EF2E5A"/>
    <w:rsid w:val="00EF4466"/>
    <w:rsid w:val="00EF4755"/>
    <w:rsid w:val="00EF59FF"/>
    <w:rsid w:val="00EF7135"/>
    <w:rsid w:val="00F000DE"/>
    <w:rsid w:val="00F00804"/>
    <w:rsid w:val="00F0101E"/>
    <w:rsid w:val="00F016CD"/>
    <w:rsid w:val="00F0181D"/>
    <w:rsid w:val="00F027DB"/>
    <w:rsid w:val="00F1421A"/>
    <w:rsid w:val="00F144D1"/>
    <w:rsid w:val="00F14A7A"/>
    <w:rsid w:val="00F150D8"/>
    <w:rsid w:val="00F15124"/>
    <w:rsid w:val="00F20B3D"/>
    <w:rsid w:val="00F22985"/>
    <w:rsid w:val="00F23540"/>
    <w:rsid w:val="00F2378C"/>
    <w:rsid w:val="00F244E9"/>
    <w:rsid w:val="00F24E32"/>
    <w:rsid w:val="00F2657E"/>
    <w:rsid w:val="00F30F75"/>
    <w:rsid w:val="00F31A47"/>
    <w:rsid w:val="00F33522"/>
    <w:rsid w:val="00F3383E"/>
    <w:rsid w:val="00F374F0"/>
    <w:rsid w:val="00F42893"/>
    <w:rsid w:val="00F43E58"/>
    <w:rsid w:val="00F465A7"/>
    <w:rsid w:val="00F46F07"/>
    <w:rsid w:val="00F50B7C"/>
    <w:rsid w:val="00F533F0"/>
    <w:rsid w:val="00F550E6"/>
    <w:rsid w:val="00F55AF9"/>
    <w:rsid w:val="00F5711C"/>
    <w:rsid w:val="00F57D80"/>
    <w:rsid w:val="00F57E83"/>
    <w:rsid w:val="00F610E4"/>
    <w:rsid w:val="00F61925"/>
    <w:rsid w:val="00F61F7D"/>
    <w:rsid w:val="00F62F04"/>
    <w:rsid w:val="00F631AF"/>
    <w:rsid w:val="00F63A88"/>
    <w:rsid w:val="00F6462E"/>
    <w:rsid w:val="00F67D44"/>
    <w:rsid w:val="00F7029F"/>
    <w:rsid w:val="00F70751"/>
    <w:rsid w:val="00F72EA3"/>
    <w:rsid w:val="00F73032"/>
    <w:rsid w:val="00F7310B"/>
    <w:rsid w:val="00F74345"/>
    <w:rsid w:val="00F74BD3"/>
    <w:rsid w:val="00F76E55"/>
    <w:rsid w:val="00F7755B"/>
    <w:rsid w:val="00F7762B"/>
    <w:rsid w:val="00F80A0A"/>
    <w:rsid w:val="00F81AB3"/>
    <w:rsid w:val="00F82B19"/>
    <w:rsid w:val="00F82F0A"/>
    <w:rsid w:val="00F84884"/>
    <w:rsid w:val="00F8557A"/>
    <w:rsid w:val="00F90362"/>
    <w:rsid w:val="00F911A1"/>
    <w:rsid w:val="00F91399"/>
    <w:rsid w:val="00F91D50"/>
    <w:rsid w:val="00F9212D"/>
    <w:rsid w:val="00F92525"/>
    <w:rsid w:val="00F95129"/>
    <w:rsid w:val="00F965DA"/>
    <w:rsid w:val="00F96C46"/>
    <w:rsid w:val="00FA1082"/>
    <w:rsid w:val="00FA1B95"/>
    <w:rsid w:val="00FA210A"/>
    <w:rsid w:val="00FA406A"/>
    <w:rsid w:val="00FA776D"/>
    <w:rsid w:val="00FB056B"/>
    <w:rsid w:val="00FB503A"/>
    <w:rsid w:val="00FB516C"/>
    <w:rsid w:val="00FB55F9"/>
    <w:rsid w:val="00FB6A62"/>
    <w:rsid w:val="00FB716E"/>
    <w:rsid w:val="00FC2651"/>
    <w:rsid w:val="00FC3AB1"/>
    <w:rsid w:val="00FC535B"/>
    <w:rsid w:val="00FC5ED4"/>
    <w:rsid w:val="00FC7110"/>
    <w:rsid w:val="00FD0236"/>
    <w:rsid w:val="00FD05E4"/>
    <w:rsid w:val="00FD10D2"/>
    <w:rsid w:val="00FD18F4"/>
    <w:rsid w:val="00FD1CED"/>
    <w:rsid w:val="00FD1DBF"/>
    <w:rsid w:val="00FD2ACC"/>
    <w:rsid w:val="00FD2FB7"/>
    <w:rsid w:val="00FD3669"/>
    <w:rsid w:val="00FD4A57"/>
    <w:rsid w:val="00FD54DB"/>
    <w:rsid w:val="00FD619F"/>
    <w:rsid w:val="00FE0117"/>
    <w:rsid w:val="00FE058E"/>
    <w:rsid w:val="00FE09B9"/>
    <w:rsid w:val="00FE1321"/>
    <w:rsid w:val="00FE1740"/>
    <w:rsid w:val="00FE33FD"/>
    <w:rsid w:val="00FE5CD0"/>
    <w:rsid w:val="00FE653D"/>
    <w:rsid w:val="00FE6999"/>
    <w:rsid w:val="00FF00D2"/>
    <w:rsid w:val="00FF07E5"/>
    <w:rsid w:val="00FF1557"/>
    <w:rsid w:val="00FF2C2F"/>
    <w:rsid w:val="00FF5389"/>
    <w:rsid w:val="00FF637F"/>
    <w:rsid w:val="010B405F"/>
    <w:rsid w:val="01183C2B"/>
    <w:rsid w:val="01290F7E"/>
    <w:rsid w:val="013E344F"/>
    <w:rsid w:val="014139FA"/>
    <w:rsid w:val="014A1931"/>
    <w:rsid w:val="015D1E09"/>
    <w:rsid w:val="01785B98"/>
    <w:rsid w:val="017B1567"/>
    <w:rsid w:val="018236CF"/>
    <w:rsid w:val="01983877"/>
    <w:rsid w:val="01A07ABF"/>
    <w:rsid w:val="01A40741"/>
    <w:rsid w:val="01B91D0C"/>
    <w:rsid w:val="01BA5D80"/>
    <w:rsid w:val="01CA216C"/>
    <w:rsid w:val="01E46D89"/>
    <w:rsid w:val="01E66FA5"/>
    <w:rsid w:val="01F3139C"/>
    <w:rsid w:val="01F67647"/>
    <w:rsid w:val="01FD3C3C"/>
    <w:rsid w:val="020C62E0"/>
    <w:rsid w:val="021C29C7"/>
    <w:rsid w:val="0227136C"/>
    <w:rsid w:val="022F565F"/>
    <w:rsid w:val="0233381D"/>
    <w:rsid w:val="024104C5"/>
    <w:rsid w:val="02697903"/>
    <w:rsid w:val="0279131F"/>
    <w:rsid w:val="027A149C"/>
    <w:rsid w:val="027F60AF"/>
    <w:rsid w:val="029167E5"/>
    <w:rsid w:val="02AC112D"/>
    <w:rsid w:val="02AC5A72"/>
    <w:rsid w:val="02B11247"/>
    <w:rsid w:val="02B22F5A"/>
    <w:rsid w:val="02C72207"/>
    <w:rsid w:val="02C941D1"/>
    <w:rsid w:val="02E828A9"/>
    <w:rsid w:val="02F96569"/>
    <w:rsid w:val="031321AD"/>
    <w:rsid w:val="032901FD"/>
    <w:rsid w:val="033E39E9"/>
    <w:rsid w:val="0347712E"/>
    <w:rsid w:val="0360785E"/>
    <w:rsid w:val="036A59B4"/>
    <w:rsid w:val="0370464D"/>
    <w:rsid w:val="038500F8"/>
    <w:rsid w:val="038A7152"/>
    <w:rsid w:val="03B453AA"/>
    <w:rsid w:val="03B6092B"/>
    <w:rsid w:val="03D245C3"/>
    <w:rsid w:val="03D251BA"/>
    <w:rsid w:val="03EA7B21"/>
    <w:rsid w:val="04161698"/>
    <w:rsid w:val="041A5316"/>
    <w:rsid w:val="042B7FA3"/>
    <w:rsid w:val="045126D0"/>
    <w:rsid w:val="046E3571"/>
    <w:rsid w:val="047B0592"/>
    <w:rsid w:val="049A05B6"/>
    <w:rsid w:val="049B394B"/>
    <w:rsid w:val="04A12538"/>
    <w:rsid w:val="04AD0435"/>
    <w:rsid w:val="04B24C31"/>
    <w:rsid w:val="04B862AB"/>
    <w:rsid w:val="04C47046"/>
    <w:rsid w:val="04C86939"/>
    <w:rsid w:val="04E946B7"/>
    <w:rsid w:val="04FC380B"/>
    <w:rsid w:val="04FD0162"/>
    <w:rsid w:val="04FD5A07"/>
    <w:rsid w:val="050175A3"/>
    <w:rsid w:val="052F3922"/>
    <w:rsid w:val="053F077B"/>
    <w:rsid w:val="0543670B"/>
    <w:rsid w:val="05486D44"/>
    <w:rsid w:val="054C60AE"/>
    <w:rsid w:val="05CE5983"/>
    <w:rsid w:val="05D0625C"/>
    <w:rsid w:val="05E00935"/>
    <w:rsid w:val="05E235E7"/>
    <w:rsid w:val="05F83EAE"/>
    <w:rsid w:val="06053772"/>
    <w:rsid w:val="063E7D85"/>
    <w:rsid w:val="06472E60"/>
    <w:rsid w:val="067B1C86"/>
    <w:rsid w:val="067B371F"/>
    <w:rsid w:val="06A43013"/>
    <w:rsid w:val="06B34F7C"/>
    <w:rsid w:val="06DE46EF"/>
    <w:rsid w:val="06E95FD1"/>
    <w:rsid w:val="070C5A29"/>
    <w:rsid w:val="071579E5"/>
    <w:rsid w:val="07293586"/>
    <w:rsid w:val="07295285"/>
    <w:rsid w:val="072A7934"/>
    <w:rsid w:val="072E58CA"/>
    <w:rsid w:val="073C2AFB"/>
    <w:rsid w:val="074B1271"/>
    <w:rsid w:val="07504EC1"/>
    <w:rsid w:val="07636392"/>
    <w:rsid w:val="076E3F95"/>
    <w:rsid w:val="07770C56"/>
    <w:rsid w:val="07BD4337"/>
    <w:rsid w:val="07D23B28"/>
    <w:rsid w:val="07FC0BA5"/>
    <w:rsid w:val="08064C1D"/>
    <w:rsid w:val="08190C33"/>
    <w:rsid w:val="082D0D5E"/>
    <w:rsid w:val="083A27B3"/>
    <w:rsid w:val="084D4E00"/>
    <w:rsid w:val="085A5FF7"/>
    <w:rsid w:val="085D7896"/>
    <w:rsid w:val="088B29B2"/>
    <w:rsid w:val="08A93663"/>
    <w:rsid w:val="0910058F"/>
    <w:rsid w:val="092217DD"/>
    <w:rsid w:val="092B7994"/>
    <w:rsid w:val="092E2FE0"/>
    <w:rsid w:val="09391A25"/>
    <w:rsid w:val="093A7294"/>
    <w:rsid w:val="096B2D0D"/>
    <w:rsid w:val="097D7E05"/>
    <w:rsid w:val="098A2F97"/>
    <w:rsid w:val="099077F7"/>
    <w:rsid w:val="09AB63DF"/>
    <w:rsid w:val="09B259BF"/>
    <w:rsid w:val="09B27F25"/>
    <w:rsid w:val="09B554AF"/>
    <w:rsid w:val="09B94F9F"/>
    <w:rsid w:val="09CD45A7"/>
    <w:rsid w:val="09D726B7"/>
    <w:rsid w:val="09DE5F1B"/>
    <w:rsid w:val="09E35B78"/>
    <w:rsid w:val="0A226664"/>
    <w:rsid w:val="0A263993"/>
    <w:rsid w:val="0A2D3AC2"/>
    <w:rsid w:val="0A343DF3"/>
    <w:rsid w:val="0A4B27D0"/>
    <w:rsid w:val="0A6C28EA"/>
    <w:rsid w:val="0A73379C"/>
    <w:rsid w:val="0A79472F"/>
    <w:rsid w:val="0A830887"/>
    <w:rsid w:val="0AA755DF"/>
    <w:rsid w:val="0AB93DBB"/>
    <w:rsid w:val="0AC42355"/>
    <w:rsid w:val="0ACB1C73"/>
    <w:rsid w:val="0ADD5DCA"/>
    <w:rsid w:val="0AE0030A"/>
    <w:rsid w:val="0AE443EE"/>
    <w:rsid w:val="0AF93041"/>
    <w:rsid w:val="0B02362F"/>
    <w:rsid w:val="0B0E131B"/>
    <w:rsid w:val="0B120D44"/>
    <w:rsid w:val="0B226A39"/>
    <w:rsid w:val="0B6D4294"/>
    <w:rsid w:val="0B772A1C"/>
    <w:rsid w:val="0B792C38"/>
    <w:rsid w:val="0B966F8A"/>
    <w:rsid w:val="0BAA6037"/>
    <w:rsid w:val="0BC33EB3"/>
    <w:rsid w:val="0BC35255"/>
    <w:rsid w:val="0BC65752"/>
    <w:rsid w:val="0BD27BF6"/>
    <w:rsid w:val="0BE15F86"/>
    <w:rsid w:val="0BE463B7"/>
    <w:rsid w:val="0BFA2AF5"/>
    <w:rsid w:val="0C020E1C"/>
    <w:rsid w:val="0C0452F3"/>
    <w:rsid w:val="0C1200E4"/>
    <w:rsid w:val="0C2273EC"/>
    <w:rsid w:val="0C294098"/>
    <w:rsid w:val="0C3841E3"/>
    <w:rsid w:val="0C3B3C7D"/>
    <w:rsid w:val="0C41302A"/>
    <w:rsid w:val="0C48085D"/>
    <w:rsid w:val="0C584B4F"/>
    <w:rsid w:val="0C6236CC"/>
    <w:rsid w:val="0C76701F"/>
    <w:rsid w:val="0CAB2EAE"/>
    <w:rsid w:val="0CC23281"/>
    <w:rsid w:val="0CEA0E58"/>
    <w:rsid w:val="0CF956B3"/>
    <w:rsid w:val="0D0C38CA"/>
    <w:rsid w:val="0D110C4F"/>
    <w:rsid w:val="0D383700"/>
    <w:rsid w:val="0D4B3C0C"/>
    <w:rsid w:val="0D621C7D"/>
    <w:rsid w:val="0D66383B"/>
    <w:rsid w:val="0D754339"/>
    <w:rsid w:val="0D75742F"/>
    <w:rsid w:val="0D780CCE"/>
    <w:rsid w:val="0D865199"/>
    <w:rsid w:val="0D955DE9"/>
    <w:rsid w:val="0D9B5DDE"/>
    <w:rsid w:val="0DB51DAB"/>
    <w:rsid w:val="0DDC300B"/>
    <w:rsid w:val="0E083E00"/>
    <w:rsid w:val="0E0F33E0"/>
    <w:rsid w:val="0E1E7AF4"/>
    <w:rsid w:val="0E1F6BCA"/>
    <w:rsid w:val="0E4C3A57"/>
    <w:rsid w:val="0E5139F9"/>
    <w:rsid w:val="0E5434E9"/>
    <w:rsid w:val="0E5C0B86"/>
    <w:rsid w:val="0E73034D"/>
    <w:rsid w:val="0E923261"/>
    <w:rsid w:val="0E9360EE"/>
    <w:rsid w:val="0EA77CB0"/>
    <w:rsid w:val="0EC20C1F"/>
    <w:rsid w:val="0EC229F2"/>
    <w:rsid w:val="0EC35E1A"/>
    <w:rsid w:val="0EC96EE3"/>
    <w:rsid w:val="0ED9579C"/>
    <w:rsid w:val="0EDE2CC0"/>
    <w:rsid w:val="0F05762C"/>
    <w:rsid w:val="0F0E37EA"/>
    <w:rsid w:val="0F13775A"/>
    <w:rsid w:val="0F2E7BB5"/>
    <w:rsid w:val="0F3078D4"/>
    <w:rsid w:val="0F312DC9"/>
    <w:rsid w:val="0F340C24"/>
    <w:rsid w:val="0F4C2412"/>
    <w:rsid w:val="0F5D017B"/>
    <w:rsid w:val="0F5F45FE"/>
    <w:rsid w:val="0F6518F3"/>
    <w:rsid w:val="0F9A112B"/>
    <w:rsid w:val="0FA321DB"/>
    <w:rsid w:val="0FA61B22"/>
    <w:rsid w:val="0FAB7138"/>
    <w:rsid w:val="0FD23122"/>
    <w:rsid w:val="0FDC7731"/>
    <w:rsid w:val="0FFB28AC"/>
    <w:rsid w:val="102D7AEA"/>
    <w:rsid w:val="10320C31"/>
    <w:rsid w:val="106D2F64"/>
    <w:rsid w:val="106F63B8"/>
    <w:rsid w:val="108300B5"/>
    <w:rsid w:val="10AF6730"/>
    <w:rsid w:val="10B63710"/>
    <w:rsid w:val="10B734BB"/>
    <w:rsid w:val="10F10820"/>
    <w:rsid w:val="10F66F8C"/>
    <w:rsid w:val="110A2518"/>
    <w:rsid w:val="111C2F7A"/>
    <w:rsid w:val="113849D4"/>
    <w:rsid w:val="113B3B72"/>
    <w:rsid w:val="11527AA7"/>
    <w:rsid w:val="11566DE6"/>
    <w:rsid w:val="115C68DE"/>
    <w:rsid w:val="11665CA1"/>
    <w:rsid w:val="116C28F7"/>
    <w:rsid w:val="11A30A08"/>
    <w:rsid w:val="11B22B48"/>
    <w:rsid w:val="11D02E86"/>
    <w:rsid w:val="11D30BC8"/>
    <w:rsid w:val="11ED34E7"/>
    <w:rsid w:val="12046FD4"/>
    <w:rsid w:val="124414E8"/>
    <w:rsid w:val="125C5BC1"/>
    <w:rsid w:val="12714AC1"/>
    <w:rsid w:val="12C0114D"/>
    <w:rsid w:val="12C10F3D"/>
    <w:rsid w:val="12E50E1D"/>
    <w:rsid w:val="130575AF"/>
    <w:rsid w:val="13300405"/>
    <w:rsid w:val="13332608"/>
    <w:rsid w:val="134B0678"/>
    <w:rsid w:val="135B0E75"/>
    <w:rsid w:val="136325A4"/>
    <w:rsid w:val="138322F2"/>
    <w:rsid w:val="1385499D"/>
    <w:rsid w:val="13951726"/>
    <w:rsid w:val="13A01524"/>
    <w:rsid w:val="13CF06B1"/>
    <w:rsid w:val="13E40E6B"/>
    <w:rsid w:val="140413EF"/>
    <w:rsid w:val="14264771"/>
    <w:rsid w:val="142A61B5"/>
    <w:rsid w:val="142F2704"/>
    <w:rsid w:val="14396509"/>
    <w:rsid w:val="1487408F"/>
    <w:rsid w:val="14946EB4"/>
    <w:rsid w:val="14B30FF0"/>
    <w:rsid w:val="14DD2C3C"/>
    <w:rsid w:val="14FD3AE7"/>
    <w:rsid w:val="15005841"/>
    <w:rsid w:val="15090827"/>
    <w:rsid w:val="15190FE8"/>
    <w:rsid w:val="153E7F13"/>
    <w:rsid w:val="15497818"/>
    <w:rsid w:val="154A7926"/>
    <w:rsid w:val="154F0CCC"/>
    <w:rsid w:val="1555552C"/>
    <w:rsid w:val="156141A0"/>
    <w:rsid w:val="15666092"/>
    <w:rsid w:val="15756B49"/>
    <w:rsid w:val="15802E15"/>
    <w:rsid w:val="158B1575"/>
    <w:rsid w:val="158F3058"/>
    <w:rsid w:val="15B778E8"/>
    <w:rsid w:val="15E04517"/>
    <w:rsid w:val="15E2660A"/>
    <w:rsid w:val="15EA028F"/>
    <w:rsid w:val="15F2355C"/>
    <w:rsid w:val="15FA6724"/>
    <w:rsid w:val="1606331B"/>
    <w:rsid w:val="16087E1D"/>
    <w:rsid w:val="160A26DF"/>
    <w:rsid w:val="161355EE"/>
    <w:rsid w:val="16322361"/>
    <w:rsid w:val="165E095B"/>
    <w:rsid w:val="16616780"/>
    <w:rsid w:val="1669342A"/>
    <w:rsid w:val="169B185C"/>
    <w:rsid w:val="16B20DAC"/>
    <w:rsid w:val="16B366F9"/>
    <w:rsid w:val="16E64EFA"/>
    <w:rsid w:val="16EA7CB4"/>
    <w:rsid w:val="172274E8"/>
    <w:rsid w:val="173151C4"/>
    <w:rsid w:val="17683B61"/>
    <w:rsid w:val="17701D14"/>
    <w:rsid w:val="17735226"/>
    <w:rsid w:val="1777334C"/>
    <w:rsid w:val="17864BFE"/>
    <w:rsid w:val="179D1A5D"/>
    <w:rsid w:val="17AF79E2"/>
    <w:rsid w:val="17DF3628"/>
    <w:rsid w:val="17DF6847"/>
    <w:rsid w:val="17E23BBC"/>
    <w:rsid w:val="17FC6F30"/>
    <w:rsid w:val="182A7068"/>
    <w:rsid w:val="182C4B8E"/>
    <w:rsid w:val="183B7D83"/>
    <w:rsid w:val="185F3779"/>
    <w:rsid w:val="18636A0E"/>
    <w:rsid w:val="18663041"/>
    <w:rsid w:val="18833083"/>
    <w:rsid w:val="18910E95"/>
    <w:rsid w:val="189F624C"/>
    <w:rsid w:val="18A72787"/>
    <w:rsid w:val="18A77880"/>
    <w:rsid w:val="18C01435"/>
    <w:rsid w:val="18C62076"/>
    <w:rsid w:val="18DC2461"/>
    <w:rsid w:val="18E45B15"/>
    <w:rsid w:val="191E4E1F"/>
    <w:rsid w:val="19240BBF"/>
    <w:rsid w:val="194C0ED4"/>
    <w:rsid w:val="1955075E"/>
    <w:rsid w:val="198A5A5A"/>
    <w:rsid w:val="19A64A85"/>
    <w:rsid w:val="19BA4B78"/>
    <w:rsid w:val="19C42AEA"/>
    <w:rsid w:val="19D144C1"/>
    <w:rsid w:val="19F75ECC"/>
    <w:rsid w:val="1A172A15"/>
    <w:rsid w:val="1A1C66C0"/>
    <w:rsid w:val="1A233F3A"/>
    <w:rsid w:val="1A246465"/>
    <w:rsid w:val="1A295829"/>
    <w:rsid w:val="1A42393B"/>
    <w:rsid w:val="1A4C59BC"/>
    <w:rsid w:val="1A5D7847"/>
    <w:rsid w:val="1A68449D"/>
    <w:rsid w:val="1A6C1BBA"/>
    <w:rsid w:val="1A8415E5"/>
    <w:rsid w:val="1A913E26"/>
    <w:rsid w:val="1A930EF5"/>
    <w:rsid w:val="1AAD45DE"/>
    <w:rsid w:val="1AB1523A"/>
    <w:rsid w:val="1AB55E29"/>
    <w:rsid w:val="1ADC2FA3"/>
    <w:rsid w:val="1AEE1179"/>
    <w:rsid w:val="1AF04731"/>
    <w:rsid w:val="1B046F80"/>
    <w:rsid w:val="1B122762"/>
    <w:rsid w:val="1B1242D6"/>
    <w:rsid w:val="1B2771BD"/>
    <w:rsid w:val="1B302BE8"/>
    <w:rsid w:val="1B3267B5"/>
    <w:rsid w:val="1B334486"/>
    <w:rsid w:val="1B3F131C"/>
    <w:rsid w:val="1B40161D"/>
    <w:rsid w:val="1B441859"/>
    <w:rsid w:val="1B521CD8"/>
    <w:rsid w:val="1B6606B1"/>
    <w:rsid w:val="1B6F7A31"/>
    <w:rsid w:val="1BA23CC7"/>
    <w:rsid w:val="1BA41D1E"/>
    <w:rsid w:val="1BAE23F1"/>
    <w:rsid w:val="1BBC26CD"/>
    <w:rsid w:val="1BBD091F"/>
    <w:rsid w:val="1BD45C69"/>
    <w:rsid w:val="1BDD3F75"/>
    <w:rsid w:val="1BDD488D"/>
    <w:rsid w:val="1BDE0896"/>
    <w:rsid w:val="1BF95F5B"/>
    <w:rsid w:val="1C177904"/>
    <w:rsid w:val="1C580A30"/>
    <w:rsid w:val="1C5E7925"/>
    <w:rsid w:val="1C705B1F"/>
    <w:rsid w:val="1C7132DC"/>
    <w:rsid w:val="1C782A98"/>
    <w:rsid w:val="1C7B24E2"/>
    <w:rsid w:val="1C986C96"/>
    <w:rsid w:val="1CC26829"/>
    <w:rsid w:val="1CC57909"/>
    <w:rsid w:val="1CD619DC"/>
    <w:rsid w:val="1CE05AC6"/>
    <w:rsid w:val="1CE77487"/>
    <w:rsid w:val="1CF7482D"/>
    <w:rsid w:val="1CF941B7"/>
    <w:rsid w:val="1CFD070F"/>
    <w:rsid w:val="1D00621A"/>
    <w:rsid w:val="1D1E3640"/>
    <w:rsid w:val="1D325A96"/>
    <w:rsid w:val="1D41732E"/>
    <w:rsid w:val="1D4726CE"/>
    <w:rsid w:val="1D5E3C71"/>
    <w:rsid w:val="1D5F1CD4"/>
    <w:rsid w:val="1D5F6196"/>
    <w:rsid w:val="1D6005A8"/>
    <w:rsid w:val="1D6132A5"/>
    <w:rsid w:val="1D730B6A"/>
    <w:rsid w:val="1D7E601C"/>
    <w:rsid w:val="1D8E56D5"/>
    <w:rsid w:val="1D994D98"/>
    <w:rsid w:val="1DA216B5"/>
    <w:rsid w:val="1DA5704F"/>
    <w:rsid w:val="1DAA659A"/>
    <w:rsid w:val="1DAD5595"/>
    <w:rsid w:val="1DB63878"/>
    <w:rsid w:val="1DBB7F27"/>
    <w:rsid w:val="1DC37D43"/>
    <w:rsid w:val="1DD7559C"/>
    <w:rsid w:val="1DDC2709"/>
    <w:rsid w:val="1E3474C8"/>
    <w:rsid w:val="1E567848"/>
    <w:rsid w:val="1E5F672D"/>
    <w:rsid w:val="1E675887"/>
    <w:rsid w:val="1E680B69"/>
    <w:rsid w:val="1E6E4A7A"/>
    <w:rsid w:val="1E7A43DA"/>
    <w:rsid w:val="1E833266"/>
    <w:rsid w:val="1E8D5A3F"/>
    <w:rsid w:val="1EB10CE8"/>
    <w:rsid w:val="1EBF67EB"/>
    <w:rsid w:val="1EC6177F"/>
    <w:rsid w:val="1EC82648"/>
    <w:rsid w:val="1ED3045A"/>
    <w:rsid w:val="1F022B7B"/>
    <w:rsid w:val="1F301408"/>
    <w:rsid w:val="1F363F96"/>
    <w:rsid w:val="1F3A06C3"/>
    <w:rsid w:val="1F620DFF"/>
    <w:rsid w:val="1F775289"/>
    <w:rsid w:val="1FB4024E"/>
    <w:rsid w:val="1FC009DE"/>
    <w:rsid w:val="1FD20711"/>
    <w:rsid w:val="1FDF698A"/>
    <w:rsid w:val="1FE7539E"/>
    <w:rsid w:val="1FF74882"/>
    <w:rsid w:val="20671BE0"/>
    <w:rsid w:val="207846EE"/>
    <w:rsid w:val="20874757"/>
    <w:rsid w:val="20963CB8"/>
    <w:rsid w:val="20A14610"/>
    <w:rsid w:val="20A81A1B"/>
    <w:rsid w:val="20B07FB6"/>
    <w:rsid w:val="20B646FB"/>
    <w:rsid w:val="20BE22D6"/>
    <w:rsid w:val="20C22534"/>
    <w:rsid w:val="20EA3301"/>
    <w:rsid w:val="21025026"/>
    <w:rsid w:val="21254871"/>
    <w:rsid w:val="213B74B1"/>
    <w:rsid w:val="214B18A0"/>
    <w:rsid w:val="215018EE"/>
    <w:rsid w:val="215A09BE"/>
    <w:rsid w:val="215A2310"/>
    <w:rsid w:val="216127E4"/>
    <w:rsid w:val="21710A4D"/>
    <w:rsid w:val="217C558A"/>
    <w:rsid w:val="21933ED0"/>
    <w:rsid w:val="21A67A19"/>
    <w:rsid w:val="21B93462"/>
    <w:rsid w:val="21C13980"/>
    <w:rsid w:val="21DE318A"/>
    <w:rsid w:val="21DF2C72"/>
    <w:rsid w:val="21EB1FBF"/>
    <w:rsid w:val="21EF5B80"/>
    <w:rsid w:val="21F958D2"/>
    <w:rsid w:val="21FD1485"/>
    <w:rsid w:val="22117958"/>
    <w:rsid w:val="222B78D5"/>
    <w:rsid w:val="223651A4"/>
    <w:rsid w:val="22412273"/>
    <w:rsid w:val="224D02EF"/>
    <w:rsid w:val="22576990"/>
    <w:rsid w:val="226D79AE"/>
    <w:rsid w:val="22995516"/>
    <w:rsid w:val="22B84EB0"/>
    <w:rsid w:val="22F02F4C"/>
    <w:rsid w:val="22F47480"/>
    <w:rsid w:val="22F67252"/>
    <w:rsid w:val="23070A66"/>
    <w:rsid w:val="23083C8E"/>
    <w:rsid w:val="23257791"/>
    <w:rsid w:val="234E16D0"/>
    <w:rsid w:val="235558E1"/>
    <w:rsid w:val="2355768F"/>
    <w:rsid w:val="23616C54"/>
    <w:rsid w:val="23643939"/>
    <w:rsid w:val="23645B24"/>
    <w:rsid w:val="23734083"/>
    <w:rsid w:val="239D1036"/>
    <w:rsid w:val="23A360C7"/>
    <w:rsid w:val="23A3664D"/>
    <w:rsid w:val="23B87B36"/>
    <w:rsid w:val="23C30737"/>
    <w:rsid w:val="23CD1F8A"/>
    <w:rsid w:val="23D94EC9"/>
    <w:rsid w:val="23DE1C48"/>
    <w:rsid w:val="23E32EED"/>
    <w:rsid w:val="23E85177"/>
    <w:rsid w:val="23FF584D"/>
    <w:rsid w:val="240210CD"/>
    <w:rsid w:val="244B43E3"/>
    <w:rsid w:val="24681644"/>
    <w:rsid w:val="247C6164"/>
    <w:rsid w:val="24950587"/>
    <w:rsid w:val="249917FE"/>
    <w:rsid w:val="24B65F0C"/>
    <w:rsid w:val="24BF09F7"/>
    <w:rsid w:val="24C40807"/>
    <w:rsid w:val="24E2181C"/>
    <w:rsid w:val="25057DA8"/>
    <w:rsid w:val="252D53FE"/>
    <w:rsid w:val="253A3592"/>
    <w:rsid w:val="254E5A36"/>
    <w:rsid w:val="25632C06"/>
    <w:rsid w:val="257A61D2"/>
    <w:rsid w:val="2584425C"/>
    <w:rsid w:val="25933310"/>
    <w:rsid w:val="259C46BD"/>
    <w:rsid w:val="25BC1C48"/>
    <w:rsid w:val="25C92241"/>
    <w:rsid w:val="25CE49D9"/>
    <w:rsid w:val="25D47E03"/>
    <w:rsid w:val="25DF1492"/>
    <w:rsid w:val="25E55E64"/>
    <w:rsid w:val="25EC2D81"/>
    <w:rsid w:val="26192BF6"/>
    <w:rsid w:val="261F21D6"/>
    <w:rsid w:val="263054C0"/>
    <w:rsid w:val="26334F09"/>
    <w:rsid w:val="263F0183"/>
    <w:rsid w:val="265A320F"/>
    <w:rsid w:val="26634B2F"/>
    <w:rsid w:val="267B565F"/>
    <w:rsid w:val="268977CD"/>
    <w:rsid w:val="268F3BD0"/>
    <w:rsid w:val="269F25A7"/>
    <w:rsid w:val="26AD2B71"/>
    <w:rsid w:val="26AF028F"/>
    <w:rsid w:val="26BA7AA5"/>
    <w:rsid w:val="26BC535F"/>
    <w:rsid w:val="26C81E2F"/>
    <w:rsid w:val="26F10503"/>
    <w:rsid w:val="272560F0"/>
    <w:rsid w:val="274E2D73"/>
    <w:rsid w:val="2751190E"/>
    <w:rsid w:val="275C6092"/>
    <w:rsid w:val="277057A2"/>
    <w:rsid w:val="27873B8F"/>
    <w:rsid w:val="27DA63B5"/>
    <w:rsid w:val="2826463E"/>
    <w:rsid w:val="282E45BA"/>
    <w:rsid w:val="283A5E96"/>
    <w:rsid w:val="285A7F1F"/>
    <w:rsid w:val="285B3CC3"/>
    <w:rsid w:val="285C2E4A"/>
    <w:rsid w:val="28D353DF"/>
    <w:rsid w:val="28D42E04"/>
    <w:rsid w:val="28E026ED"/>
    <w:rsid w:val="28E9700A"/>
    <w:rsid w:val="290B3D89"/>
    <w:rsid w:val="291D4228"/>
    <w:rsid w:val="29206000"/>
    <w:rsid w:val="2920604A"/>
    <w:rsid w:val="29206EB8"/>
    <w:rsid w:val="2942749F"/>
    <w:rsid w:val="29595666"/>
    <w:rsid w:val="29610315"/>
    <w:rsid w:val="296F60AE"/>
    <w:rsid w:val="297037AD"/>
    <w:rsid w:val="297828A6"/>
    <w:rsid w:val="297D798E"/>
    <w:rsid w:val="297F4232"/>
    <w:rsid w:val="29874881"/>
    <w:rsid w:val="29882C1C"/>
    <w:rsid w:val="298E50DF"/>
    <w:rsid w:val="29A0718A"/>
    <w:rsid w:val="29AE2DAD"/>
    <w:rsid w:val="29B274E5"/>
    <w:rsid w:val="29DF4A6F"/>
    <w:rsid w:val="29E325E0"/>
    <w:rsid w:val="2A140A5C"/>
    <w:rsid w:val="2A1D4E7B"/>
    <w:rsid w:val="2A202079"/>
    <w:rsid w:val="2A230C9B"/>
    <w:rsid w:val="2A307B20"/>
    <w:rsid w:val="2A336250"/>
    <w:rsid w:val="2A43463F"/>
    <w:rsid w:val="2A452503"/>
    <w:rsid w:val="2A4E54E8"/>
    <w:rsid w:val="2A5C6069"/>
    <w:rsid w:val="2A681272"/>
    <w:rsid w:val="2A7E571E"/>
    <w:rsid w:val="2A8A2314"/>
    <w:rsid w:val="2AA146F2"/>
    <w:rsid w:val="2ACB0237"/>
    <w:rsid w:val="2B0B38BD"/>
    <w:rsid w:val="2B2226C7"/>
    <w:rsid w:val="2B395F7F"/>
    <w:rsid w:val="2B3B74A1"/>
    <w:rsid w:val="2B4F21B4"/>
    <w:rsid w:val="2B742A09"/>
    <w:rsid w:val="2B756A06"/>
    <w:rsid w:val="2B851320"/>
    <w:rsid w:val="2B942D1F"/>
    <w:rsid w:val="2BA72275"/>
    <w:rsid w:val="2BA936A8"/>
    <w:rsid w:val="2BBC5615"/>
    <w:rsid w:val="2BC01D66"/>
    <w:rsid w:val="2BD31A99"/>
    <w:rsid w:val="2BE912BD"/>
    <w:rsid w:val="2C072B97"/>
    <w:rsid w:val="2C315A5A"/>
    <w:rsid w:val="2C3E7096"/>
    <w:rsid w:val="2C46226B"/>
    <w:rsid w:val="2C4B1C25"/>
    <w:rsid w:val="2C4B5AD3"/>
    <w:rsid w:val="2C5030EA"/>
    <w:rsid w:val="2C7D7687"/>
    <w:rsid w:val="2CAD22EA"/>
    <w:rsid w:val="2CFC24CD"/>
    <w:rsid w:val="2D0D3934"/>
    <w:rsid w:val="2D335FEA"/>
    <w:rsid w:val="2D346567"/>
    <w:rsid w:val="2D53577E"/>
    <w:rsid w:val="2D79041E"/>
    <w:rsid w:val="2D8D2C52"/>
    <w:rsid w:val="2D9E56F5"/>
    <w:rsid w:val="2DC76FCF"/>
    <w:rsid w:val="2DCE0F02"/>
    <w:rsid w:val="2DE51610"/>
    <w:rsid w:val="2E00222B"/>
    <w:rsid w:val="2E0F2B31"/>
    <w:rsid w:val="2E24482E"/>
    <w:rsid w:val="2E406FC4"/>
    <w:rsid w:val="2E450300"/>
    <w:rsid w:val="2E4D4C86"/>
    <w:rsid w:val="2E5640A3"/>
    <w:rsid w:val="2E597998"/>
    <w:rsid w:val="2E5A5DFA"/>
    <w:rsid w:val="2E610457"/>
    <w:rsid w:val="2E667F96"/>
    <w:rsid w:val="2E6739BF"/>
    <w:rsid w:val="2E6C11DA"/>
    <w:rsid w:val="2E7A61FC"/>
    <w:rsid w:val="2E7F447D"/>
    <w:rsid w:val="2E8226AB"/>
    <w:rsid w:val="2E860788"/>
    <w:rsid w:val="2E911C52"/>
    <w:rsid w:val="2E951F55"/>
    <w:rsid w:val="2EB10CDE"/>
    <w:rsid w:val="2ED169AC"/>
    <w:rsid w:val="2ED57A07"/>
    <w:rsid w:val="2EE06969"/>
    <w:rsid w:val="2EE113A8"/>
    <w:rsid w:val="2EE163AD"/>
    <w:rsid w:val="2EE95130"/>
    <w:rsid w:val="2EEA5024"/>
    <w:rsid w:val="2F0E4E31"/>
    <w:rsid w:val="2F2A2F86"/>
    <w:rsid w:val="2F377112"/>
    <w:rsid w:val="2F381748"/>
    <w:rsid w:val="2F382824"/>
    <w:rsid w:val="2F3F7372"/>
    <w:rsid w:val="2F5466E1"/>
    <w:rsid w:val="2F650C5A"/>
    <w:rsid w:val="2F683F08"/>
    <w:rsid w:val="2F6B49CC"/>
    <w:rsid w:val="2F754C15"/>
    <w:rsid w:val="2FA430E4"/>
    <w:rsid w:val="2FB53218"/>
    <w:rsid w:val="2FC06745"/>
    <w:rsid w:val="2FD065E6"/>
    <w:rsid w:val="2FD96870"/>
    <w:rsid w:val="2FDB53C0"/>
    <w:rsid w:val="2FEC2B66"/>
    <w:rsid w:val="2FF02762"/>
    <w:rsid w:val="3014442E"/>
    <w:rsid w:val="30156509"/>
    <w:rsid w:val="30172C4A"/>
    <w:rsid w:val="30197C97"/>
    <w:rsid w:val="303743D2"/>
    <w:rsid w:val="30580BC9"/>
    <w:rsid w:val="305A62E5"/>
    <w:rsid w:val="3070265D"/>
    <w:rsid w:val="308101D7"/>
    <w:rsid w:val="30814BA1"/>
    <w:rsid w:val="3088073D"/>
    <w:rsid w:val="309641D1"/>
    <w:rsid w:val="309B6A99"/>
    <w:rsid w:val="30A1545F"/>
    <w:rsid w:val="30A92DC8"/>
    <w:rsid w:val="30AF6576"/>
    <w:rsid w:val="30D140CD"/>
    <w:rsid w:val="30D27F7E"/>
    <w:rsid w:val="30D84848"/>
    <w:rsid w:val="30E85D10"/>
    <w:rsid w:val="30EB1633"/>
    <w:rsid w:val="30F15CDC"/>
    <w:rsid w:val="30F407A7"/>
    <w:rsid w:val="30FD0D95"/>
    <w:rsid w:val="31087285"/>
    <w:rsid w:val="31093867"/>
    <w:rsid w:val="311741D6"/>
    <w:rsid w:val="311C389A"/>
    <w:rsid w:val="311E2ED7"/>
    <w:rsid w:val="314B3E80"/>
    <w:rsid w:val="315619EE"/>
    <w:rsid w:val="315C449C"/>
    <w:rsid w:val="316568CD"/>
    <w:rsid w:val="316B2C57"/>
    <w:rsid w:val="317433D6"/>
    <w:rsid w:val="319F38CE"/>
    <w:rsid w:val="31AD0696"/>
    <w:rsid w:val="31B7355C"/>
    <w:rsid w:val="31B82709"/>
    <w:rsid w:val="31C5792B"/>
    <w:rsid w:val="31CD2AE7"/>
    <w:rsid w:val="31D05482"/>
    <w:rsid w:val="31D66EE9"/>
    <w:rsid w:val="31FA6D9F"/>
    <w:rsid w:val="320F4EAD"/>
    <w:rsid w:val="32186458"/>
    <w:rsid w:val="322F72FD"/>
    <w:rsid w:val="32400B34"/>
    <w:rsid w:val="326276D3"/>
    <w:rsid w:val="328E671A"/>
    <w:rsid w:val="329E6876"/>
    <w:rsid w:val="32BD6FFF"/>
    <w:rsid w:val="32D560F7"/>
    <w:rsid w:val="32E225C2"/>
    <w:rsid w:val="32F32A21"/>
    <w:rsid w:val="331721C3"/>
    <w:rsid w:val="3317670F"/>
    <w:rsid w:val="333015F2"/>
    <w:rsid w:val="334B6320"/>
    <w:rsid w:val="334E07A6"/>
    <w:rsid w:val="33552D94"/>
    <w:rsid w:val="33846C67"/>
    <w:rsid w:val="33A15302"/>
    <w:rsid w:val="33A412DC"/>
    <w:rsid w:val="33D934D4"/>
    <w:rsid w:val="33FE2F6A"/>
    <w:rsid w:val="340E07E5"/>
    <w:rsid w:val="34235BF7"/>
    <w:rsid w:val="34531429"/>
    <w:rsid w:val="345D3208"/>
    <w:rsid w:val="34602FDD"/>
    <w:rsid w:val="347F706F"/>
    <w:rsid w:val="34E16037"/>
    <w:rsid w:val="34F32864"/>
    <w:rsid w:val="35492DCC"/>
    <w:rsid w:val="354E4AE3"/>
    <w:rsid w:val="35533053"/>
    <w:rsid w:val="35731D6B"/>
    <w:rsid w:val="357363B7"/>
    <w:rsid w:val="3576493C"/>
    <w:rsid w:val="3586715F"/>
    <w:rsid w:val="358C5FA8"/>
    <w:rsid w:val="35926521"/>
    <w:rsid w:val="35943341"/>
    <w:rsid w:val="359673D3"/>
    <w:rsid w:val="35AE7CBF"/>
    <w:rsid w:val="35C15DF1"/>
    <w:rsid w:val="35C30390"/>
    <w:rsid w:val="35DC016C"/>
    <w:rsid w:val="35DE45B0"/>
    <w:rsid w:val="36074A7F"/>
    <w:rsid w:val="36486BE0"/>
    <w:rsid w:val="365366A3"/>
    <w:rsid w:val="366817EF"/>
    <w:rsid w:val="36716136"/>
    <w:rsid w:val="36806379"/>
    <w:rsid w:val="368E1235"/>
    <w:rsid w:val="36923549"/>
    <w:rsid w:val="36973A65"/>
    <w:rsid w:val="36AE738B"/>
    <w:rsid w:val="36B06643"/>
    <w:rsid w:val="36B75FBF"/>
    <w:rsid w:val="36BD0C45"/>
    <w:rsid w:val="36C400A0"/>
    <w:rsid w:val="36F47CE2"/>
    <w:rsid w:val="36FC30A3"/>
    <w:rsid w:val="37036E21"/>
    <w:rsid w:val="370B05AB"/>
    <w:rsid w:val="37271276"/>
    <w:rsid w:val="37377380"/>
    <w:rsid w:val="37405B09"/>
    <w:rsid w:val="375A12C0"/>
    <w:rsid w:val="3761653E"/>
    <w:rsid w:val="37625508"/>
    <w:rsid w:val="376B00B0"/>
    <w:rsid w:val="376E5B7E"/>
    <w:rsid w:val="37807A1C"/>
    <w:rsid w:val="37830AE7"/>
    <w:rsid w:val="378D0A0B"/>
    <w:rsid w:val="379B7E94"/>
    <w:rsid w:val="37A04A05"/>
    <w:rsid w:val="37A75B88"/>
    <w:rsid w:val="37E00298"/>
    <w:rsid w:val="37E40B8A"/>
    <w:rsid w:val="37ED5C91"/>
    <w:rsid w:val="37F214F9"/>
    <w:rsid w:val="37FF1366"/>
    <w:rsid w:val="38093155"/>
    <w:rsid w:val="382B67B9"/>
    <w:rsid w:val="3857135C"/>
    <w:rsid w:val="386341A5"/>
    <w:rsid w:val="38673C95"/>
    <w:rsid w:val="38773ACC"/>
    <w:rsid w:val="387D7D1C"/>
    <w:rsid w:val="389C5B4C"/>
    <w:rsid w:val="38B07939"/>
    <w:rsid w:val="38B302F9"/>
    <w:rsid w:val="38BE771C"/>
    <w:rsid w:val="38CA7D80"/>
    <w:rsid w:val="38EC24CB"/>
    <w:rsid w:val="38F12CD3"/>
    <w:rsid w:val="38F35173"/>
    <w:rsid w:val="38F8669B"/>
    <w:rsid w:val="38F94775"/>
    <w:rsid w:val="38FD6EBD"/>
    <w:rsid w:val="39161217"/>
    <w:rsid w:val="391B682D"/>
    <w:rsid w:val="392971ED"/>
    <w:rsid w:val="392E2DE3"/>
    <w:rsid w:val="39325651"/>
    <w:rsid w:val="39374ADD"/>
    <w:rsid w:val="393E6305"/>
    <w:rsid w:val="39472B23"/>
    <w:rsid w:val="39523D86"/>
    <w:rsid w:val="395A55A8"/>
    <w:rsid w:val="39755C60"/>
    <w:rsid w:val="39842625"/>
    <w:rsid w:val="399D36E6"/>
    <w:rsid w:val="39B7566E"/>
    <w:rsid w:val="39DC7D6B"/>
    <w:rsid w:val="3A042A9E"/>
    <w:rsid w:val="3A070B98"/>
    <w:rsid w:val="3A0B2151"/>
    <w:rsid w:val="3A20427C"/>
    <w:rsid w:val="3A3758E9"/>
    <w:rsid w:val="3A397547"/>
    <w:rsid w:val="3A872856"/>
    <w:rsid w:val="3AE63FE8"/>
    <w:rsid w:val="3AF863C4"/>
    <w:rsid w:val="3B222629"/>
    <w:rsid w:val="3B2E0210"/>
    <w:rsid w:val="3B3763D1"/>
    <w:rsid w:val="3B4B0235"/>
    <w:rsid w:val="3B51070A"/>
    <w:rsid w:val="3B571376"/>
    <w:rsid w:val="3B791E52"/>
    <w:rsid w:val="3BAD22F7"/>
    <w:rsid w:val="3BC031BF"/>
    <w:rsid w:val="3BCB69EF"/>
    <w:rsid w:val="3BCD0B24"/>
    <w:rsid w:val="3BE949C1"/>
    <w:rsid w:val="3BF93444"/>
    <w:rsid w:val="3BFD503A"/>
    <w:rsid w:val="3C017F5D"/>
    <w:rsid w:val="3C100ED6"/>
    <w:rsid w:val="3C2F6E1E"/>
    <w:rsid w:val="3C446345"/>
    <w:rsid w:val="3C4B76EA"/>
    <w:rsid w:val="3C4F64BA"/>
    <w:rsid w:val="3C63550D"/>
    <w:rsid w:val="3C771FCD"/>
    <w:rsid w:val="3C961E40"/>
    <w:rsid w:val="3C9A0E61"/>
    <w:rsid w:val="3CB44FCF"/>
    <w:rsid w:val="3CDA245A"/>
    <w:rsid w:val="3CEA279F"/>
    <w:rsid w:val="3CFF77C3"/>
    <w:rsid w:val="3D17730C"/>
    <w:rsid w:val="3D1D4460"/>
    <w:rsid w:val="3D1E06B7"/>
    <w:rsid w:val="3D40214C"/>
    <w:rsid w:val="3D717ED1"/>
    <w:rsid w:val="3D996062"/>
    <w:rsid w:val="3D9C6460"/>
    <w:rsid w:val="3DCA3169"/>
    <w:rsid w:val="3DDF607B"/>
    <w:rsid w:val="3DE73182"/>
    <w:rsid w:val="3DE8745E"/>
    <w:rsid w:val="3DED146C"/>
    <w:rsid w:val="3DF80EEB"/>
    <w:rsid w:val="3DF86485"/>
    <w:rsid w:val="3E280AB6"/>
    <w:rsid w:val="3E570308"/>
    <w:rsid w:val="3E784DEA"/>
    <w:rsid w:val="3E7A446C"/>
    <w:rsid w:val="3E946E66"/>
    <w:rsid w:val="3E9E1A93"/>
    <w:rsid w:val="3EC51715"/>
    <w:rsid w:val="3EC51A06"/>
    <w:rsid w:val="3EDA0523"/>
    <w:rsid w:val="3EE623D1"/>
    <w:rsid w:val="3EEC4EF4"/>
    <w:rsid w:val="3EF55F56"/>
    <w:rsid w:val="3F1D1D3F"/>
    <w:rsid w:val="3F343DA0"/>
    <w:rsid w:val="3F3B388B"/>
    <w:rsid w:val="3F4134FA"/>
    <w:rsid w:val="3F487C50"/>
    <w:rsid w:val="3F5262EB"/>
    <w:rsid w:val="3F5C46E6"/>
    <w:rsid w:val="3F5D7BA0"/>
    <w:rsid w:val="3F6B622A"/>
    <w:rsid w:val="3F796754"/>
    <w:rsid w:val="3F926227"/>
    <w:rsid w:val="3F93711E"/>
    <w:rsid w:val="3F94763F"/>
    <w:rsid w:val="3F956AB6"/>
    <w:rsid w:val="3FD067E3"/>
    <w:rsid w:val="3FD34F25"/>
    <w:rsid w:val="3FDC579F"/>
    <w:rsid w:val="3FE200A5"/>
    <w:rsid w:val="3FF878C8"/>
    <w:rsid w:val="40095632"/>
    <w:rsid w:val="400F6201"/>
    <w:rsid w:val="400F7B12"/>
    <w:rsid w:val="401D7E01"/>
    <w:rsid w:val="403035FF"/>
    <w:rsid w:val="404F7D01"/>
    <w:rsid w:val="405237FD"/>
    <w:rsid w:val="40612931"/>
    <w:rsid w:val="407A6407"/>
    <w:rsid w:val="40957E2C"/>
    <w:rsid w:val="40963E5D"/>
    <w:rsid w:val="40A47108"/>
    <w:rsid w:val="40CF687B"/>
    <w:rsid w:val="40D07EFD"/>
    <w:rsid w:val="40E8566F"/>
    <w:rsid w:val="41055F09"/>
    <w:rsid w:val="414E7F32"/>
    <w:rsid w:val="41597EF3"/>
    <w:rsid w:val="41633578"/>
    <w:rsid w:val="416F3BBA"/>
    <w:rsid w:val="41706A33"/>
    <w:rsid w:val="41814FFF"/>
    <w:rsid w:val="41A35402"/>
    <w:rsid w:val="41B6527A"/>
    <w:rsid w:val="41D77E86"/>
    <w:rsid w:val="4200449D"/>
    <w:rsid w:val="42355B4F"/>
    <w:rsid w:val="423A3BCC"/>
    <w:rsid w:val="423E5C7F"/>
    <w:rsid w:val="42415B02"/>
    <w:rsid w:val="424E57D2"/>
    <w:rsid w:val="425B1450"/>
    <w:rsid w:val="427B7848"/>
    <w:rsid w:val="42925DB2"/>
    <w:rsid w:val="42A11B51"/>
    <w:rsid w:val="42B26C49"/>
    <w:rsid w:val="42FC147E"/>
    <w:rsid w:val="430D3587"/>
    <w:rsid w:val="433A6FE6"/>
    <w:rsid w:val="434227C5"/>
    <w:rsid w:val="43480868"/>
    <w:rsid w:val="4350713C"/>
    <w:rsid w:val="436653E0"/>
    <w:rsid w:val="436E4B10"/>
    <w:rsid w:val="436F49F9"/>
    <w:rsid w:val="43814017"/>
    <w:rsid w:val="43BC29BB"/>
    <w:rsid w:val="43BD0F6E"/>
    <w:rsid w:val="43BD6E5F"/>
    <w:rsid w:val="43BF7315"/>
    <w:rsid w:val="43C4431A"/>
    <w:rsid w:val="43D13BDA"/>
    <w:rsid w:val="43E268C5"/>
    <w:rsid w:val="43E7775F"/>
    <w:rsid w:val="43EA671A"/>
    <w:rsid w:val="440A7BCA"/>
    <w:rsid w:val="440D3C5A"/>
    <w:rsid w:val="442B3EE9"/>
    <w:rsid w:val="443E401C"/>
    <w:rsid w:val="447137A5"/>
    <w:rsid w:val="4488746D"/>
    <w:rsid w:val="449A71A0"/>
    <w:rsid w:val="449D218D"/>
    <w:rsid w:val="44B951CC"/>
    <w:rsid w:val="44BE2E8F"/>
    <w:rsid w:val="44C67A8A"/>
    <w:rsid w:val="44CD14E0"/>
    <w:rsid w:val="44CD7E13"/>
    <w:rsid w:val="44E35A2E"/>
    <w:rsid w:val="44F20B0B"/>
    <w:rsid w:val="45100203"/>
    <w:rsid w:val="451231DA"/>
    <w:rsid w:val="45126D2D"/>
    <w:rsid w:val="452A7294"/>
    <w:rsid w:val="452B7DF8"/>
    <w:rsid w:val="452E5F4C"/>
    <w:rsid w:val="45356B95"/>
    <w:rsid w:val="45372C41"/>
    <w:rsid w:val="454021E6"/>
    <w:rsid w:val="45526AFF"/>
    <w:rsid w:val="45612018"/>
    <w:rsid w:val="458946E9"/>
    <w:rsid w:val="45A47C0E"/>
    <w:rsid w:val="45AD30C5"/>
    <w:rsid w:val="45B140E3"/>
    <w:rsid w:val="45D40490"/>
    <w:rsid w:val="45D71D2E"/>
    <w:rsid w:val="45E52077"/>
    <w:rsid w:val="460C7E91"/>
    <w:rsid w:val="46113492"/>
    <w:rsid w:val="462D6C1B"/>
    <w:rsid w:val="462D7172"/>
    <w:rsid w:val="46456C98"/>
    <w:rsid w:val="46496788"/>
    <w:rsid w:val="46577FD6"/>
    <w:rsid w:val="467A20DB"/>
    <w:rsid w:val="46845A12"/>
    <w:rsid w:val="46D955A7"/>
    <w:rsid w:val="46F030A7"/>
    <w:rsid w:val="46F17818"/>
    <w:rsid w:val="46FC6FC1"/>
    <w:rsid w:val="47093A73"/>
    <w:rsid w:val="47133957"/>
    <w:rsid w:val="474F1D27"/>
    <w:rsid w:val="476461BE"/>
    <w:rsid w:val="477737C9"/>
    <w:rsid w:val="47906638"/>
    <w:rsid w:val="47A07E0C"/>
    <w:rsid w:val="47A16222"/>
    <w:rsid w:val="47D44777"/>
    <w:rsid w:val="47FF4729"/>
    <w:rsid w:val="48081741"/>
    <w:rsid w:val="480D18E1"/>
    <w:rsid w:val="481C5448"/>
    <w:rsid w:val="484C70D7"/>
    <w:rsid w:val="4858307D"/>
    <w:rsid w:val="486755EB"/>
    <w:rsid w:val="4870272E"/>
    <w:rsid w:val="48A24875"/>
    <w:rsid w:val="48B40DA3"/>
    <w:rsid w:val="48D17A0D"/>
    <w:rsid w:val="48F50E49"/>
    <w:rsid w:val="48F549A5"/>
    <w:rsid w:val="49497BDC"/>
    <w:rsid w:val="496863A6"/>
    <w:rsid w:val="4968786D"/>
    <w:rsid w:val="49786131"/>
    <w:rsid w:val="4979723C"/>
    <w:rsid w:val="497C0C22"/>
    <w:rsid w:val="498220E6"/>
    <w:rsid w:val="498B57E2"/>
    <w:rsid w:val="499C7517"/>
    <w:rsid w:val="49B70BA8"/>
    <w:rsid w:val="49C76CAB"/>
    <w:rsid w:val="49DC7715"/>
    <w:rsid w:val="49E620CF"/>
    <w:rsid w:val="49EC1F28"/>
    <w:rsid w:val="4A023139"/>
    <w:rsid w:val="4A1B37FC"/>
    <w:rsid w:val="4A25767D"/>
    <w:rsid w:val="4A4C6847"/>
    <w:rsid w:val="4A5673B8"/>
    <w:rsid w:val="4A602910"/>
    <w:rsid w:val="4A611FC4"/>
    <w:rsid w:val="4A723167"/>
    <w:rsid w:val="4A7B576F"/>
    <w:rsid w:val="4A815424"/>
    <w:rsid w:val="4A892AA5"/>
    <w:rsid w:val="4A8C27E6"/>
    <w:rsid w:val="4AF34F14"/>
    <w:rsid w:val="4AF561A9"/>
    <w:rsid w:val="4B1A4B97"/>
    <w:rsid w:val="4B1B26BD"/>
    <w:rsid w:val="4B2515FD"/>
    <w:rsid w:val="4B4B4D50"/>
    <w:rsid w:val="4B4E65EF"/>
    <w:rsid w:val="4B555BCF"/>
    <w:rsid w:val="4B702A09"/>
    <w:rsid w:val="4B7327E6"/>
    <w:rsid w:val="4B756271"/>
    <w:rsid w:val="4B92472D"/>
    <w:rsid w:val="4B9A64FB"/>
    <w:rsid w:val="4B9C6F93"/>
    <w:rsid w:val="4BA206E8"/>
    <w:rsid w:val="4BB27829"/>
    <w:rsid w:val="4BB941BC"/>
    <w:rsid w:val="4BBF68F6"/>
    <w:rsid w:val="4BD6051A"/>
    <w:rsid w:val="4BE07B8E"/>
    <w:rsid w:val="4C186C68"/>
    <w:rsid w:val="4C4A0649"/>
    <w:rsid w:val="4C7E5ECA"/>
    <w:rsid w:val="4C876AA5"/>
    <w:rsid w:val="4C9E09F7"/>
    <w:rsid w:val="4CB87F65"/>
    <w:rsid w:val="4CBD7B10"/>
    <w:rsid w:val="4CC22F86"/>
    <w:rsid w:val="4CC254E6"/>
    <w:rsid w:val="4CC312AD"/>
    <w:rsid w:val="4CC610F0"/>
    <w:rsid w:val="4CEA67EB"/>
    <w:rsid w:val="4CEF4F02"/>
    <w:rsid w:val="4CF75AB0"/>
    <w:rsid w:val="4CFB6302"/>
    <w:rsid w:val="4D01672A"/>
    <w:rsid w:val="4D0E00FB"/>
    <w:rsid w:val="4D10183F"/>
    <w:rsid w:val="4D176606"/>
    <w:rsid w:val="4D4D11A6"/>
    <w:rsid w:val="4D697710"/>
    <w:rsid w:val="4DA22C22"/>
    <w:rsid w:val="4DA364F2"/>
    <w:rsid w:val="4DC332C4"/>
    <w:rsid w:val="4DC66797"/>
    <w:rsid w:val="4DCE3A17"/>
    <w:rsid w:val="4DE35F39"/>
    <w:rsid w:val="4DEC4FB0"/>
    <w:rsid w:val="4DF214C3"/>
    <w:rsid w:val="4DFA0CB0"/>
    <w:rsid w:val="4E075D8A"/>
    <w:rsid w:val="4E093A17"/>
    <w:rsid w:val="4E096E86"/>
    <w:rsid w:val="4E173E84"/>
    <w:rsid w:val="4E2F6BAB"/>
    <w:rsid w:val="4E516B22"/>
    <w:rsid w:val="4E530EBE"/>
    <w:rsid w:val="4E561001"/>
    <w:rsid w:val="4E6D3230"/>
    <w:rsid w:val="4EB40842"/>
    <w:rsid w:val="4EB62E28"/>
    <w:rsid w:val="4EC00FAD"/>
    <w:rsid w:val="4EFB424F"/>
    <w:rsid w:val="4F253B0A"/>
    <w:rsid w:val="4F455F5A"/>
    <w:rsid w:val="4F4A36BE"/>
    <w:rsid w:val="4F5827B5"/>
    <w:rsid w:val="4F8272FA"/>
    <w:rsid w:val="4F864551"/>
    <w:rsid w:val="4F9843DC"/>
    <w:rsid w:val="4FBF11AA"/>
    <w:rsid w:val="4FC60F3A"/>
    <w:rsid w:val="4FC62A8C"/>
    <w:rsid w:val="4FE20F0D"/>
    <w:rsid w:val="4FE47521"/>
    <w:rsid w:val="4FE51552"/>
    <w:rsid w:val="4FF5653C"/>
    <w:rsid w:val="4FFA054B"/>
    <w:rsid w:val="50013F50"/>
    <w:rsid w:val="50111EE2"/>
    <w:rsid w:val="501D04CE"/>
    <w:rsid w:val="5023629C"/>
    <w:rsid w:val="50303B05"/>
    <w:rsid w:val="5031572A"/>
    <w:rsid w:val="504F2CD4"/>
    <w:rsid w:val="50504C4B"/>
    <w:rsid w:val="505437C8"/>
    <w:rsid w:val="505E3973"/>
    <w:rsid w:val="5066262C"/>
    <w:rsid w:val="50722D7F"/>
    <w:rsid w:val="509C6E7C"/>
    <w:rsid w:val="50C04D6B"/>
    <w:rsid w:val="50C60EF7"/>
    <w:rsid w:val="50DD7286"/>
    <w:rsid w:val="50FC089B"/>
    <w:rsid w:val="510C31D4"/>
    <w:rsid w:val="510F05CE"/>
    <w:rsid w:val="51174780"/>
    <w:rsid w:val="51200A2D"/>
    <w:rsid w:val="513A1AEF"/>
    <w:rsid w:val="514F6FF6"/>
    <w:rsid w:val="5162104E"/>
    <w:rsid w:val="51673850"/>
    <w:rsid w:val="51B36AED"/>
    <w:rsid w:val="51E1640E"/>
    <w:rsid w:val="51E67581"/>
    <w:rsid w:val="51F07F4B"/>
    <w:rsid w:val="521758C8"/>
    <w:rsid w:val="52360B8B"/>
    <w:rsid w:val="52366E7C"/>
    <w:rsid w:val="523B3EDA"/>
    <w:rsid w:val="523E73BD"/>
    <w:rsid w:val="52410886"/>
    <w:rsid w:val="524B3BB4"/>
    <w:rsid w:val="5250485D"/>
    <w:rsid w:val="526F3A1A"/>
    <w:rsid w:val="52744BA5"/>
    <w:rsid w:val="527821A3"/>
    <w:rsid w:val="527A442E"/>
    <w:rsid w:val="529E1010"/>
    <w:rsid w:val="52AB4326"/>
    <w:rsid w:val="52B5378E"/>
    <w:rsid w:val="52B96A43"/>
    <w:rsid w:val="52C553E8"/>
    <w:rsid w:val="52CD63B2"/>
    <w:rsid w:val="53051C89"/>
    <w:rsid w:val="53053561"/>
    <w:rsid w:val="530A6B20"/>
    <w:rsid w:val="53206AC2"/>
    <w:rsid w:val="534112A6"/>
    <w:rsid w:val="534529CD"/>
    <w:rsid w:val="5358034C"/>
    <w:rsid w:val="536B720E"/>
    <w:rsid w:val="53705894"/>
    <w:rsid w:val="53A039CC"/>
    <w:rsid w:val="53A1505A"/>
    <w:rsid w:val="53C402D2"/>
    <w:rsid w:val="53EC1861"/>
    <w:rsid w:val="53FC12DE"/>
    <w:rsid w:val="53FF5A3F"/>
    <w:rsid w:val="54063E08"/>
    <w:rsid w:val="540D0DB2"/>
    <w:rsid w:val="540E1011"/>
    <w:rsid w:val="54293E31"/>
    <w:rsid w:val="543437E8"/>
    <w:rsid w:val="543A78B4"/>
    <w:rsid w:val="545D6F6D"/>
    <w:rsid w:val="54720CF8"/>
    <w:rsid w:val="549513A8"/>
    <w:rsid w:val="54984662"/>
    <w:rsid w:val="549B5FE3"/>
    <w:rsid w:val="54AE00FE"/>
    <w:rsid w:val="54B75204"/>
    <w:rsid w:val="54BF230B"/>
    <w:rsid w:val="54DA6459"/>
    <w:rsid w:val="54F73313"/>
    <w:rsid w:val="54F80955"/>
    <w:rsid w:val="54F839D0"/>
    <w:rsid w:val="552C341D"/>
    <w:rsid w:val="55314FB7"/>
    <w:rsid w:val="554F368F"/>
    <w:rsid w:val="555170A7"/>
    <w:rsid w:val="55520454"/>
    <w:rsid w:val="55575079"/>
    <w:rsid w:val="55853555"/>
    <w:rsid w:val="5587536D"/>
    <w:rsid w:val="559B174B"/>
    <w:rsid w:val="55A10450"/>
    <w:rsid w:val="55B22172"/>
    <w:rsid w:val="55B24970"/>
    <w:rsid w:val="55C91693"/>
    <w:rsid w:val="55CE0CF4"/>
    <w:rsid w:val="55D02241"/>
    <w:rsid w:val="55D3255C"/>
    <w:rsid w:val="55E97640"/>
    <w:rsid w:val="55EE10FA"/>
    <w:rsid w:val="56004989"/>
    <w:rsid w:val="56373205"/>
    <w:rsid w:val="56373A45"/>
    <w:rsid w:val="566D62CB"/>
    <w:rsid w:val="566D67EB"/>
    <w:rsid w:val="56723AD9"/>
    <w:rsid w:val="56872972"/>
    <w:rsid w:val="568B455C"/>
    <w:rsid w:val="56A20F7C"/>
    <w:rsid w:val="56AF5FD6"/>
    <w:rsid w:val="56B210D7"/>
    <w:rsid w:val="56B22A9C"/>
    <w:rsid w:val="56C12C6B"/>
    <w:rsid w:val="56C1680E"/>
    <w:rsid w:val="56CD51B3"/>
    <w:rsid w:val="56D7393C"/>
    <w:rsid w:val="56DE7495"/>
    <w:rsid w:val="56E024CA"/>
    <w:rsid w:val="56EA2FE5"/>
    <w:rsid w:val="56FF5B35"/>
    <w:rsid w:val="57085403"/>
    <w:rsid w:val="570E19B8"/>
    <w:rsid w:val="571F691E"/>
    <w:rsid w:val="57426116"/>
    <w:rsid w:val="574261D1"/>
    <w:rsid w:val="574F3E1A"/>
    <w:rsid w:val="57532F8E"/>
    <w:rsid w:val="576F1DC6"/>
    <w:rsid w:val="57772010"/>
    <w:rsid w:val="577A05B5"/>
    <w:rsid w:val="578A4E52"/>
    <w:rsid w:val="57A777B2"/>
    <w:rsid w:val="57AD375A"/>
    <w:rsid w:val="57B72A76"/>
    <w:rsid w:val="57C2639A"/>
    <w:rsid w:val="57C3426C"/>
    <w:rsid w:val="57CE1F93"/>
    <w:rsid w:val="57D61E46"/>
    <w:rsid w:val="57DF519E"/>
    <w:rsid w:val="58027C9C"/>
    <w:rsid w:val="58093FC9"/>
    <w:rsid w:val="581949DE"/>
    <w:rsid w:val="583C42B6"/>
    <w:rsid w:val="58670D6E"/>
    <w:rsid w:val="586D09FC"/>
    <w:rsid w:val="58725E54"/>
    <w:rsid w:val="58726012"/>
    <w:rsid w:val="588743D1"/>
    <w:rsid w:val="5887701A"/>
    <w:rsid w:val="589774CF"/>
    <w:rsid w:val="589F1382"/>
    <w:rsid w:val="58A43CF2"/>
    <w:rsid w:val="58D16117"/>
    <w:rsid w:val="58D57158"/>
    <w:rsid w:val="58FB25DD"/>
    <w:rsid w:val="58FC1D80"/>
    <w:rsid w:val="590957E4"/>
    <w:rsid w:val="59120BC1"/>
    <w:rsid w:val="5919648E"/>
    <w:rsid w:val="592D018B"/>
    <w:rsid w:val="598B6C60"/>
    <w:rsid w:val="59925215"/>
    <w:rsid w:val="599D70BF"/>
    <w:rsid w:val="59C0439F"/>
    <w:rsid w:val="59CC40DA"/>
    <w:rsid w:val="59DB1995"/>
    <w:rsid w:val="5A0A04CC"/>
    <w:rsid w:val="5A0A4204"/>
    <w:rsid w:val="5A205E72"/>
    <w:rsid w:val="5A3A4BF5"/>
    <w:rsid w:val="5A47702B"/>
    <w:rsid w:val="5A7F2485"/>
    <w:rsid w:val="5A9B4598"/>
    <w:rsid w:val="5ABE2233"/>
    <w:rsid w:val="5AC02939"/>
    <w:rsid w:val="5AE605F2"/>
    <w:rsid w:val="5AE70EB7"/>
    <w:rsid w:val="5AEB5C08"/>
    <w:rsid w:val="5B106CEA"/>
    <w:rsid w:val="5B153663"/>
    <w:rsid w:val="5B1B2D14"/>
    <w:rsid w:val="5B3E6680"/>
    <w:rsid w:val="5BBC287D"/>
    <w:rsid w:val="5BC54DAD"/>
    <w:rsid w:val="5BDD7C46"/>
    <w:rsid w:val="5BDF5D95"/>
    <w:rsid w:val="5BFE5E0F"/>
    <w:rsid w:val="5BFE7528"/>
    <w:rsid w:val="5C1F3637"/>
    <w:rsid w:val="5C217E2B"/>
    <w:rsid w:val="5C2A2760"/>
    <w:rsid w:val="5C3B496D"/>
    <w:rsid w:val="5C4943A0"/>
    <w:rsid w:val="5C5D48E3"/>
    <w:rsid w:val="5CF1327E"/>
    <w:rsid w:val="5D0530DC"/>
    <w:rsid w:val="5D150526"/>
    <w:rsid w:val="5D284EF1"/>
    <w:rsid w:val="5D3B29D7"/>
    <w:rsid w:val="5D4C029F"/>
    <w:rsid w:val="5D526412"/>
    <w:rsid w:val="5D5C103F"/>
    <w:rsid w:val="5D760AA6"/>
    <w:rsid w:val="5D80754E"/>
    <w:rsid w:val="5D9B7CF5"/>
    <w:rsid w:val="5DCC1624"/>
    <w:rsid w:val="5DD3593E"/>
    <w:rsid w:val="5DE54B90"/>
    <w:rsid w:val="5E164AF7"/>
    <w:rsid w:val="5E1E00A2"/>
    <w:rsid w:val="5E2467F1"/>
    <w:rsid w:val="5E4B08DB"/>
    <w:rsid w:val="5E5341F0"/>
    <w:rsid w:val="5E573D11"/>
    <w:rsid w:val="5E841515"/>
    <w:rsid w:val="5E875C6B"/>
    <w:rsid w:val="5E911837"/>
    <w:rsid w:val="5E967ED9"/>
    <w:rsid w:val="5EAD0409"/>
    <w:rsid w:val="5EBC30A5"/>
    <w:rsid w:val="5EF55450"/>
    <w:rsid w:val="5F1A2B43"/>
    <w:rsid w:val="5F2136D8"/>
    <w:rsid w:val="5F430218"/>
    <w:rsid w:val="5F5C5FB8"/>
    <w:rsid w:val="5F95306B"/>
    <w:rsid w:val="5FA236FB"/>
    <w:rsid w:val="5FA545A4"/>
    <w:rsid w:val="5FAA0EAA"/>
    <w:rsid w:val="5FB837BB"/>
    <w:rsid w:val="5FBF7D7B"/>
    <w:rsid w:val="5FD96977"/>
    <w:rsid w:val="5FEA4962"/>
    <w:rsid w:val="5FF64E8D"/>
    <w:rsid w:val="5FF87E9A"/>
    <w:rsid w:val="600C24C2"/>
    <w:rsid w:val="60112CA1"/>
    <w:rsid w:val="603B17F6"/>
    <w:rsid w:val="603D5747"/>
    <w:rsid w:val="60430FDA"/>
    <w:rsid w:val="605E5A86"/>
    <w:rsid w:val="607700FB"/>
    <w:rsid w:val="607B1FFF"/>
    <w:rsid w:val="60851757"/>
    <w:rsid w:val="60A725D1"/>
    <w:rsid w:val="60CC405A"/>
    <w:rsid w:val="60D05D1B"/>
    <w:rsid w:val="610D0BD0"/>
    <w:rsid w:val="610F5757"/>
    <w:rsid w:val="61181721"/>
    <w:rsid w:val="612105D5"/>
    <w:rsid w:val="61302A02"/>
    <w:rsid w:val="615E238B"/>
    <w:rsid w:val="61693D2A"/>
    <w:rsid w:val="61811074"/>
    <w:rsid w:val="61874052"/>
    <w:rsid w:val="61891CD7"/>
    <w:rsid w:val="61AA30B4"/>
    <w:rsid w:val="61C467F7"/>
    <w:rsid w:val="61E215D8"/>
    <w:rsid w:val="61E6232A"/>
    <w:rsid w:val="61FE26C5"/>
    <w:rsid w:val="6200468F"/>
    <w:rsid w:val="621B3775"/>
    <w:rsid w:val="62273D50"/>
    <w:rsid w:val="62364782"/>
    <w:rsid w:val="62397BA1"/>
    <w:rsid w:val="623C4449"/>
    <w:rsid w:val="625A58C6"/>
    <w:rsid w:val="6275017D"/>
    <w:rsid w:val="62AA708A"/>
    <w:rsid w:val="62DD4B3D"/>
    <w:rsid w:val="62DF2DB2"/>
    <w:rsid w:val="62E73159"/>
    <w:rsid w:val="62F128A8"/>
    <w:rsid w:val="62F769D0"/>
    <w:rsid w:val="633C4575"/>
    <w:rsid w:val="63534C92"/>
    <w:rsid w:val="636724EC"/>
    <w:rsid w:val="637322FD"/>
    <w:rsid w:val="63732C3E"/>
    <w:rsid w:val="638547A7"/>
    <w:rsid w:val="6394356A"/>
    <w:rsid w:val="63AD4637"/>
    <w:rsid w:val="63C61B2C"/>
    <w:rsid w:val="63D40BE9"/>
    <w:rsid w:val="63ED18DE"/>
    <w:rsid w:val="640E648B"/>
    <w:rsid w:val="64102431"/>
    <w:rsid w:val="64114199"/>
    <w:rsid w:val="64287ECD"/>
    <w:rsid w:val="6435353A"/>
    <w:rsid w:val="644F5459"/>
    <w:rsid w:val="64703839"/>
    <w:rsid w:val="64835103"/>
    <w:rsid w:val="64953CF2"/>
    <w:rsid w:val="649C5640"/>
    <w:rsid w:val="64A5243A"/>
    <w:rsid w:val="64CD585D"/>
    <w:rsid w:val="64ED07CF"/>
    <w:rsid w:val="64F531DE"/>
    <w:rsid w:val="64F92717"/>
    <w:rsid w:val="65075602"/>
    <w:rsid w:val="650A3B2D"/>
    <w:rsid w:val="65373578"/>
    <w:rsid w:val="653A0992"/>
    <w:rsid w:val="65411F74"/>
    <w:rsid w:val="65570C29"/>
    <w:rsid w:val="65626BE9"/>
    <w:rsid w:val="6566711C"/>
    <w:rsid w:val="65BF28EC"/>
    <w:rsid w:val="65C43C25"/>
    <w:rsid w:val="65E16216"/>
    <w:rsid w:val="65F938CF"/>
    <w:rsid w:val="66066336"/>
    <w:rsid w:val="661E7CAB"/>
    <w:rsid w:val="662A6CE6"/>
    <w:rsid w:val="662C5E95"/>
    <w:rsid w:val="664C4B61"/>
    <w:rsid w:val="664D2F80"/>
    <w:rsid w:val="66614167"/>
    <w:rsid w:val="666207F9"/>
    <w:rsid w:val="66941A4D"/>
    <w:rsid w:val="66B13E06"/>
    <w:rsid w:val="66CE0A06"/>
    <w:rsid w:val="66D36268"/>
    <w:rsid w:val="66E2321F"/>
    <w:rsid w:val="66EC3434"/>
    <w:rsid w:val="66EC5D4F"/>
    <w:rsid w:val="66F2031E"/>
    <w:rsid w:val="670562A3"/>
    <w:rsid w:val="670A567F"/>
    <w:rsid w:val="67106001"/>
    <w:rsid w:val="67137B2E"/>
    <w:rsid w:val="671A2875"/>
    <w:rsid w:val="671B0B60"/>
    <w:rsid w:val="671F124A"/>
    <w:rsid w:val="6726639E"/>
    <w:rsid w:val="677A33C6"/>
    <w:rsid w:val="67851192"/>
    <w:rsid w:val="679338AF"/>
    <w:rsid w:val="67A55390"/>
    <w:rsid w:val="67DB78E3"/>
    <w:rsid w:val="67E05E01"/>
    <w:rsid w:val="67E50B7E"/>
    <w:rsid w:val="67FE0901"/>
    <w:rsid w:val="68104D86"/>
    <w:rsid w:val="681F15E7"/>
    <w:rsid w:val="681F6961"/>
    <w:rsid w:val="68610A2F"/>
    <w:rsid w:val="686C3201"/>
    <w:rsid w:val="68805514"/>
    <w:rsid w:val="688C2C55"/>
    <w:rsid w:val="68921DB9"/>
    <w:rsid w:val="689618A9"/>
    <w:rsid w:val="68CA50AF"/>
    <w:rsid w:val="68CD2DF1"/>
    <w:rsid w:val="68DB550E"/>
    <w:rsid w:val="68DC3034"/>
    <w:rsid w:val="68E334D4"/>
    <w:rsid w:val="68FB03B5"/>
    <w:rsid w:val="6931512E"/>
    <w:rsid w:val="69316E2F"/>
    <w:rsid w:val="693654E7"/>
    <w:rsid w:val="6940349D"/>
    <w:rsid w:val="69407A67"/>
    <w:rsid w:val="694427FC"/>
    <w:rsid w:val="69456E2B"/>
    <w:rsid w:val="694E2071"/>
    <w:rsid w:val="69702FED"/>
    <w:rsid w:val="697509FA"/>
    <w:rsid w:val="69766163"/>
    <w:rsid w:val="697A3B33"/>
    <w:rsid w:val="69D44760"/>
    <w:rsid w:val="69E41123"/>
    <w:rsid w:val="69EB1ABC"/>
    <w:rsid w:val="69F506C2"/>
    <w:rsid w:val="69F85C4B"/>
    <w:rsid w:val="6A273964"/>
    <w:rsid w:val="6A3E6CC0"/>
    <w:rsid w:val="6A520EC7"/>
    <w:rsid w:val="6A8D6CDC"/>
    <w:rsid w:val="6ABA5D84"/>
    <w:rsid w:val="6ADB5DB0"/>
    <w:rsid w:val="6AF87310"/>
    <w:rsid w:val="6AF87E20"/>
    <w:rsid w:val="6AFD62C2"/>
    <w:rsid w:val="6B0A32B9"/>
    <w:rsid w:val="6B126460"/>
    <w:rsid w:val="6B1C3BBC"/>
    <w:rsid w:val="6B2B3DFF"/>
    <w:rsid w:val="6B2F38EF"/>
    <w:rsid w:val="6B322639"/>
    <w:rsid w:val="6B524310"/>
    <w:rsid w:val="6BB20DE7"/>
    <w:rsid w:val="6BD85E8F"/>
    <w:rsid w:val="6BFA784B"/>
    <w:rsid w:val="6BFE089B"/>
    <w:rsid w:val="6C1B5B96"/>
    <w:rsid w:val="6C206C75"/>
    <w:rsid w:val="6C2C6F23"/>
    <w:rsid w:val="6C4F2C87"/>
    <w:rsid w:val="6C636C38"/>
    <w:rsid w:val="6C7517D5"/>
    <w:rsid w:val="6C76067F"/>
    <w:rsid w:val="6C78592B"/>
    <w:rsid w:val="6C891725"/>
    <w:rsid w:val="6CA976D1"/>
    <w:rsid w:val="6CDE580B"/>
    <w:rsid w:val="6CDE59F2"/>
    <w:rsid w:val="6CE00E08"/>
    <w:rsid w:val="6CFF5543"/>
    <w:rsid w:val="6D136CF8"/>
    <w:rsid w:val="6D140D7C"/>
    <w:rsid w:val="6D1722B4"/>
    <w:rsid w:val="6D1C7EA3"/>
    <w:rsid w:val="6D3E42BD"/>
    <w:rsid w:val="6D497DB3"/>
    <w:rsid w:val="6D542186"/>
    <w:rsid w:val="6D561607"/>
    <w:rsid w:val="6D8617C0"/>
    <w:rsid w:val="6D8754F4"/>
    <w:rsid w:val="6D9179B8"/>
    <w:rsid w:val="6D960B32"/>
    <w:rsid w:val="6DAB5BAA"/>
    <w:rsid w:val="6DB34098"/>
    <w:rsid w:val="6DB545B6"/>
    <w:rsid w:val="6DBE6481"/>
    <w:rsid w:val="6DC01176"/>
    <w:rsid w:val="6DD16EDF"/>
    <w:rsid w:val="6DE02FB4"/>
    <w:rsid w:val="6DFB45FB"/>
    <w:rsid w:val="6E1042A7"/>
    <w:rsid w:val="6E15258B"/>
    <w:rsid w:val="6E3631E6"/>
    <w:rsid w:val="6E514CED"/>
    <w:rsid w:val="6E9248C1"/>
    <w:rsid w:val="6EB563D5"/>
    <w:rsid w:val="6EC24A7A"/>
    <w:rsid w:val="6EC513F0"/>
    <w:rsid w:val="6ED92677"/>
    <w:rsid w:val="6F084689"/>
    <w:rsid w:val="6F200852"/>
    <w:rsid w:val="6F225983"/>
    <w:rsid w:val="6F316A46"/>
    <w:rsid w:val="6F4212CD"/>
    <w:rsid w:val="6F481423"/>
    <w:rsid w:val="6F4F6C88"/>
    <w:rsid w:val="6F5A2396"/>
    <w:rsid w:val="6F5F39F0"/>
    <w:rsid w:val="6F8B2FC1"/>
    <w:rsid w:val="6F937367"/>
    <w:rsid w:val="6FA128E1"/>
    <w:rsid w:val="6FA7548E"/>
    <w:rsid w:val="6FD20CED"/>
    <w:rsid w:val="6FD66A2F"/>
    <w:rsid w:val="6FE51DE9"/>
    <w:rsid w:val="6FE74798"/>
    <w:rsid w:val="6FE97D61"/>
    <w:rsid w:val="6FED5B27"/>
    <w:rsid w:val="6FEF5D43"/>
    <w:rsid w:val="6FF43359"/>
    <w:rsid w:val="6FF8720A"/>
    <w:rsid w:val="6FFC5590"/>
    <w:rsid w:val="70187047"/>
    <w:rsid w:val="70241CE7"/>
    <w:rsid w:val="703655FA"/>
    <w:rsid w:val="705D2AE3"/>
    <w:rsid w:val="706D1DD0"/>
    <w:rsid w:val="708060CD"/>
    <w:rsid w:val="70856B87"/>
    <w:rsid w:val="70AF3D23"/>
    <w:rsid w:val="70D527EE"/>
    <w:rsid w:val="70DA254F"/>
    <w:rsid w:val="70E5288C"/>
    <w:rsid w:val="70EC1407"/>
    <w:rsid w:val="70EC5DDE"/>
    <w:rsid w:val="70EE5FFA"/>
    <w:rsid w:val="70FA674D"/>
    <w:rsid w:val="71353C29"/>
    <w:rsid w:val="714B50D2"/>
    <w:rsid w:val="715B5300"/>
    <w:rsid w:val="715E6CDC"/>
    <w:rsid w:val="71775FF0"/>
    <w:rsid w:val="71824B4E"/>
    <w:rsid w:val="71836742"/>
    <w:rsid w:val="71855563"/>
    <w:rsid w:val="719B67A2"/>
    <w:rsid w:val="71B47019"/>
    <w:rsid w:val="71C373A8"/>
    <w:rsid w:val="71D27F8A"/>
    <w:rsid w:val="720122A6"/>
    <w:rsid w:val="72170CD9"/>
    <w:rsid w:val="72243521"/>
    <w:rsid w:val="724C3491"/>
    <w:rsid w:val="72544D8D"/>
    <w:rsid w:val="72553024"/>
    <w:rsid w:val="725D01F5"/>
    <w:rsid w:val="7285473C"/>
    <w:rsid w:val="728E210C"/>
    <w:rsid w:val="72907646"/>
    <w:rsid w:val="72A66542"/>
    <w:rsid w:val="72B22CB9"/>
    <w:rsid w:val="72BE79D8"/>
    <w:rsid w:val="72C708B1"/>
    <w:rsid w:val="72F2356D"/>
    <w:rsid w:val="7302054C"/>
    <w:rsid w:val="73122968"/>
    <w:rsid w:val="731F5D5E"/>
    <w:rsid w:val="73277CD1"/>
    <w:rsid w:val="73426189"/>
    <w:rsid w:val="736D3206"/>
    <w:rsid w:val="73792049"/>
    <w:rsid w:val="738430F5"/>
    <w:rsid w:val="738C277B"/>
    <w:rsid w:val="73AD3DD2"/>
    <w:rsid w:val="73BF6062"/>
    <w:rsid w:val="73C51AD5"/>
    <w:rsid w:val="73D414D7"/>
    <w:rsid w:val="73E850C1"/>
    <w:rsid w:val="73FB269B"/>
    <w:rsid w:val="73FF4C11"/>
    <w:rsid w:val="73FF599B"/>
    <w:rsid w:val="740578E3"/>
    <w:rsid w:val="74080BD9"/>
    <w:rsid w:val="740F250F"/>
    <w:rsid w:val="741E793C"/>
    <w:rsid w:val="74213FF1"/>
    <w:rsid w:val="745E3944"/>
    <w:rsid w:val="74766FB0"/>
    <w:rsid w:val="748368B7"/>
    <w:rsid w:val="74B650F9"/>
    <w:rsid w:val="74DA6968"/>
    <w:rsid w:val="74DE03B5"/>
    <w:rsid w:val="74E05E61"/>
    <w:rsid w:val="74E93956"/>
    <w:rsid w:val="74F37E49"/>
    <w:rsid w:val="753B35D2"/>
    <w:rsid w:val="75594D2E"/>
    <w:rsid w:val="75614FED"/>
    <w:rsid w:val="759E376F"/>
    <w:rsid w:val="75B90231"/>
    <w:rsid w:val="75BF01D6"/>
    <w:rsid w:val="75CC5CD4"/>
    <w:rsid w:val="75E42B97"/>
    <w:rsid w:val="7635099D"/>
    <w:rsid w:val="76566338"/>
    <w:rsid w:val="765C7562"/>
    <w:rsid w:val="765E353C"/>
    <w:rsid w:val="76683441"/>
    <w:rsid w:val="77100E2A"/>
    <w:rsid w:val="772258AA"/>
    <w:rsid w:val="77440472"/>
    <w:rsid w:val="77762421"/>
    <w:rsid w:val="778B00FF"/>
    <w:rsid w:val="779C3393"/>
    <w:rsid w:val="77AD51AE"/>
    <w:rsid w:val="77B50DB0"/>
    <w:rsid w:val="77B56B1F"/>
    <w:rsid w:val="77F3046A"/>
    <w:rsid w:val="77F66CAD"/>
    <w:rsid w:val="780F09F4"/>
    <w:rsid w:val="78320EC2"/>
    <w:rsid w:val="783A7AFC"/>
    <w:rsid w:val="78457416"/>
    <w:rsid w:val="7851759A"/>
    <w:rsid w:val="785628A3"/>
    <w:rsid w:val="78872FBC"/>
    <w:rsid w:val="788D1EB3"/>
    <w:rsid w:val="78A90480"/>
    <w:rsid w:val="78AF363C"/>
    <w:rsid w:val="78BF26D3"/>
    <w:rsid w:val="78EC3FFA"/>
    <w:rsid w:val="790C526F"/>
    <w:rsid w:val="792B6A91"/>
    <w:rsid w:val="793842B6"/>
    <w:rsid w:val="794F33AE"/>
    <w:rsid w:val="79587640"/>
    <w:rsid w:val="796432FD"/>
    <w:rsid w:val="796A57B5"/>
    <w:rsid w:val="79780B57"/>
    <w:rsid w:val="798219D5"/>
    <w:rsid w:val="79876FEC"/>
    <w:rsid w:val="79AB40B0"/>
    <w:rsid w:val="79AF1190"/>
    <w:rsid w:val="79B7167F"/>
    <w:rsid w:val="79B75266"/>
    <w:rsid w:val="79C43D9C"/>
    <w:rsid w:val="79D42231"/>
    <w:rsid w:val="79F3642F"/>
    <w:rsid w:val="7A2B2765"/>
    <w:rsid w:val="7A364017"/>
    <w:rsid w:val="7A374F60"/>
    <w:rsid w:val="7A3A14C8"/>
    <w:rsid w:val="7A432835"/>
    <w:rsid w:val="7A6D52C9"/>
    <w:rsid w:val="7A8265E1"/>
    <w:rsid w:val="7A886B16"/>
    <w:rsid w:val="7A9715B9"/>
    <w:rsid w:val="7AA03EC1"/>
    <w:rsid w:val="7AB94F83"/>
    <w:rsid w:val="7ACF591C"/>
    <w:rsid w:val="7B022DCE"/>
    <w:rsid w:val="7B106CB9"/>
    <w:rsid w:val="7B1B7885"/>
    <w:rsid w:val="7B242D44"/>
    <w:rsid w:val="7B2C1F4E"/>
    <w:rsid w:val="7B430CF1"/>
    <w:rsid w:val="7B5853BF"/>
    <w:rsid w:val="7B686D42"/>
    <w:rsid w:val="7B841746"/>
    <w:rsid w:val="7B954F14"/>
    <w:rsid w:val="7B98103C"/>
    <w:rsid w:val="7B98570E"/>
    <w:rsid w:val="7BA6040B"/>
    <w:rsid w:val="7BAC2D3A"/>
    <w:rsid w:val="7BC10593"/>
    <w:rsid w:val="7BE97AEA"/>
    <w:rsid w:val="7BEF21FC"/>
    <w:rsid w:val="7BEF6CB9"/>
    <w:rsid w:val="7BFA038C"/>
    <w:rsid w:val="7C130605"/>
    <w:rsid w:val="7C342456"/>
    <w:rsid w:val="7C3A20F4"/>
    <w:rsid w:val="7C3C5E6C"/>
    <w:rsid w:val="7C5331B5"/>
    <w:rsid w:val="7C547659"/>
    <w:rsid w:val="7C556F2D"/>
    <w:rsid w:val="7C6C5AC7"/>
    <w:rsid w:val="7C6F4203"/>
    <w:rsid w:val="7C8D4919"/>
    <w:rsid w:val="7CAC5ED3"/>
    <w:rsid w:val="7CC6544B"/>
    <w:rsid w:val="7CED28A1"/>
    <w:rsid w:val="7CEE73BC"/>
    <w:rsid w:val="7CF6426C"/>
    <w:rsid w:val="7D0071FC"/>
    <w:rsid w:val="7D0239FF"/>
    <w:rsid w:val="7D124C9D"/>
    <w:rsid w:val="7D140B97"/>
    <w:rsid w:val="7D292894"/>
    <w:rsid w:val="7D4B4A05"/>
    <w:rsid w:val="7D5E40CD"/>
    <w:rsid w:val="7D824688"/>
    <w:rsid w:val="7D8C697F"/>
    <w:rsid w:val="7DAA3235"/>
    <w:rsid w:val="7DB56BD4"/>
    <w:rsid w:val="7DBA4260"/>
    <w:rsid w:val="7DBE3FB4"/>
    <w:rsid w:val="7DCD56F2"/>
    <w:rsid w:val="7DE46470"/>
    <w:rsid w:val="7DE91810"/>
    <w:rsid w:val="7DFF1847"/>
    <w:rsid w:val="7E016402"/>
    <w:rsid w:val="7E045519"/>
    <w:rsid w:val="7E074257"/>
    <w:rsid w:val="7E3239CA"/>
    <w:rsid w:val="7E5356EF"/>
    <w:rsid w:val="7E927FC5"/>
    <w:rsid w:val="7ED50BC3"/>
    <w:rsid w:val="7EE0405C"/>
    <w:rsid w:val="7EE11E86"/>
    <w:rsid w:val="7EEB14E1"/>
    <w:rsid w:val="7F001CE7"/>
    <w:rsid w:val="7F0B39A9"/>
    <w:rsid w:val="7F496220"/>
    <w:rsid w:val="7F625F8B"/>
    <w:rsid w:val="7F711AC5"/>
    <w:rsid w:val="7F76108C"/>
    <w:rsid w:val="7F962F83"/>
    <w:rsid w:val="7FB047FF"/>
    <w:rsid w:val="7FC50240"/>
    <w:rsid w:val="7FE47E50"/>
    <w:rsid w:val="7FFA0C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semiHidden="0" w:name="heading 2" w:locked="1"/>
    <w:lsdException w:qFormat="1" w:uiPriority="9" w:semiHidden="0" w:name="heading 3" w:locked="1"/>
    <w:lsdException w:qFormat="1" w:uiPriority="9" w:semiHidden="0" w:name="heading 4" w:locked="1"/>
    <w:lsdException w:qFormat="1" w:uiPriority="9" w:semiHidden="0" w:name="heading 5" w:locked="1"/>
    <w:lsdException w:qFormat="1" w:uiPriority="9" w:semiHidden="0" w:name="heading 6" w:locked="1"/>
    <w:lsdException w:qFormat="1" w:uiPriority="1" w:semiHidden="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iPriority="39" w:semiHidden="0" w:name="toc 1" w:locked="1"/>
    <w:lsdException w:qFormat="1" w:uiPriority="39" w:semiHidden="0" w:name="toc 2" w:locked="1"/>
    <w:lsdException w:qFormat="1" w:unhideWhenUsed="0" w:uiPriority="39" w:semiHidden="0" w:name="toc 3" w:locked="1"/>
    <w:lsdException w:qFormat="1" w:uiPriority="39" w:semiHidden="0" w:name="toc 4" w:locked="1"/>
    <w:lsdException w:qFormat="1" w:uiPriority="39" w:semiHidden="0" w:name="toc 5" w:locked="1"/>
    <w:lsdException w:qFormat="1" w:uiPriority="39" w:semiHidden="0" w:name="toc 6" w:locked="1"/>
    <w:lsdException w:qFormat="1" w:uiPriority="39" w:semiHidden="0" w:name="toc 7" w:locked="1"/>
    <w:lsdException w:qFormat="1" w:uiPriority="39" w:semiHidden="0" w:name="toc 8" w:locked="1"/>
    <w:lsdException w:qFormat="1" w:uiPriority="39" w:semiHidden="0" w:name="toc 9" w:locked="1"/>
    <w:lsdException w:unhideWhenUsed="0" w:uiPriority="0" w:semiHidden="0" w:name="Normal Indent" w:locked="1"/>
    <w:lsdException w:unhideWhenUsed="0" w:uiPriority="0" w:semiHidden="0"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nhideWhenUsed="0" w:uiPriority="0" w:semiHidden="0" w:name="index heading" w:locked="1"/>
    <w:lsdException w:qFormat="1" w:uiPriority="0" w:semiHidden="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99"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10" w:semiHidden="0" w:name="Title" w:locked="1"/>
    <w:lsdException w:unhideWhenUsed="0" w:uiPriority="0" w:semiHidden="0" w:name="Closing" w:locked="1"/>
    <w:lsdException w:unhideWhenUsed="0" w:uiPriority="0" w:semiHidden="0" w:name="Signature" w:locked="1"/>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qFormat="1" w:uiPriority="99"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unhideWhenUsed="0" w:uiPriority="0" w:semiHidden="0" w:name="Block Text" w:locked="1"/>
    <w:lsdException w:qFormat="1" w:uiPriority="99" w:semiHidden="0" w:name="Hyperlink" w:locked="1"/>
    <w:lsdException w:unhideWhenUsed="0" w:uiPriority="99"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iPriority="0" w:name="HTML Variable" w:locked="1"/>
    <w:lsdException w:qFormat="1" w:uiPriority="99" w:name="Normal Table"/>
    <w:lsdException w:qFormat="1" w:unhideWhenUsed="0" w:uiPriority="99"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99" w:name="Balloon Text"/>
    <w:lsdException w:qFormat="1" w:unhideWhenUsed="0" w:uiPriority="0" w:semiHidden="0" w:name="Table Grid"/>
    <w:lsdException w:uiPriority="0" w:name="Table Theme" w:locked="1"/>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8"/>
    <w:qFormat/>
    <w:locked/>
    <w:uiPriority w:val="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link w:val="39"/>
    <w:unhideWhenUsed/>
    <w:qFormat/>
    <w:locked/>
    <w:uiPriority w:val="9"/>
    <w:pPr>
      <w:keepNext/>
      <w:keepLines/>
      <w:numPr>
        <w:ilvl w:val="1"/>
        <w:numId w:val="1"/>
      </w:numPr>
      <w:spacing w:before="260" w:after="260" w:line="416" w:lineRule="auto"/>
      <w:outlineLvl w:val="1"/>
    </w:pPr>
    <w:rPr>
      <w:rFonts w:ascii="等线 Light" w:hAnsi="等线 Light" w:eastAsia="等线 Light"/>
      <w:b/>
      <w:bCs/>
      <w:sz w:val="32"/>
      <w:szCs w:val="32"/>
    </w:rPr>
  </w:style>
  <w:style w:type="paragraph" w:styleId="4">
    <w:name w:val="heading 3"/>
    <w:basedOn w:val="1"/>
    <w:next w:val="1"/>
    <w:link w:val="40"/>
    <w:unhideWhenUsed/>
    <w:qFormat/>
    <w:locked/>
    <w:uiPriority w:val="9"/>
    <w:pPr>
      <w:tabs>
        <w:tab w:val="left" w:pos="644"/>
        <w:tab w:val="left" w:pos="1960"/>
      </w:tabs>
      <w:spacing w:line="360" w:lineRule="auto"/>
      <w:jc w:val="left"/>
      <w:outlineLvl w:val="2"/>
    </w:pPr>
    <w:rPr>
      <w:rFonts w:eastAsia="黑体"/>
      <w:sz w:val="28"/>
      <w:szCs w:val="30"/>
    </w:rPr>
  </w:style>
  <w:style w:type="paragraph" w:styleId="5">
    <w:name w:val="heading 4"/>
    <w:basedOn w:val="1"/>
    <w:next w:val="1"/>
    <w:link w:val="41"/>
    <w:unhideWhenUsed/>
    <w:qFormat/>
    <w:locked/>
    <w:uiPriority w:val="9"/>
    <w:pPr>
      <w:keepNext/>
      <w:keepLines/>
      <w:spacing w:line="360" w:lineRule="auto"/>
      <w:jc w:val="left"/>
      <w:outlineLvl w:val="3"/>
    </w:pPr>
    <w:rPr>
      <w:b/>
      <w:bCs/>
      <w:sz w:val="24"/>
    </w:rPr>
  </w:style>
  <w:style w:type="paragraph" w:styleId="6">
    <w:name w:val="heading 5"/>
    <w:basedOn w:val="1"/>
    <w:link w:val="42"/>
    <w:unhideWhenUsed/>
    <w:qFormat/>
    <w:locked/>
    <w:uiPriority w:val="9"/>
    <w:pPr>
      <w:keepNext/>
      <w:keepLines/>
      <w:spacing w:before="280" w:after="290" w:line="376" w:lineRule="auto"/>
      <w:outlineLvl w:val="4"/>
    </w:pPr>
    <w:rPr>
      <w:b/>
      <w:bCs/>
      <w:sz w:val="28"/>
      <w:szCs w:val="28"/>
    </w:rPr>
  </w:style>
  <w:style w:type="paragraph" w:styleId="7">
    <w:name w:val="heading 6"/>
    <w:basedOn w:val="1"/>
    <w:link w:val="43"/>
    <w:unhideWhenUsed/>
    <w:qFormat/>
    <w:locked/>
    <w:uiPriority w:val="9"/>
    <w:pPr>
      <w:autoSpaceDE w:val="0"/>
      <w:autoSpaceDN w:val="0"/>
      <w:ind w:left="375" w:firstLine="480"/>
      <w:jc w:val="left"/>
      <w:outlineLvl w:val="5"/>
    </w:pPr>
    <w:rPr>
      <w:rFonts w:ascii="宋体" w:hAnsi="宋体" w:cs="宋体"/>
      <w:kern w:val="0"/>
      <w:sz w:val="24"/>
      <w:lang w:eastAsia="en-US"/>
    </w:rPr>
  </w:style>
  <w:style w:type="paragraph" w:styleId="8">
    <w:name w:val="heading 7"/>
    <w:basedOn w:val="1"/>
    <w:next w:val="1"/>
    <w:link w:val="44"/>
    <w:unhideWhenUsed/>
    <w:qFormat/>
    <w:locked/>
    <w:uiPriority w:val="1"/>
    <w:pPr>
      <w:outlineLvl w:val="6"/>
    </w:pPr>
    <w:rPr>
      <w:rFonts w:ascii="宋体" w:hAnsi="宋体" w:cs="宋体"/>
      <w:b/>
      <w:bCs/>
      <w:sz w:val="24"/>
    </w:rPr>
  </w:style>
  <w:style w:type="character" w:default="1" w:styleId="32">
    <w:name w:val="Default Paragraph Font"/>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9">
    <w:name w:val="toc 7"/>
    <w:basedOn w:val="1"/>
    <w:next w:val="1"/>
    <w:autoRedefine/>
    <w:unhideWhenUsed/>
    <w:qFormat/>
    <w:locked/>
    <w:uiPriority w:val="39"/>
    <w:pPr>
      <w:autoSpaceDE w:val="0"/>
      <w:autoSpaceDN w:val="0"/>
      <w:ind w:left="1320"/>
      <w:jc w:val="left"/>
    </w:pPr>
    <w:rPr>
      <w:rFonts w:cs="宋体" w:asciiTheme="minorHAnsi" w:hAnsiTheme="minorHAnsi"/>
      <w:kern w:val="0"/>
      <w:sz w:val="18"/>
      <w:szCs w:val="18"/>
      <w:lang w:eastAsia="en-US"/>
    </w:rPr>
  </w:style>
  <w:style w:type="paragraph" w:styleId="10">
    <w:name w:val="caption"/>
    <w:basedOn w:val="1"/>
    <w:next w:val="1"/>
    <w:unhideWhenUsed/>
    <w:qFormat/>
    <w:locked/>
    <w:uiPriority w:val="0"/>
    <w:rPr>
      <w:rFonts w:ascii="等线 Light" w:hAnsi="等线 Light" w:eastAsia="黑体"/>
      <w:sz w:val="20"/>
      <w:szCs w:val="20"/>
    </w:rPr>
  </w:style>
  <w:style w:type="paragraph" w:styleId="11">
    <w:name w:val="annotation text"/>
    <w:basedOn w:val="1"/>
    <w:link w:val="45"/>
    <w:semiHidden/>
    <w:qFormat/>
    <w:uiPriority w:val="99"/>
    <w:pPr>
      <w:jc w:val="left"/>
    </w:pPr>
    <w:rPr>
      <w:kern w:val="0"/>
      <w:sz w:val="24"/>
      <w:szCs w:val="20"/>
    </w:rPr>
  </w:style>
  <w:style w:type="paragraph" w:styleId="12">
    <w:name w:val="Body Text"/>
    <w:basedOn w:val="1"/>
    <w:link w:val="46"/>
    <w:qFormat/>
    <w:uiPriority w:val="1"/>
    <w:pPr>
      <w:widowControl/>
      <w:snapToGrid w:val="0"/>
      <w:spacing w:before="60" w:after="160" w:line="259" w:lineRule="auto"/>
      <w:ind w:right="113"/>
    </w:pPr>
    <w:rPr>
      <w:kern w:val="0"/>
      <w:sz w:val="18"/>
      <w:szCs w:val="20"/>
    </w:rPr>
  </w:style>
  <w:style w:type="paragraph" w:styleId="13">
    <w:name w:val="Body Text Indent"/>
    <w:basedOn w:val="1"/>
    <w:link w:val="47"/>
    <w:qFormat/>
    <w:uiPriority w:val="0"/>
    <w:pPr>
      <w:spacing w:after="120"/>
      <w:ind w:left="420" w:leftChars="200"/>
    </w:pPr>
    <w:rPr>
      <w:kern w:val="0"/>
      <w:sz w:val="24"/>
      <w:szCs w:val="20"/>
    </w:rPr>
  </w:style>
  <w:style w:type="paragraph" w:styleId="14">
    <w:name w:val="toc 5"/>
    <w:basedOn w:val="1"/>
    <w:next w:val="1"/>
    <w:autoRedefine/>
    <w:unhideWhenUsed/>
    <w:qFormat/>
    <w:locked/>
    <w:uiPriority w:val="39"/>
    <w:pPr>
      <w:autoSpaceDE w:val="0"/>
      <w:autoSpaceDN w:val="0"/>
      <w:ind w:left="880"/>
      <w:jc w:val="left"/>
    </w:pPr>
    <w:rPr>
      <w:rFonts w:cs="宋体" w:asciiTheme="minorHAnsi" w:hAnsiTheme="minorHAnsi"/>
      <w:kern w:val="0"/>
      <w:sz w:val="18"/>
      <w:szCs w:val="18"/>
      <w:lang w:eastAsia="en-US"/>
    </w:rPr>
  </w:style>
  <w:style w:type="paragraph" w:styleId="15">
    <w:name w:val="toc 3"/>
    <w:basedOn w:val="1"/>
    <w:next w:val="1"/>
    <w:autoRedefine/>
    <w:qFormat/>
    <w:locked/>
    <w:uiPriority w:val="39"/>
    <w:pPr>
      <w:ind w:left="840" w:leftChars="400"/>
    </w:pPr>
  </w:style>
  <w:style w:type="paragraph" w:styleId="16">
    <w:name w:val="toc 8"/>
    <w:basedOn w:val="1"/>
    <w:next w:val="1"/>
    <w:autoRedefine/>
    <w:unhideWhenUsed/>
    <w:qFormat/>
    <w:locked/>
    <w:uiPriority w:val="39"/>
    <w:pPr>
      <w:autoSpaceDE w:val="0"/>
      <w:autoSpaceDN w:val="0"/>
      <w:ind w:left="1540"/>
      <w:jc w:val="left"/>
    </w:pPr>
    <w:rPr>
      <w:rFonts w:cs="宋体" w:asciiTheme="minorHAnsi" w:hAnsiTheme="minorHAnsi"/>
      <w:kern w:val="0"/>
      <w:sz w:val="18"/>
      <w:szCs w:val="18"/>
      <w:lang w:eastAsia="en-US"/>
    </w:rPr>
  </w:style>
  <w:style w:type="paragraph" w:styleId="17">
    <w:name w:val="Date"/>
    <w:basedOn w:val="1"/>
    <w:next w:val="1"/>
    <w:link w:val="48"/>
    <w:qFormat/>
    <w:uiPriority w:val="0"/>
    <w:pPr>
      <w:ind w:left="100" w:leftChars="2500"/>
    </w:pPr>
    <w:rPr>
      <w:kern w:val="0"/>
      <w:sz w:val="24"/>
      <w:szCs w:val="20"/>
    </w:rPr>
  </w:style>
  <w:style w:type="paragraph" w:styleId="18">
    <w:name w:val="Balloon Text"/>
    <w:basedOn w:val="1"/>
    <w:link w:val="49"/>
    <w:semiHidden/>
    <w:qFormat/>
    <w:uiPriority w:val="99"/>
    <w:rPr>
      <w:kern w:val="0"/>
      <w:sz w:val="18"/>
      <w:szCs w:val="20"/>
    </w:rPr>
  </w:style>
  <w:style w:type="paragraph" w:styleId="19">
    <w:name w:val="footer"/>
    <w:basedOn w:val="1"/>
    <w:link w:val="50"/>
    <w:qFormat/>
    <w:uiPriority w:val="99"/>
    <w:pPr>
      <w:tabs>
        <w:tab w:val="center" w:pos="4153"/>
        <w:tab w:val="right" w:pos="8306"/>
      </w:tabs>
      <w:snapToGrid w:val="0"/>
      <w:jc w:val="left"/>
    </w:pPr>
    <w:rPr>
      <w:kern w:val="0"/>
      <w:sz w:val="18"/>
      <w:szCs w:val="20"/>
    </w:rPr>
  </w:style>
  <w:style w:type="paragraph" w:styleId="20">
    <w:name w:val="header"/>
    <w:basedOn w:val="1"/>
    <w:link w:val="51"/>
    <w:qFormat/>
    <w:uiPriority w:val="99"/>
    <w:pPr>
      <w:pBdr>
        <w:bottom w:val="single" w:color="auto" w:sz="6" w:space="1"/>
      </w:pBdr>
      <w:tabs>
        <w:tab w:val="center" w:pos="4153"/>
        <w:tab w:val="right" w:pos="8306"/>
      </w:tabs>
      <w:snapToGrid w:val="0"/>
      <w:jc w:val="center"/>
    </w:pPr>
    <w:rPr>
      <w:kern w:val="0"/>
      <w:sz w:val="18"/>
      <w:szCs w:val="20"/>
    </w:rPr>
  </w:style>
  <w:style w:type="paragraph" w:styleId="21">
    <w:name w:val="toc 1"/>
    <w:basedOn w:val="1"/>
    <w:next w:val="1"/>
    <w:autoRedefine/>
    <w:unhideWhenUsed/>
    <w:qFormat/>
    <w:locked/>
    <w:uiPriority w:val="39"/>
  </w:style>
  <w:style w:type="paragraph" w:styleId="22">
    <w:name w:val="toc 4"/>
    <w:basedOn w:val="1"/>
    <w:next w:val="1"/>
    <w:autoRedefine/>
    <w:unhideWhenUsed/>
    <w:qFormat/>
    <w:locked/>
    <w:uiPriority w:val="39"/>
    <w:pPr>
      <w:autoSpaceDE w:val="0"/>
      <w:autoSpaceDN w:val="0"/>
      <w:ind w:left="660"/>
      <w:jc w:val="left"/>
    </w:pPr>
    <w:rPr>
      <w:rFonts w:cs="宋体" w:asciiTheme="minorHAnsi" w:hAnsiTheme="minorHAnsi"/>
      <w:kern w:val="0"/>
      <w:sz w:val="18"/>
      <w:szCs w:val="18"/>
      <w:lang w:eastAsia="en-US"/>
    </w:rPr>
  </w:style>
  <w:style w:type="paragraph" w:styleId="23">
    <w:name w:val="toc 6"/>
    <w:basedOn w:val="1"/>
    <w:next w:val="1"/>
    <w:autoRedefine/>
    <w:unhideWhenUsed/>
    <w:qFormat/>
    <w:locked/>
    <w:uiPriority w:val="39"/>
    <w:pPr>
      <w:autoSpaceDE w:val="0"/>
      <w:autoSpaceDN w:val="0"/>
      <w:ind w:left="1100"/>
      <w:jc w:val="left"/>
    </w:pPr>
    <w:rPr>
      <w:rFonts w:cs="宋体" w:asciiTheme="minorHAnsi" w:hAnsiTheme="minorHAnsi"/>
      <w:kern w:val="0"/>
      <w:sz w:val="18"/>
      <w:szCs w:val="18"/>
      <w:lang w:eastAsia="en-US"/>
    </w:rPr>
  </w:style>
  <w:style w:type="paragraph" w:styleId="24">
    <w:name w:val="toc 2"/>
    <w:basedOn w:val="1"/>
    <w:next w:val="1"/>
    <w:autoRedefine/>
    <w:unhideWhenUsed/>
    <w:qFormat/>
    <w:locked/>
    <w:uiPriority w:val="39"/>
    <w:pPr>
      <w:ind w:left="420" w:leftChars="200"/>
    </w:pPr>
  </w:style>
  <w:style w:type="paragraph" w:styleId="25">
    <w:name w:val="toc 9"/>
    <w:basedOn w:val="1"/>
    <w:next w:val="1"/>
    <w:autoRedefine/>
    <w:unhideWhenUsed/>
    <w:qFormat/>
    <w:locked/>
    <w:uiPriority w:val="39"/>
    <w:pPr>
      <w:autoSpaceDE w:val="0"/>
      <w:autoSpaceDN w:val="0"/>
      <w:ind w:left="1760"/>
      <w:jc w:val="left"/>
    </w:pPr>
    <w:rPr>
      <w:rFonts w:cs="宋体" w:asciiTheme="minorHAnsi" w:hAnsiTheme="minorHAnsi"/>
      <w:kern w:val="0"/>
      <w:sz w:val="18"/>
      <w:szCs w:val="18"/>
      <w:lang w:eastAsia="en-US"/>
    </w:rPr>
  </w:style>
  <w:style w:type="paragraph" w:styleId="26">
    <w:name w:val="Normal (Web)"/>
    <w:basedOn w:val="1"/>
    <w:link w:val="52"/>
    <w:qFormat/>
    <w:uiPriority w:val="0"/>
    <w:pPr>
      <w:widowControl/>
      <w:spacing w:before="100" w:beforeAutospacing="1" w:after="100" w:afterAutospacing="1"/>
      <w:jc w:val="left"/>
    </w:pPr>
    <w:rPr>
      <w:rFonts w:ascii="宋体" w:hAnsi="宋体"/>
      <w:kern w:val="0"/>
      <w:sz w:val="24"/>
      <w:szCs w:val="20"/>
    </w:rPr>
  </w:style>
  <w:style w:type="paragraph" w:styleId="27">
    <w:name w:val="Title"/>
    <w:basedOn w:val="1"/>
    <w:next w:val="1"/>
    <w:link w:val="67"/>
    <w:qFormat/>
    <w:locked/>
    <w:uiPriority w:val="10"/>
    <w:pPr>
      <w:numPr>
        <w:ilvl w:val="0"/>
        <w:numId w:val="1"/>
      </w:numPr>
      <w:spacing w:before="240" w:after="60"/>
      <w:jc w:val="center"/>
      <w:outlineLvl w:val="0"/>
    </w:pPr>
    <w:rPr>
      <w:rFonts w:ascii="等线 Light" w:hAnsi="等线 Light"/>
      <w:b/>
      <w:bCs/>
      <w:sz w:val="32"/>
      <w:szCs w:val="32"/>
    </w:rPr>
  </w:style>
  <w:style w:type="paragraph" w:styleId="28">
    <w:name w:val="annotation subject"/>
    <w:basedOn w:val="11"/>
    <w:next w:val="11"/>
    <w:link w:val="53"/>
    <w:semiHidden/>
    <w:qFormat/>
    <w:uiPriority w:val="99"/>
    <w:rPr>
      <w:b/>
    </w:rPr>
  </w:style>
  <w:style w:type="paragraph" w:styleId="29">
    <w:name w:val="Body Text First Indent 2"/>
    <w:basedOn w:val="13"/>
    <w:next w:val="1"/>
    <w:unhideWhenUsed/>
    <w:qFormat/>
    <w:locked/>
    <w:uiPriority w:val="99"/>
    <w:pPr>
      <w:spacing w:line="360" w:lineRule="auto"/>
      <w:ind w:left="0" w:leftChars="0" w:firstLine="1044" w:firstLineChars="200"/>
    </w:pPr>
    <w:rPr>
      <w:kern w:val="2"/>
    </w:rPr>
  </w:style>
  <w:style w:type="table" w:styleId="31">
    <w:name w:val="Table Grid"/>
    <w:basedOn w:val="3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page number"/>
    <w:qFormat/>
    <w:locked/>
    <w:uiPriority w:val="0"/>
  </w:style>
  <w:style w:type="character" w:styleId="34">
    <w:name w:val="Hyperlink"/>
    <w:unhideWhenUsed/>
    <w:qFormat/>
    <w:locked/>
    <w:uiPriority w:val="99"/>
    <w:rPr>
      <w:color w:val="0000FF"/>
      <w:u w:val="single"/>
    </w:rPr>
  </w:style>
  <w:style w:type="character" w:styleId="35">
    <w:name w:val="annotation reference"/>
    <w:semiHidden/>
    <w:qFormat/>
    <w:uiPriority w:val="99"/>
    <w:rPr>
      <w:sz w:val="21"/>
    </w:rPr>
  </w:style>
  <w:style w:type="paragraph" w:customStyle="1" w:styleId="36">
    <w:name w:val="Table Paragraph"/>
    <w:basedOn w:val="1"/>
    <w:qFormat/>
    <w:uiPriority w:val="1"/>
    <w:pPr>
      <w:autoSpaceDE w:val="0"/>
      <w:autoSpaceDN w:val="0"/>
      <w:spacing w:before="105"/>
      <w:ind w:left="219"/>
      <w:jc w:val="left"/>
    </w:pPr>
    <w:rPr>
      <w:rFonts w:ascii="宋体" w:hAnsi="宋体" w:cs="宋体"/>
      <w:kern w:val="0"/>
      <w:sz w:val="22"/>
      <w:szCs w:val="22"/>
      <w:lang w:eastAsia="en-US"/>
    </w:rPr>
  </w:style>
  <w:style w:type="paragraph" w:customStyle="1" w:styleId="37">
    <w:name w:val="金皇-标题3"/>
    <w:basedOn w:val="4"/>
    <w:qFormat/>
    <w:uiPriority w:val="0"/>
    <w:pPr>
      <w:keepNext/>
      <w:keepLines/>
      <w:tabs>
        <w:tab w:val="clear" w:pos="644"/>
        <w:tab w:val="clear" w:pos="1960"/>
      </w:tabs>
      <w:adjustRightInd w:val="0"/>
      <w:jc w:val="both"/>
    </w:pPr>
    <w:rPr>
      <w:b/>
      <w:bCs/>
      <w:szCs w:val="28"/>
    </w:rPr>
  </w:style>
  <w:style w:type="character" w:customStyle="1" w:styleId="38">
    <w:name w:val="标题 1 字符"/>
    <w:link w:val="2"/>
    <w:qFormat/>
    <w:uiPriority w:val="0"/>
    <w:rPr>
      <w:rFonts w:eastAsia="黑体"/>
      <w:b/>
      <w:bCs/>
      <w:color w:val="000000"/>
      <w:kern w:val="44"/>
      <w:sz w:val="30"/>
      <w:szCs w:val="30"/>
    </w:rPr>
  </w:style>
  <w:style w:type="character" w:customStyle="1" w:styleId="39">
    <w:name w:val="标题 2 字符"/>
    <w:link w:val="3"/>
    <w:qFormat/>
    <w:uiPriority w:val="9"/>
    <w:rPr>
      <w:rFonts w:ascii="等线 Light" w:hAnsi="等线 Light" w:eastAsia="等线 Light"/>
      <w:b/>
      <w:bCs/>
      <w:kern w:val="2"/>
      <w:sz w:val="32"/>
      <w:szCs w:val="32"/>
    </w:rPr>
  </w:style>
  <w:style w:type="character" w:customStyle="1" w:styleId="40">
    <w:name w:val="标题 3 字符"/>
    <w:link w:val="4"/>
    <w:semiHidden/>
    <w:qFormat/>
    <w:uiPriority w:val="0"/>
    <w:rPr>
      <w:rFonts w:eastAsia="黑体"/>
      <w:kern w:val="2"/>
      <w:sz w:val="28"/>
      <w:szCs w:val="30"/>
    </w:rPr>
  </w:style>
  <w:style w:type="character" w:customStyle="1" w:styleId="41">
    <w:name w:val="标题 4 字符"/>
    <w:link w:val="5"/>
    <w:semiHidden/>
    <w:qFormat/>
    <w:uiPriority w:val="0"/>
    <w:rPr>
      <w:b/>
      <w:bCs/>
      <w:kern w:val="2"/>
      <w:sz w:val="24"/>
      <w:szCs w:val="24"/>
    </w:rPr>
  </w:style>
  <w:style w:type="character" w:customStyle="1" w:styleId="42">
    <w:name w:val="标题 5 字符"/>
    <w:link w:val="6"/>
    <w:semiHidden/>
    <w:qFormat/>
    <w:uiPriority w:val="0"/>
    <w:rPr>
      <w:b/>
      <w:bCs/>
      <w:kern w:val="2"/>
      <w:sz w:val="28"/>
      <w:szCs w:val="28"/>
    </w:rPr>
  </w:style>
  <w:style w:type="character" w:customStyle="1" w:styleId="43">
    <w:name w:val="标题 6 字符"/>
    <w:basedOn w:val="32"/>
    <w:link w:val="7"/>
    <w:qFormat/>
    <w:uiPriority w:val="9"/>
    <w:rPr>
      <w:rFonts w:ascii="宋体" w:hAnsi="宋体" w:cs="宋体"/>
      <w:sz w:val="24"/>
      <w:szCs w:val="24"/>
      <w:lang w:eastAsia="en-US"/>
    </w:rPr>
  </w:style>
  <w:style w:type="character" w:customStyle="1" w:styleId="44">
    <w:name w:val="标题 7 字符"/>
    <w:link w:val="8"/>
    <w:semiHidden/>
    <w:qFormat/>
    <w:uiPriority w:val="1"/>
    <w:rPr>
      <w:rFonts w:ascii="宋体" w:hAnsi="宋体" w:cs="宋体"/>
      <w:b/>
      <w:bCs/>
      <w:kern w:val="2"/>
      <w:sz w:val="24"/>
      <w:szCs w:val="24"/>
    </w:rPr>
  </w:style>
  <w:style w:type="character" w:customStyle="1" w:styleId="45">
    <w:name w:val="批注文字 字符"/>
    <w:link w:val="11"/>
    <w:qFormat/>
    <w:locked/>
    <w:uiPriority w:val="99"/>
    <w:rPr>
      <w:rFonts w:ascii="Times New Roman" w:hAnsi="Times New Roman" w:eastAsia="宋体"/>
      <w:sz w:val="24"/>
    </w:rPr>
  </w:style>
  <w:style w:type="character" w:customStyle="1" w:styleId="46">
    <w:name w:val="正文文本 字符"/>
    <w:link w:val="12"/>
    <w:qFormat/>
    <w:locked/>
    <w:uiPriority w:val="0"/>
    <w:rPr>
      <w:sz w:val="18"/>
    </w:rPr>
  </w:style>
  <w:style w:type="character" w:customStyle="1" w:styleId="47">
    <w:name w:val="正文文本缩进 字符"/>
    <w:link w:val="13"/>
    <w:semiHidden/>
    <w:qFormat/>
    <w:locked/>
    <w:uiPriority w:val="0"/>
    <w:rPr>
      <w:rFonts w:ascii="Times New Roman" w:hAnsi="Times New Roman" w:eastAsia="宋体"/>
      <w:sz w:val="24"/>
    </w:rPr>
  </w:style>
  <w:style w:type="character" w:customStyle="1" w:styleId="48">
    <w:name w:val="日期 字符1"/>
    <w:link w:val="17"/>
    <w:qFormat/>
    <w:locked/>
    <w:uiPriority w:val="0"/>
    <w:rPr>
      <w:rFonts w:ascii="Times New Roman" w:hAnsi="Times New Roman" w:eastAsia="宋体"/>
      <w:sz w:val="24"/>
    </w:rPr>
  </w:style>
  <w:style w:type="character" w:customStyle="1" w:styleId="49">
    <w:name w:val="批注框文本 字符"/>
    <w:link w:val="18"/>
    <w:semiHidden/>
    <w:qFormat/>
    <w:locked/>
    <w:uiPriority w:val="99"/>
    <w:rPr>
      <w:rFonts w:ascii="Times New Roman" w:hAnsi="Times New Roman" w:eastAsia="宋体"/>
      <w:sz w:val="18"/>
    </w:rPr>
  </w:style>
  <w:style w:type="character" w:customStyle="1" w:styleId="50">
    <w:name w:val="页脚 字符1"/>
    <w:link w:val="19"/>
    <w:qFormat/>
    <w:locked/>
    <w:uiPriority w:val="99"/>
    <w:rPr>
      <w:sz w:val="18"/>
    </w:rPr>
  </w:style>
  <w:style w:type="character" w:customStyle="1" w:styleId="51">
    <w:name w:val="页眉 字符"/>
    <w:link w:val="20"/>
    <w:qFormat/>
    <w:locked/>
    <w:uiPriority w:val="99"/>
    <w:rPr>
      <w:sz w:val="18"/>
    </w:rPr>
  </w:style>
  <w:style w:type="character" w:customStyle="1" w:styleId="52">
    <w:name w:val="普通(网站) 字符"/>
    <w:link w:val="26"/>
    <w:qFormat/>
    <w:locked/>
    <w:uiPriority w:val="0"/>
    <w:rPr>
      <w:rFonts w:ascii="宋体" w:hAnsi="宋体" w:eastAsia="宋体"/>
      <w:sz w:val="24"/>
    </w:rPr>
  </w:style>
  <w:style w:type="character" w:customStyle="1" w:styleId="53">
    <w:name w:val="批注主题 字符"/>
    <w:link w:val="28"/>
    <w:semiHidden/>
    <w:qFormat/>
    <w:locked/>
    <w:uiPriority w:val="99"/>
    <w:rPr>
      <w:rFonts w:ascii="Times New Roman" w:hAnsi="Times New Roman" w:eastAsia="宋体"/>
      <w:b/>
      <w:kern w:val="2"/>
      <w:sz w:val="24"/>
    </w:rPr>
  </w:style>
  <w:style w:type="character" w:customStyle="1" w:styleId="54">
    <w:name w:val="页脚 字符"/>
    <w:qFormat/>
    <w:uiPriority w:val="99"/>
  </w:style>
  <w:style w:type="character" w:customStyle="1" w:styleId="55">
    <w:name w:val="正文文本 字符1"/>
    <w:semiHidden/>
    <w:qFormat/>
    <w:uiPriority w:val="0"/>
    <w:rPr>
      <w:rFonts w:ascii="Times New Roman" w:hAnsi="Times New Roman" w:eastAsia="宋体"/>
      <w:sz w:val="24"/>
    </w:rPr>
  </w:style>
  <w:style w:type="character" w:customStyle="1" w:styleId="56">
    <w:name w:val="表格 Char"/>
    <w:link w:val="57"/>
    <w:qFormat/>
    <w:locked/>
    <w:uiPriority w:val="0"/>
    <w:rPr>
      <w:rFonts w:ascii="宋体"/>
      <w:sz w:val="21"/>
    </w:rPr>
  </w:style>
  <w:style w:type="paragraph" w:customStyle="1" w:styleId="57">
    <w:name w:val="表格"/>
    <w:basedOn w:val="1"/>
    <w:next w:val="1"/>
    <w:link w:val="56"/>
    <w:qFormat/>
    <w:uiPriority w:val="0"/>
    <w:pPr>
      <w:adjustRightInd w:val="0"/>
      <w:snapToGrid w:val="0"/>
      <w:spacing w:beforeLines="10" w:afterLines="10" w:line="259" w:lineRule="auto"/>
      <w:jc w:val="center"/>
    </w:pPr>
    <w:rPr>
      <w:rFonts w:ascii="宋体"/>
      <w:kern w:val="0"/>
      <w:szCs w:val="20"/>
    </w:rPr>
  </w:style>
  <w:style w:type="character" w:customStyle="1" w:styleId="58">
    <w:name w:val="日期 字符"/>
    <w:semiHidden/>
    <w:qFormat/>
    <w:uiPriority w:val="0"/>
    <w:rPr>
      <w:rFonts w:ascii="Times New Roman" w:hAnsi="Times New Roman" w:eastAsia="宋体"/>
      <w:sz w:val="24"/>
    </w:rPr>
  </w:style>
  <w:style w:type="character" w:customStyle="1" w:styleId="59">
    <w:name w:val="批注文字 字符1"/>
    <w:semiHidden/>
    <w:qFormat/>
    <w:uiPriority w:val="0"/>
    <w:rPr>
      <w:rFonts w:ascii="Times New Roman" w:hAnsi="Times New Roman" w:eastAsia="宋体"/>
      <w:sz w:val="24"/>
    </w:rPr>
  </w:style>
  <w:style w:type="paragraph" w:customStyle="1" w:styleId="60">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1">
    <w:name w:val="普通(网站)2"/>
    <w:basedOn w:val="1"/>
    <w:qFormat/>
    <w:uiPriority w:val="0"/>
    <w:pPr>
      <w:widowControl/>
      <w:spacing w:before="100" w:beforeAutospacing="1" w:after="100" w:afterAutospacing="1"/>
      <w:jc w:val="left"/>
    </w:pPr>
    <w:rPr>
      <w:rFonts w:ascii="宋体" w:hAnsi="宋体"/>
      <w:sz w:val="24"/>
      <w:szCs w:val="20"/>
    </w:rPr>
  </w:style>
  <w:style w:type="table" w:customStyle="1" w:styleId="62">
    <w:name w:val="Table Normal"/>
    <w:unhideWhenUsed/>
    <w:qFormat/>
    <w:uiPriority w:val="0"/>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6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4">
    <w:name w:val="表格1内文字"/>
    <w:basedOn w:val="1"/>
    <w:qFormat/>
    <w:uiPriority w:val="0"/>
    <w:pPr>
      <w:tabs>
        <w:tab w:val="left" w:pos="0"/>
      </w:tabs>
      <w:adjustRightInd w:val="0"/>
      <w:snapToGrid w:val="0"/>
      <w:jc w:val="center"/>
    </w:pPr>
    <w:rPr>
      <w:szCs w:val="21"/>
    </w:rPr>
  </w:style>
  <w:style w:type="paragraph" w:customStyle="1" w:styleId="65">
    <w:name w:val="表格内文字"/>
    <w:basedOn w:val="1"/>
    <w:qFormat/>
    <w:uiPriority w:val="0"/>
    <w:pPr>
      <w:tabs>
        <w:tab w:val="left" w:pos="0"/>
      </w:tabs>
      <w:adjustRightInd w:val="0"/>
      <w:snapToGrid w:val="0"/>
      <w:jc w:val="center"/>
    </w:pPr>
    <w:rPr>
      <w:szCs w:val="21"/>
    </w:rPr>
  </w:style>
  <w:style w:type="paragraph" w:customStyle="1" w:styleId="66">
    <w:name w:val="0-正文"/>
    <w:basedOn w:val="1"/>
    <w:qFormat/>
    <w:uiPriority w:val="0"/>
    <w:pPr>
      <w:spacing w:line="360" w:lineRule="auto"/>
      <w:ind w:firstLine="200" w:firstLineChars="200"/>
    </w:pPr>
    <w:rPr>
      <w:sz w:val="24"/>
    </w:rPr>
  </w:style>
  <w:style w:type="character" w:customStyle="1" w:styleId="67">
    <w:name w:val="标题 字符"/>
    <w:link w:val="27"/>
    <w:qFormat/>
    <w:uiPriority w:val="10"/>
    <w:rPr>
      <w:rFonts w:ascii="等线 Light" w:hAnsi="等线 Light"/>
      <w:b/>
      <w:bCs/>
      <w:kern w:val="2"/>
      <w:sz w:val="32"/>
      <w:szCs w:val="32"/>
    </w:rPr>
  </w:style>
  <w:style w:type="paragraph" w:customStyle="1" w:styleId="68">
    <w:name w:val="表（图）头"/>
    <w:next w:val="1"/>
    <w:qFormat/>
    <w:uiPriority w:val="0"/>
    <w:pPr>
      <w:adjustRightInd w:val="0"/>
      <w:snapToGrid w:val="0"/>
      <w:jc w:val="center"/>
      <w:outlineLvl w:val="4"/>
    </w:pPr>
    <w:rPr>
      <w:rFonts w:ascii="Times New Roman" w:hAnsi="Times New Roman" w:eastAsia="黑体" w:cs="Times New Roman"/>
      <w:b/>
      <w:sz w:val="24"/>
      <w:lang w:val="en-US" w:eastAsia="zh-CN" w:bidi="ar-SA"/>
    </w:rPr>
  </w:style>
  <w:style w:type="paragraph" w:customStyle="1" w:styleId="69">
    <w:name w:val="0-表（图）头"/>
    <w:next w:val="1"/>
    <w:qFormat/>
    <w:uiPriority w:val="0"/>
    <w:pPr>
      <w:adjustRightInd w:val="0"/>
      <w:snapToGrid w:val="0"/>
      <w:jc w:val="center"/>
      <w:outlineLvl w:val="4"/>
    </w:pPr>
    <w:rPr>
      <w:rFonts w:ascii="Times New Roman" w:hAnsi="Times New Roman" w:eastAsia="黑体" w:cs="Times New Roman"/>
      <w:b/>
      <w:sz w:val="24"/>
      <w:lang w:val="en-US" w:eastAsia="zh-CN" w:bidi="ar-SA"/>
    </w:rPr>
  </w:style>
  <w:style w:type="paragraph" w:customStyle="1" w:styleId="70">
    <w:name w:val="0-表格内文字"/>
    <w:basedOn w:val="1"/>
    <w:link w:val="71"/>
    <w:qFormat/>
    <w:uiPriority w:val="0"/>
    <w:pPr>
      <w:tabs>
        <w:tab w:val="left" w:pos="0"/>
      </w:tabs>
      <w:adjustRightInd w:val="0"/>
      <w:snapToGrid w:val="0"/>
      <w:jc w:val="center"/>
    </w:pPr>
    <w:rPr>
      <w:szCs w:val="21"/>
    </w:rPr>
  </w:style>
  <w:style w:type="character" w:customStyle="1" w:styleId="71">
    <w:name w:val="0-表格内文字 字符"/>
    <w:link w:val="70"/>
    <w:qFormat/>
    <w:uiPriority w:val="0"/>
    <w:rPr>
      <w:kern w:val="2"/>
      <w:sz w:val="21"/>
      <w:szCs w:val="21"/>
    </w:rPr>
  </w:style>
  <w:style w:type="paragraph" w:customStyle="1" w:styleId="72">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73">
    <w:name w:val="0-标题 1"/>
    <w:basedOn w:val="2"/>
    <w:qFormat/>
    <w:uiPriority w:val="0"/>
    <w:pPr>
      <w:keepLines/>
      <w:numPr>
        <w:ilvl w:val="0"/>
        <w:numId w:val="2"/>
      </w:numPr>
      <w:tabs>
        <w:tab w:val="left" w:pos="315"/>
        <w:tab w:val="left" w:pos="1960"/>
        <w:tab w:val="clear" w:pos="0"/>
      </w:tabs>
      <w:overflowPunct/>
      <w:adjustRightInd w:val="0"/>
      <w:spacing w:before="0" w:after="0" w:line="360" w:lineRule="auto"/>
      <w:jc w:val="left"/>
    </w:pPr>
    <w:rPr>
      <w:color w:val="auto"/>
      <w:sz w:val="32"/>
      <w:szCs w:val="44"/>
    </w:rPr>
  </w:style>
  <w:style w:type="paragraph" w:customStyle="1" w:styleId="74">
    <w:name w:val="0-标题 2"/>
    <w:basedOn w:val="3"/>
    <w:qFormat/>
    <w:uiPriority w:val="0"/>
    <w:pPr>
      <w:numPr>
        <w:ilvl w:val="0"/>
        <w:numId w:val="0"/>
      </w:numPr>
      <w:tabs>
        <w:tab w:val="left" w:pos="0"/>
        <w:tab w:val="left" w:pos="1960"/>
      </w:tabs>
      <w:spacing w:before="0" w:after="0" w:line="360" w:lineRule="auto"/>
      <w:jc w:val="left"/>
    </w:pPr>
    <w:rPr>
      <w:rFonts w:ascii="Times New Roman" w:hAnsi="Times New Roman" w:eastAsia="黑体"/>
      <w:kern w:val="44"/>
      <w:sz w:val="30"/>
    </w:rPr>
  </w:style>
  <w:style w:type="paragraph" w:customStyle="1" w:styleId="75">
    <w:name w:val="0-标题3"/>
    <w:basedOn w:val="4"/>
    <w:qFormat/>
    <w:uiPriority w:val="0"/>
    <w:pPr>
      <w:tabs>
        <w:tab w:val="left" w:pos="0"/>
      </w:tabs>
      <w:adjustRightInd w:val="0"/>
      <w:ind w:left="142"/>
    </w:pPr>
    <w:rPr>
      <w:b/>
    </w:rPr>
  </w:style>
  <w:style w:type="paragraph" w:customStyle="1" w:styleId="76">
    <w:name w:val="0-标题4"/>
    <w:basedOn w:val="5"/>
    <w:qFormat/>
    <w:uiPriority w:val="0"/>
    <w:pPr>
      <w:tabs>
        <w:tab w:val="left" w:pos="0"/>
        <w:tab w:val="left" w:pos="360"/>
        <w:tab w:val="left" w:pos="420"/>
      </w:tabs>
      <w:ind w:left="1984" w:hanging="708"/>
    </w:pPr>
    <w:rPr>
      <w:rFonts w:eastAsia="黑体"/>
      <w:szCs w:val="22"/>
    </w:rPr>
  </w:style>
  <w:style w:type="paragraph" w:customStyle="1" w:styleId="77">
    <w:name w:val="0-封面-单位名称及日期"/>
    <w:basedOn w:val="1"/>
    <w:qFormat/>
    <w:uiPriority w:val="0"/>
    <w:pPr>
      <w:spacing w:before="60" w:after="60"/>
      <w:jc w:val="center"/>
    </w:pPr>
    <w:rPr>
      <w:rFonts w:ascii="黑体" w:hAnsi="Cambria" w:eastAsia="华文中宋" w:cs="Arial"/>
      <w:b/>
      <w:bCs/>
      <w:sz w:val="36"/>
      <w:szCs w:val="36"/>
    </w:rPr>
  </w:style>
  <w:style w:type="table" w:customStyle="1" w:styleId="78">
    <w:name w:val="表格样式1"/>
    <w:basedOn w:val="30"/>
    <w:qFormat/>
    <w:uiPriority w:val="0"/>
    <w:pPr>
      <w:widowControl w:val="0"/>
      <w:jc w:val="center"/>
    </w:pPr>
    <w:rPr>
      <w:szCs w:val="21"/>
    </w:rPr>
    <w:tblPr>
      <w:tblBorders>
        <w:top w:val="single" w:color="auto" w:sz="12" w:space="0"/>
        <w:bottom w:val="single" w:color="auto" w:sz="12" w:space="0"/>
        <w:insideH w:val="single" w:color="auto" w:sz="6" w:space="0"/>
        <w:insideV w:val="single" w:color="auto" w:sz="6" w:space="0"/>
      </w:tblBorders>
    </w:tblPr>
    <w:tcPr>
      <w:vAlign w:val="center"/>
    </w:tcPr>
  </w:style>
  <w:style w:type="paragraph" w:customStyle="1" w:styleId="79">
    <w:name w:val="表格内容"/>
    <w:next w:val="1"/>
    <w:qFormat/>
    <w:uiPriority w:val="0"/>
    <w:pPr>
      <w:jc w:val="center"/>
    </w:pPr>
    <w:rPr>
      <w:rFonts w:ascii="Times New Roman" w:hAnsi="Times New Roman" w:eastAsia="宋体" w:cs="Times New Roman"/>
      <w:sz w:val="21"/>
      <w:szCs w:val="21"/>
      <w:lang w:val="en-US" w:eastAsia="zh-CN" w:bidi="ar-SA"/>
    </w:rPr>
  </w:style>
  <w:style w:type="paragraph" w:customStyle="1" w:styleId="80">
    <w:name w:val="0表名"/>
    <w:basedOn w:val="1"/>
    <w:qFormat/>
    <w:uiPriority w:val="0"/>
    <w:pPr>
      <w:spacing w:line="360" w:lineRule="auto"/>
      <w:jc w:val="center"/>
    </w:pPr>
    <w:rPr>
      <w:rFonts w:cs="Tahoma"/>
      <w:b/>
      <w:sz w:val="24"/>
      <w:szCs w:val="21"/>
    </w:rPr>
  </w:style>
  <w:style w:type="character" w:customStyle="1" w:styleId="81">
    <w:name w:val="000表内 字符"/>
    <w:link w:val="82"/>
    <w:qFormat/>
    <w:uiPriority w:val="0"/>
    <w:rPr>
      <w:kern w:val="2"/>
      <w:sz w:val="21"/>
      <w:szCs w:val="24"/>
    </w:rPr>
  </w:style>
  <w:style w:type="paragraph" w:customStyle="1" w:styleId="82">
    <w:name w:val="000表内"/>
    <w:basedOn w:val="1"/>
    <w:link w:val="81"/>
    <w:qFormat/>
    <w:uiPriority w:val="0"/>
    <w:pPr>
      <w:snapToGrid w:val="0"/>
      <w:jc w:val="center"/>
    </w:pPr>
  </w:style>
  <w:style w:type="paragraph" w:customStyle="1" w:styleId="83">
    <w:name w:val="0表（图）头"/>
    <w:basedOn w:val="1"/>
    <w:link w:val="84"/>
    <w:qFormat/>
    <w:uiPriority w:val="0"/>
    <w:pPr>
      <w:adjustRightInd w:val="0"/>
      <w:jc w:val="center"/>
      <w:outlineLvl w:val="4"/>
    </w:pPr>
    <w:rPr>
      <w:rFonts w:hAnsi="宋体" w:eastAsia="黑体"/>
      <w:b/>
      <w:sz w:val="24"/>
      <w:szCs w:val="21"/>
    </w:rPr>
  </w:style>
  <w:style w:type="character" w:customStyle="1" w:styleId="84">
    <w:name w:val="0表（图）头 字符"/>
    <w:link w:val="83"/>
    <w:qFormat/>
    <w:uiPriority w:val="0"/>
    <w:rPr>
      <w:rFonts w:hAnsi="宋体" w:eastAsia="黑体"/>
      <w:b/>
      <w:kern w:val="2"/>
      <w:sz w:val="24"/>
      <w:szCs w:val="21"/>
    </w:rPr>
  </w:style>
  <w:style w:type="paragraph" w:customStyle="1" w:styleId="85">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86">
    <w:name w:val="5文章(金皇)"/>
    <w:basedOn w:val="1"/>
    <w:qFormat/>
    <w:uiPriority w:val="0"/>
    <w:pPr>
      <w:spacing w:line="360" w:lineRule="auto"/>
      <w:ind w:firstLine="480" w:firstLineChars="200"/>
    </w:pPr>
    <w:rPr>
      <w:sz w:val="24"/>
    </w:rPr>
  </w:style>
  <w:style w:type="paragraph" w:customStyle="1" w:styleId="87">
    <w:name w:val="5文章(治)"/>
    <w:basedOn w:val="1"/>
    <w:qFormat/>
    <w:uiPriority w:val="0"/>
    <w:pPr>
      <w:snapToGrid w:val="0"/>
      <w:spacing w:line="360" w:lineRule="auto"/>
      <w:ind w:firstLine="200" w:firstLineChars="200"/>
    </w:pPr>
    <w:rPr>
      <w:sz w:val="24"/>
    </w:rPr>
  </w:style>
  <w:style w:type="character" w:customStyle="1" w:styleId="88">
    <w:name w:val="15"/>
    <w:qFormat/>
    <w:uiPriority w:val="0"/>
    <w:rPr>
      <w:rFonts w:hint="default" w:ascii="Times New Roman" w:hAnsi="Times New Roman" w:eastAsia="宋体" w:cs="Times New Roman"/>
      <w:sz w:val="24"/>
      <w:szCs w:val="24"/>
    </w:rPr>
  </w:style>
  <w:style w:type="paragraph" w:customStyle="1" w:styleId="89">
    <w:name w:val="7表格(治)"/>
    <w:basedOn w:val="1"/>
    <w:qFormat/>
    <w:uiPriority w:val="0"/>
    <w:pPr>
      <w:jc w:val="center"/>
    </w:pPr>
    <w:rPr>
      <w:szCs w:val="21"/>
    </w:rPr>
  </w:style>
  <w:style w:type="paragraph" w:customStyle="1" w:styleId="90">
    <w:name w:val="金皇-表格内文字"/>
    <w:basedOn w:val="1"/>
    <w:qFormat/>
    <w:uiPriority w:val="0"/>
    <w:pPr>
      <w:adjustRightInd w:val="0"/>
      <w:snapToGrid w:val="0"/>
      <w:jc w:val="center"/>
    </w:pPr>
    <w:rPr>
      <w:szCs w:val="21"/>
    </w:rPr>
  </w:style>
  <w:style w:type="paragraph" w:customStyle="1" w:styleId="91">
    <w:name w:val="金皇-正文"/>
    <w:basedOn w:val="1"/>
    <w:qFormat/>
    <w:uiPriority w:val="0"/>
    <w:pPr>
      <w:spacing w:line="360" w:lineRule="auto"/>
      <w:ind w:firstLine="200" w:firstLineChars="200"/>
    </w:pPr>
    <w:rPr>
      <w:sz w:val="24"/>
    </w:rPr>
  </w:style>
  <w:style w:type="character" w:styleId="92">
    <w:name w:val="Placeholder Text"/>
    <w:basedOn w:val="32"/>
    <w:unhideWhenUsed/>
    <w:qFormat/>
    <w:uiPriority w:val="99"/>
    <w:rPr>
      <w:color w:val="808080"/>
    </w:rPr>
  </w:style>
  <w:style w:type="paragraph" w:customStyle="1" w:styleId="93">
    <w:name w:val="TOC 标题1"/>
    <w:basedOn w:val="2"/>
    <w:next w:val="1"/>
    <w:unhideWhenUsed/>
    <w:qFormat/>
    <w:uiPriority w:val="39"/>
    <w:pPr>
      <w:keepLines/>
      <w:widowControl/>
      <w:overflowPunct/>
      <w:snapToGrid/>
      <w:spacing w:before="240" w:after="0"/>
      <w:ind w:left="0" w:firstLine="0"/>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94">
    <w:name w:val="List Paragraph"/>
    <w:basedOn w:val="1"/>
    <w:qFormat/>
    <w:uiPriority w:val="1"/>
    <w:pPr>
      <w:autoSpaceDE w:val="0"/>
      <w:autoSpaceDN w:val="0"/>
      <w:ind w:left="1457" w:hanging="601"/>
      <w:jc w:val="left"/>
    </w:pPr>
    <w:rPr>
      <w:rFonts w:ascii="宋体" w:hAnsi="宋体" w:cs="宋体"/>
      <w:kern w:val="0"/>
      <w:sz w:val="22"/>
      <w:szCs w:val="22"/>
      <w:lang w:eastAsia="en-US"/>
    </w:rPr>
  </w:style>
  <w:style w:type="paragraph" w:customStyle="1" w:styleId="95">
    <w:name w:val="金皇-标题2"/>
    <w:basedOn w:val="3"/>
    <w:qFormat/>
    <w:uiPriority w:val="0"/>
    <w:pPr>
      <w:numPr>
        <w:ilvl w:val="0"/>
        <w:numId w:val="0"/>
      </w:numPr>
      <w:spacing w:before="0" w:after="0" w:line="360" w:lineRule="auto"/>
    </w:pPr>
    <w:rPr>
      <w:rFonts w:ascii="Times New Roman" w:hAnsi="Times New Roman" w:eastAsia="黑体"/>
      <w:kern w:val="0"/>
      <w:sz w:val="30"/>
      <w:szCs w:val="30"/>
    </w:rPr>
  </w:style>
  <w:style w:type="paragraph" w:customStyle="1" w:styleId="96">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color w:val="000000"/>
      <w:kern w:val="0"/>
      <w:sz w:val="20"/>
      <w:szCs w:val="20"/>
    </w:rPr>
  </w:style>
  <w:style w:type="paragraph" w:customStyle="1" w:styleId="97">
    <w:name w:val="文"/>
    <w:qFormat/>
    <w:uiPriority w:val="0"/>
    <w:pPr>
      <w:spacing w:line="360" w:lineRule="auto"/>
      <w:ind w:firstLine="200" w:firstLineChars="200"/>
      <w:jc w:val="both"/>
    </w:pPr>
    <w:rPr>
      <w:rFonts w:ascii="Calibri" w:hAnsi="Calibri" w:eastAsia="宋体" w:cs="Times New Roman"/>
      <w:bCs/>
      <w:sz w:val="24"/>
      <w:szCs w:val="28"/>
      <w:lang w:val="en-US" w:eastAsia="zh-CN" w:bidi="ar-SA"/>
    </w:rPr>
  </w:style>
  <w:style w:type="paragraph" w:customStyle="1" w:styleId="98">
    <w:name w:val="正文（）"/>
    <w:basedOn w:val="1"/>
    <w:qFormat/>
    <w:uiPriority w:val="0"/>
    <w:pPr>
      <w:adjustRightInd w:val="0"/>
      <w:snapToGrid w:val="0"/>
      <w:spacing w:line="360" w:lineRule="auto"/>
      <w:ind w:firstLine="200" w:firstLineChars="200"/>
    </w:pPr>
    <w:rPr>
      <w:color w:val="5B9BD5"/>
      <w:sz w:val="24"/>
      <w:szCs w:val="24"/>
    </w:rPr>
  </w:style>
  <w:style w:type="paragraph" w:customStyle="1" w:styleId="99">
    <w:name w:val="6表格"/>
    <w:basedOn w:val="1"/>
    <w:qFormat/>
    <w:uiPriority w:val="0"/>
    <w:pPr>
      <w:widowControl w:val="0"/>
      <w:jc w:val="center"/>
    </w:pPr>
    <w:rPr>
      <w:rFonts w:ascii="Times New Roman" w:hAnsi="Times New Roman"/>
    </w:rPr>
  </w:style>
  <w:style w:type="paragraph" w:customStyle="1" w:styleId="100">
    <w:name w:val="CM11"/>
    <w:basedOn w:val="1"/>
    <w:next w:val="1"/>
    <w:qFormat/>
    <w:uiPriority w:val="0"/>
    <w:pPr>
      <w:widowControl w:val="0"/>
      <w:autoSpaceDE w:val="0"/>
      <w:autoSpaceDN w:val="0"/>
      <w:adjustRightInd w:val="0"/>
      <w:spacing w:line="520" w:lineRule="atLeast"/>
    </w:pPr>
    <w:rPr>
      <w:rFonts w:ascii="宋体" w:hAnsi="宋体" w:cs="宋体"/>
      <w:kern w:val="0"/>
      <w:sz w:val="24"/>
      <w:szCs w:val="24"/>
    </w:rPr>
  </w:style>
  <w:style w:type="character" w:customStyle="1" w:styleId="101">
    <w:name w:val="font11"/>
    <w:basedOn w:val="32"/>
    <w:qFormat/>
    <w:uiPriority w:val="0"/>
    <w:rPr>
      <w:rFonts w:hint="eastAsia" w:ascii="宋体" w:hAnsi="宋体" w:eastAsia="宋体" w:cs="宋体"/>
      <w:color w:val="000000"/>
      <w:sz w:val="21"/>
      <w:szCs w:val="21"/>
      <w:u w:val="none"/>
    </w:rPr>
  </w:style>
  <w:style w:type="character" w:customStyle="1" w:styleId="102">
    <w:name w:val="font31"/>
    <w:basedOn w:val="32"/>
    <w:qFormat/>
    <w:uiPriority w:val="0"/>
    <w:rPr>
      <w:rFonts w:hint="default" w:ascii="Times New Roman" w:hAnsi="Times New Roman" w:cs="Times New Roman"/>
      <w:color w:val="000000"/>
      <w:sz w:val="21"/>
      <w:szCs w:val="21"/>
      <w:u w:val="none"/>
    </w:rPr>
  </w:style>
  <w:style w:type="character" w:customStyle="1" w:styleId="103">
    <w:name w:val="font41"/>
    <w:basedOn w:val="32"/>
    <w:qFormat/>
    <w:uiPriority w:val="0"/>
    <w:rPr>
      <w:rFonts w:hint="default" w:ascii="Times New Roman" w:hAnsi="Times New Roman" w:cs="Times New Roman"/>
      <w:color w:val="000000"/>
      <w:sz w:val="13"/>
      <w:szCs w:val="13"/>
      <w:u w:val="none"/>
    </w:rPr>
  </w:style>
  <w:style w:type="character" w:customStyle="1" w:styleId="104">
    <w:name w:val="font51"/>
    <w:basedOn w:val="32"/>
    <w:qFormat/>
    <w:uiPriority w:val="0"/>
    <w:rPr>
      <w:rFonts w:hint="default" w:ascii="Times New Roman" w:hAnsi="Times New Roman" w:cs="Times New Roman"/>
      <w:color w:val="000000"/>
      <w:sz w:val="21"/>
      <w:szCs w:val="21"/>
      <w:u w:val="none"/>
      <w:vertAlign w:val="subscript"/>
    </w:rPr>
  </w:style>
  <w:style w:type="paragraph" w:customStyle="1" w:styleId="105">
    <w:name w:val="表内容"/>
    <w:qFormat/>
    <w:uiPriority w:val="0"/>
    <w:pPr>
      <w:widowControl w:val="0"/>
      <w:jc w:val="center"/>
    </w:pPr>
    <w:rPr>
      <w:rFonts w:ascii="Times New Roman" w:hAnsi="Times New Roman" w:eastAsia="宋体" w:cs="Times New Roman"/>
      <w:kern w:val="2"/>
      <w:sz w:val="21"/>
      <w:szCs w:val="21"/>
      <w:lang w:val="en-US" w:eastAsia="zh-CN" w:bidi="ar-SA"/>
    </w:rPr>
  </w:style>
  <w:style w:type="character" w:customStyle="1" w:styleId="106">
    <w:name w:val="font01"/>
    <w:basedOn w:val="32"/>
    <w:qFormat/>
    <w:uiPriority w:val="0"/>
    <w:rPr>
      <w:rFonts w:hint="eastAsia" w:ascii="宋体" w:hAnsi="宋体" w:eastAsia="宋体" w:cs="宋体"/>
      <w:color w:val="000000"/>
      <w:sz w:val="22"/>
      <w:szCs w:val="22"/>
      <w:u w:val="none"/>
    </w:rPr>
  </w:style>
  <w:style w:type="character" w:customStyle="1" w:styleId="107">
    <w:name w:val="font61"/>
    <w:basedOn w:val="32"/>
    <w:qFormat/>
    <w:uiPriority w:val="0"/>
    <w:rPr>
      <w:rFonts w:hint="default" w:ascii="Times New Roman" w:hAnsi="Times New Roman" w:cs="Times New Roman"/>
      <w:color w:val="000000"/>
      <w:sz w:val="21"/>
      <w:szCs w:val="21"/>
      <w:u w:val="none"/>
      <w:vertAlign w:val="subscript"/>
    </w:rPr>
  </w:style>
  <w:style w:type="character" w:customStyle="1" w:styleId="108">
    <w:name w:val="font21"/>
    <w:basedOn w:val="32"/>
    <w:qFormat/>
    <w:uiPriority w:val="0"/>
    <w:rPr>
      <w:rFonts w:hint="eastAsia" w:ascii="宋体" w:hAnsi="宋体" w:eastAsia="宋体" w:cs="宋体"/>
      <w:color w:val="000000"/>
      <w:sz w:val="21"/>
      <w:szCs w:val="21"/>
      <w:u w:val="none"/>
    </w:rPr>
  </w:style>
  <w:style w:type="paragraph" w:customStyle="1" w:styleId="109">
    <w:name w:val="表格标题（）"/>
    <w:basedOn w:val="1"/>
    <w:autoRedefine/>
    <w:qFormat/>
    <w:uiPriority w:val="0"/>
    <w:pPr>
      <w:adjustRightInd w:val="0"/>
      <w:snapToGrid w:val="0"/>
      <w:jc w:val="center"/>
    </w:pPr>
    <w:rPr>
      <w:rFonts w:eastAsia="黑体"/>
      <w:color w:val="000000"/>
      <w:sz w:val="24"/>
      <w:lang w:val="zh-CN" w:bidi="he-IL"/>
    </w:rPr>
  </w:style>
  <w:style w:type="paragraph" w:customStyle="1" w:styleId="110">
    <w:name w:val="表格内容（）"/>
    <w:basedOn w:val="1"/>
    <w:autoRedefine/>
    <w:qFormat/>
    <w:uiPriority w:val="0"/>
    <w:pPr>
      <w:adjustRightInd w:val="0"/>
      <w:snapToGrid w:val="0"/>
      <w:jc w:val="center"/>
    </w:pPr>
    <w:rPr>
      <w:szCs w:val="21"/>
    </w:rPr>
  </w:style>
  <w:style w:type="character" w:customStyle="1" w:styleId="111">
    <w:name w:val="font81"/>
    <w:basedOn w:val="32"/>
    <w:qFormat/>
    <w:uiPriority w:val="0"/>
    <w:rPr>
      <w:rFonts w:hint="default" w:ascii="Times New Roman" w:hAnsi="Times New Roman" w:cs="Times New Roman"/>
      <w:color w:val="000000"/>
      <w:sz w:val="13"/>
      <w:szCs w:val="13"/>
      <w:u w:val="none"/>
    </w:rPr>
  </w:style>
  <w:style w:type="paragraph" w:customStyle="1" w:styleId="112">
    <w:name w:val="表格里面的字"/>
    <w:basedOn w:val="89"/>
    <w:qFormat/>
    <w:uiPriority w:val="0"/>
    <w:rPr>
      <w:rFonts w:ascii="Times New Roman" w:hAnsi="Times New Roman"/>
      <w:kern w:val="2"/>
      <w:sz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footer" Target="footer1.xml"/><Relationship Id="rId29" Type="http://schemas.openxmlformats.org/officeDocument/2006/relationships/customXml" Target="../customXml/item1.xml"/><Relationship Id="rId28" Type="http://schemas.openxmlformats.org/officeDocument/2006/relationships/image" Target="media/image16.jpeg"/><Relationship Id="rId27" Type="http://schemas.openxmlformats.org/officeDocument/2006/relationships/image" Target="media/image15.emf"/><Relationship Id="rId26" Type="http://schemas.openxmlformats.org/officeDocument/2006/relationships/image" Target="media/image14.png"/><Relationship Id="rId25" Type="http://schemas.openxmlformats.org/officeDocument/2006/relationships/image" Target="media/image13.emf"/><Relationship Id="rId24" Type="http://schemas.openxmlformats.org/officeDocument/2006/relationships/image" Target="media/image12.wmf"/><Relationship Id="rId23" Type="http://schemas.openxmlformats.org/officeDocument/2006/relationships/image" Target="media/image11.wmf"/><Relationship Id="rId22" Type="http://schemas.openxmlformats.org/officeDocument/2006/relationships/image" Target="media/image10.wmf"/><Relationship Id="rId21" Type="http://schemas.openxmlformats.org/officeDocument/2006/relationships/image" Target="media/image9.wmf"/><Relationship Id="rId20" Type="http://schemas.openxmlformats.org/officeDocument/2006/relationships/image" Target="media/image8.jpeg"/><Relationship Id="rId2" Type="http://schemas.openxmlformats.org/officeDocument/2006/relationships/settings" Target="settings.xml"/><Relationship Id="rId19" Type="http://schemas.openxmlformats.org/officeDocument/2006/relationships/image" Target="media/image7.wmf"/><Relationship Id="rId18" Type="http://schemas.openxmlformats.org/officeDocument/2006/relationships/image" Target="media/image6.png"/><Relationship Id="rId17" Type="http://schemas.openxmlformats.org/officeDocument/2006/relationships/image" Target="media/image5.jpe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8d08a0c7-165a-4c2a-82fc-dbc2cc2412d8</errorID>
      <errorWord>(</errorWord>
      <group>L1_Format</group>
      <groupName>格式问题</groupName>
      <ability>L2_HalfPunc</ability>
      <abilityName>全半角检查</abilityName>
      <candidateList>
        <item>（</item>
      </candidateList>
      <explain>文本全半角错误。</explain>
      <paraID>7DA65351</paraID>
      <start>23</start>
      <end>24</end>
      <status>unmodified</status>
      <modifiedWord/>
      <trackRevisions>false</trackRevisions>
    </reviewItem>
    <reviewItem>
      <errorID>45ff76fb-5c00-4eed-b3fa-f55537284518</errorID>
      <errorWord>)</errorWord>
      <group>L1_Format</group>
      <groupName>格式问题</groupName>
      <ability>L2_HalfPunc</ability>
      <abilityName>全半角检查</abilityName>
      <candidateList>
        <item>）</item>
      </candidateList>
      <explain>文本全半角错误。</explain>
      <paraID>7DA65351</paraID>
      <start>26</start>
      <end>27</end>
      <status>unmodified</status>
      <modifiedWord/>
      <trackRevisions>false</trackRevisions>
    </reviewItem>
    <reviewItem>
      <errorID>4b96c53a-f8d4-4675-b628-7b5cd2d08492</errorID>
      <errorWord>(</errorWord>
      <group>L1_Format</group>
      <groupName>格式问题</groupName>
      <ability>L2_HalfPunc</ability>
      <abilityName>全半角检查</abilityName>
      <candidateList>
        <item>（</item>
      </candidateList>
      <explain>文本全半角错误。</explain>
      <paraID>6E716795</paraID>
      <start>18</start>
      <end>19</end>
      <status>unmodified</status>
      <modifiedWord/>
      <trackRevisions>false</trackRevisions>
    </reviewItem>
    <reviewItem>
      <errorID>ed9efcf3-a65b-4b13-bb68-3f4966f0c727</errorID>
      <errorWord>)</errorWord>
      <group>L1_Format</group>
      <groupName>格式问题</groupName>
      <ability>L2_HalfPunc</ability>
      <abilityName>全半角检查</abilityName>
      <candidateList>
        <item>）</item>
      </candidateList>
      <explain>文本全半角错误。</explain>
      <paraID>6E716795</paraID>
      <start>21</start>
      <end>22</end>
      <status>unmodified</status>
      <modifiedWord/>
      <trackRevisions>false</trackRevisions>
    </reviewItem>
    <reviewItem>
      <errorID>855a6702-44f1-4f0f-9969-cc1144d73ad5</errorID>
      <errorWord>福建 省</errorWord>
      <group>L1_AI</group>
      <groupName>深度校对</groupName>
      <ability>L2_AI_Word</ability>
      <abilityName>字词纠错</abilityName>
      <candidateList>
        <item>福建省</item>
      </candidateList>
      <explain/>
      <paraID>78E10374</paraID>
      <start>1</start>
      <end>5</end>
      <status>unmodified</status>
      <modifiedWord/>
      <trackRevisions>false</trackRevisions>
    </reviewItem>
    <reviewItem>
      <errorID>f1151ced-5e22-4303-a7dd-48baf8f513f0</errorID>
      <errorWord> 福州 市 高新 县</errorWord>
      <group>L1_AI</group>
      <groupName>深度校对</groupName>
      <ability>L2_AI_Grammar</ability>
      <abilityName>语法纠错</abilityName>
      <candidateList>
        <item>福州市高新区</item>
      </candidateList>
      <explain/>
      <paraID>78E10374</paraID>
      <start>10</start>
      <end>20</end>
      <status>unmodified</status>
      <modifiedWord/>
      <trackRevisions>false</trackRevisions>
    </reviewItem>
    <reviewItem>
      <errorID>d9499980-f405-437c-8033-3be620433181</errorID>
      <errorWord>镇 乡</errorWord>
      <group>L1_AI</group>
      <groupName>深度校对</groupName>
      <ability>L2_AI_Grammar</ability>
      <abilityName>语法纠错</abilityName>
      <candidateList>
        <item>镇</item>
      </candidateList>
      <explain/>
      <paraID>78E10374</paraID>
      <start>25</start>
      <end>28</end>
      <status>unmodified</status>
      <modifiedWord/>
      <trackRevisions>false</trackRevisions>
    </reviewItem>
    <reviewItem>
      <errorID>95ad1fad-fb41-451f-b5ec-1ee6d1fc1c51</errorID>
      <errorWord> </errorWord>
      <group>L1_AI</group>
      <groupName>深度校对</groupName>
      <ability>L2_AI_Punc</ability>
      <abilityName>标点纠错</abilityName>
      <candidateList>
        <item/>
      </candidateList>
      <explain>此处空格冗余，建议删除。</explain>
      <paraID>78E10374</paraID>
      <start>32</start>
      <end>33</end>
      <status>unmodified</status>
      <modifiedWord/>
      <trackRevisions>false</trackRevisions>
    </reviewItem>
    <reviewItem>
      <errorID>1942608a-15f3-46e1-8b0d-a1e8c134dc43</errorID>
      <errorWord> </errorWord>
      <group>L1_AI</group>
      <groupName>深度校对</groupName>
      <ability>L2_AI_Punc</ability>
      <abilityName>标点纠错</abilityName>
      <candidateList>
        <item/>
      </candidateList>
      <explain>此处空格冗余，建议删除。</explain>
      <paraID>78E10374</paraID>
      <start>42</start>
      <end>43</end>
      <status>unmodified</status>
      <modifiedWord/>
      <trackRevisions>false</trackRevisions>
    </reviewItem>
    <reviewItem>
      <errorID>ef81bdd7-1c5b-4542-8936-c2927e3c517e</errorID>
      <errorWord>[2025]</errorWord>
      <group>L1_Punc</group>
      <groupName>标点问题</groupName>
      <ability>L2_Punc</ability>
      <abilityName>标点符号检查</abilityName>
      <candidateList>
        <item>〔2025〕</item>
      </candidateList>
      <explain/>
      <paraID>26B9EA2B</paraID>
      <start>4</start>
      <end>10</end>
      <status>unmodified</status>
      <modifiedWord/>
      <trackRevisions>false</trackRevisions>
    </reviewItem>
    <reviewItem>
      <errorID>c0f84433-3cbf-4ad1-93bd-db3a8384d323</errorID>
      <errorWord>：/</errorWord>
      <group>L1_Punc</group>
      <groupName>标点问题</groupName>
      <ability>L2_Punc</ability>
      <abilityName>标点符号检查</abilityName>
      <candidateList>
        <item>：</item>
      </candidateList>
      <explain/>
      <paraID> 97CA98A</paraID>
      <start>9</start>
      <end>11</end>
      <status>unmodified</status>
      <modifiedWord/>
      <trackRevisions>false</trackRevisions>
    </reviewItem>
    <reviewItem>
      <errorID>e1ec35a7-d903-4565-aaeb-1e25a26500a0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38D69DCD</paraID>
      <start>23</start>
      <end>24</end>
      <status>unmodified</status>
      <modifiedWord/>
      <trackRevisions>false</trackRevisions>
    </reviewItem>
    <reviewItem>
      <errorID>27e2d3ee-83c1-4d94-8b8e-cc5fbd2cae9d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38D69DCD</paraID>
      <start>49</start>
      <end>50</end>
      <status>unmodified</status>
      <modifiedWord/>
      <trackRevisions>false</trackRevisions>
    </reviewItem>
    <reviewItem>
      <errorID>98f73609-aff4-4b5b-b8b7-13881433cec8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581DF449</paraID>
      <start>17</start>
      <end>18</end>
      <status>unmodified</status>
      <modifiedWord/>
      <trackRevisions>false</trackRevisions>
    </reviewItem>
    <reviewItem>
      <errorID>851d966c-a822-4500-a8aa-094422beb98e</errorID>
      <errorWord>(</errorWord>
      <group>L1_Format</group>
      <groupName>格式问题</groupName>
      <ability>L2_HalfPunc</ability>
      <abilityName>全半角检查</abilityName>
      <candidateList>
        <item>（</item>
      </candidateList>
      <explain>文本全半角错误。</explain>
      <paraID>581DF449</paraID>
      <start>310</start>
      <end>311</end>
      <status>unmodified</status>
      <modifiedWord/>
      <trackRevisions>false</trackRevisions>
    </reviewItem>
    <reviewItem>
      <errorID>2fbaeba8-8709-4742-8987-06ffb5a3613d</errorID>
      <errorWord>)</errorWord>
      <group>L1_Format</group>
      <groupName>格式问题</groupName>
      <ability>L2_HalfPunc</ability>
      <abilityName>全半角检查</abilityName>
      <candidateList>
        <item>）</item>
      </candidateList>
      <explain>文本全半角错误。</explain>
      <paraID>581DF449</paraID>
      <start>313</start>
      <end>314</end>
      <status>unmodified</status>
      <modifiedWord/>
      <trackRevisions>false</trackRevisions>
    </reviewItem>
    <reviewItem>
      <errorID>28343b22-7630-4df5-9245-205d061f8e41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61BFE662</paraID>
      <start>17</start>
      <end>18</end>
      <status>unmodified</status>
      <modifiedWord/>
      <trackRevisions>false</trackRevisions>
    </reviewItem>
    <reviewItem>
      <errorID>d3d46c44-f493-4ce1-b0d3-12981362192c</errorID>
      <errorWord>荆甘</errorWord>
      <group>L1_Word</group>
      <groupName>字词问题</groupName>
      <ability>L2_Typo</ability>
      <abilityName>字词错误</abilityName>
      <candidateList>
        <item>荆</item>
      </candidateList>
      <explain/>
      <paraID>61BFE662</paraID>
      <start>115</start>
      <end>117</end>
      <status>unmodified</status>
      <modifiedWord/>
      <trackRevisions>false</trackRevisions>
    </reviewItem>
    <reviewItem>
      <errorID>8f6c9508-f284-4425-9fc3-08f52987876a</errorID>
      <errorWord>-</errorWord>
      <group>L1_Format</group>
      <groupName>格式问题</groupName>
      <ability>L2_HalfPunc</ability>
      <abilityName>全半角检查</abilityName>
      <candidateList>
        <item>－</item>
      </candidateList>
      <explain>文本全半角错误。</explain>
      <paraID>6DD0F78F</paraID>
      <start>24</start>
      <end>25</end>
      <status>unmodified</status>
      <modifiedWord/>
      <trackRevisions>false</trackRevisions>
    </reviewItem>
    <reviewItem>
      <errorID>cb2c61e5-8b5c-4b7e-ab9a-0ec47b146c2c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6DD0F78F</paraID>
      <start>149</start>
      <end>150</end>
      <status>unmodified</status>
      <modifiedWord/>
      <trackRevisions>false</trackRevisions>
    </reviewItem>
    <reviewItem>
      <errorID>f45203a8-2748-45f7-aba6-95b06efcc8ea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6DD0F78F</paraID>
      <start>175</start>
      <end>176</end>
      <status>unmodified</status>
      <modifiedWord/>
      <trackRevisions>false</trackRevisions>
    </reviewItem>
    <reviewItem>
      <errorID>7780badd-a4c7-4c0a-8eba-3ec3bac490aa</errorID>
      <errorWord>台湾和欧美</errorWord>
      <group>L1_Political</group>
      <groupName>政治性问题</groupName>
      <ability>L2_Unpolitical</ability>
      <abilityName>政治敏感错误</abilityName>
      <candidateList/>
      <explain/>
      <paraID>6776C585</paraID>
      <start>63</start>
      <end>68</end>
      <status>unmodified</status>
      <modifiedWord/>
      <trackRevisions>false</trackRevisions>
    </reviewItem>
    <reviewItem>
      <errorID>94110c71-c086-47fb-9034-a620b4824b8e</errorID>
      <errorWord>高新技术制造业</errorWord>
      <group>L1_Political</group>
      <groupName>政治性问题</groupName>
      <ability>L2_Keyword</ability>
      <abilityName>固定表述</abilityName>
      <candidateList>
        <item>高技术制造业</item>
      </candidateList>
      <explain>词汇“高技术制造业”在特定场景下为固定表述形式，请确认此处的“高新技术制造业”是否存在不当。</explain>
      <paraID>720B5EC3</paraID>
      <start>47</start>
      <end>54</end>
      <status>unmodified</status>
      <modifiedWord/>
      <trackRevisions>false</trackRevisions>
    </reviewItem>
    <reviewItem>
      <errorID>f3bc2e98-8bcb-4126-9aee-868f84d84859</errorID>
      <errorWord>-</errorWord>
      <group>L1_Format</group>
      <groupName>格式问题</groupName>
      <ability>L2_HalfPunc</ability>
      <abilityName>全半角检查</abilityName>
      <candidateList>
        <item>－</item>
      </candidateList>
      <explain>文本全半角错误。</explain>
      <paraID>3337E97A</paraID>
      <start>20</start>
      <end>21</end>
      <status>unmodified</status>
      <modifiedWord/>
      <trackRevisions>false</trackRevisions>
    </reviewItem>
    <reviewItem>
      <errorID>e4b0927e-5d8f-48a1-b803-f35e4ac25f4d</errorID>
      <errorWord>推荐</errorWord>
      <group>L1_Word</group>
      <groupName>字词问题</groupName>
      <ability>L2_Typo</ability>
      <abilityName>字词错误</abilityName>
      <candidateList>
        <item>推进</item>
      </candidateList>
      <explain>〈动〉❶推动工作，使前进：把学科的研究～到一个新阶段。❷（战线或作战的军队）向前进：主力正向前沿阵地～。</explain>
      <paraID>4ED6CA31</paraID>
      <start>0</start>
      <end>2</end>
      <status>unmodified</status>
      <modifiedWord/>
      <trackRevisions>false</trackRevisions>
    </reviewItem>
    <reviewItem>
      <errorID>2c6e8a44-a632-4f4f-bd2c-39a070fc0697</errorID>
      <errorWord>推荐</errorWord>
      <group>L1_Word</group>
      <groupName>字词问题</groupName>
      <ability>L2_Typo</ability>
      <abilityName>字词错误</abilityName>
      <candidateList>
        <item>推进</item>
      </candidateList>
      <explain>存在发音相近字词的误用。</explain>
      <paraID> 43A8497</paraID>
      <start>0</start>
      <end>2</end>
      <status>unmodified</status>
      <modifiedWord/>
      <trackRevisions>false</trackRevisions>
    </reviewItem>
    <reviewItem>
      <errorID>e6e65b8a-0401-412f-b619-cfeb0c31530f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140AFB94</paraID>
      <start>0</start>
      <end>2</end>
      <status>unmodified</status>
      <modifiedWord/>
      <trackRevisions>false</trackRevisions>
    </reviewItem>
    <reviewItem>
      <errorID>a5785eef-c3ef-45bc-8fa5-4b78dc636dd4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CA673CA</paraID>
      <start>0</start>
      <end>2</end>
      <status>unmodified</status>
      <modifiedWord/>
      <trackRevisions>false</trackRevisions>
    </reviewItem>
    <reviewItem>
      <errorID>6842daef-ac5f-4f6d-a17e-f9de79e6ab96</errorID>
      <errorWord>（</errorWord>
      <group>L1_Punc</group>
      <groupName>标点问题</groupName>
      <ability>L2_Punc</ability>
      <abilityName>标点符号检查</abilityName>
      <candidateList/>
      <explain>同一形式括号套用。</explain>
      <paraID>6F3A965D</paraID>
      <start>72</start>
      <end>73</end>
      <status>unmodified</status>
      <modifiedWord/>
      <trackRevisions>false</trackRevisions>
    </reviewItem>
    <reviewItem>
      <errorID>cc1cc837-76aa-41fb-bd1c-885436e331ca</errorID>
      <errorWord>）</errorWord>
      <group>L1_Punc</group>
      <groupName>标点问题</groupName>
      <ability>L2_Punc</ability>
      <abilityName>标点符号检查</abilityName>
      <candidateList/>
      <explain>同一形式括号套用。</explain>
      <paraID>6F3A965D</paraID>
      <start>77</start>
      <end>78</end>
      <status>unmodified</status>
      <modifiedWord/>
      <trackRevisions>false</trackRevisions>
    </reviewItem>
    <reviewItem>
      <errorID>9ba8edd0-eb38-4246-9198-5b72a8da386a</errorID>
      <errorWord>（</errorWord>
      <group>L1_Punc</group>
      <groupName>标点问题</groupName>
      <ability>L2_Punc</ability>
      <abilityName>标点符号检查</abilityName>
      <candidateList/>
      <explain>同一形式括号套用。</explain>
      <paraID>6F3A965D</paraID>
      <start>81</start>
      <end>82</end>
      <status>unmodified</status>
      <modifiedWord/>
      <trackRevisions>false</trackRevisions>
    </reviewItem>
    <reviewItem>
      <errorID>55ed3379-edb7-450c-9faa-a9f026b01b42</errorID>
      <errorWord>）</errorWord>
      <group>L1_Punc</group>
      <groupName>标点问题</groupName>
      <ability>L2_Punc</ability>
      <abilityName>标点符号检查</abilityName>
      <candidateList/>
      <explain>同一形式括号套用。</explain>
      <paraID>6F3A965D</paraID>
      <start>83</start>
      <end>84</end>
      <status>unmodified</status>
      <modifiedWord/>
      <trackRevisions>false</trackRevisions>
    </reviewItem>
    <reviewItem>
      <errorID>08408dc1-ff7e-4dc2-90cd-5fa7bd9d416c</errorID>
      <errorWord>(</errorWord>
      <group>L1_Format</group>
      <groupName>格式问题</groupName>
      <ability>L2_HalfPunc</ability>
      <abilityName>全半角检查</abilityName>
      <candidateList>
        <item>（</item>
      </candidateList>
      <explain>文本全半角错误。</explain>
      <paraID>234838B7</paraID>
      <start>25</start>
      <end>26</end>
      <status>unmodified</status>
      <modifiedWord/>
      <trackRevisions>false</trackRevisions>
    </reviewItem>
    <reviewItem>
      <errorID>5a54afb4-9379-4ed2-bc91-9deff8a1725d</errorID>
      <errorWord>)</errorWord>
      <group>L1_Format</group>
      <groupName>格式问题</groupName>
      <ability>L2_HalfPunc</ability>
      <abilityName>全半角检查</abilityName>
      <candidateList>
        <item>）</item>
      </candidateList>
      <explain>文本全半角错误。</explain>
      <paraID>234838B7</paraID>
      <start>37</start>
      <end>38</end>
      <status>unmodified</status>
      <modifiedWord/>
      <trackRevisions>false</trackRevisions>
    </reviewItem>
    <reviewItem>
      <errorID>988ff0e8-1b24-4a54-ac48-b9721eec0afd</errorID>
      <errorWord>(</errorWord>
      <group>L1_Format</group>
      <groupName>格式问题</groupName>
      <ability>L2_HalfPunc</ability>
      <abilityName>全半角检查</abilityName>
      <candidateList>
        <item>（</item>
      </candidateList>
      <explain>文本全半角错误。</explain>
      <paraID> DCB157F</paraID>
      <start>33</start>
      <end>34</end>
      <status>unmodified</status>
      <modifiedWord/>
      <trackRevisions>false</trackRevisions>
    </reviewItem>
    <reviewItem>
      <errorID>a223efb2-e595-4dd0-9b96-d59402e1ac5e</errorID>
      <errorWord>)</errorWord>
      <group>L1_Format</group>
      <groupName>格式问题</groupName>
      <ability>L2_HalfPunc</ability>
      <abilityName>全半角检查</abilityName>
      <candidateList>
        <item>）</item>
      </candidateList>
      <explain>文本全半角错误。</explain>
      <paraID> DCB157F</paraID>
      <start>45</start>
      <end>46</end>
      <status>unmodified</status>
      <modifiedWord/>
      <trackRevisions>false</trackRevisions>
    </reviewItem>
    <reviewItem>
      <errorID>83e0346f-387b-48e4-acac-cf631183d04a</errorID>
      <errorWord>(</errorWord>
      <group>L1_Format</group>
      <groupName>格式问题</groupName>
      <ability>L2_HalfPunc</ability>
      <abilityName>全半角检查</abilityName>
      <candidateList>
        <item>（</item>
      </candidateList>
      <explain>文本全半角错误。</explain>
      <paraID>37324BC4</paraID>
      <start>151</start>
      <end>152</end>
      <status>unmodified</status>
      <modifiedWord/>
      <trackRevisions>false</trackRevisions>
    </reviewItem>
    <reviewItem>
      <errorID>b505611d-ee08-45b7-8ec4-65ab96873d92</errorID>
      <errorWord>)</errorWord>
      <group>L1_Format</group>
      <groupName>格式问题</groupName>
      <ability>L2_HalfPunc</ability>
      <abilityName>全半角检查</abilityName>
      <candidateList>
        <item>）</item>
      </candidateList>
      <explain>文本全半角错误。</explain>
      <paraID>37324BC4</paraID>
      <start>163</start>
      <end>164</end>
      <status>unmodified</status>
      <modifiedWord/>
      <trackRevisions>false</trackRevisions>
    </reviewItem>
    <reviewItem>
      <errorID>b9b92537-8d3b-4284-9364-eb44371b9018</errorID>
      <errorWord>(</errorWord>
      <group>L1_Format</group>
      <groupName>格式问题</groupName>
      <ability>L2_HalfPunc</ability>
      <abilityName>全半角检查</abilityName>
      <candidateList>
        <item>（</item>
      </candidateList>
      <explain>文本全半角错误。</explain>
      <paraID>5394476F</paraID>
      <start>148</start>
      <end>149</end>
      <status>unmodified</status>
      <modifiedWord/>
      <trackRevisions>false</trackRevisions>
    </reviewItem>
    <reviewItem>
      <errorID>ed9616e4-8496-419c-aace-a24f962f0dfd</errorID>
      <errorWord>)中</errorWord>
      <group>L1_Word</group>
      <groupName>字词问题</groupName>
      <ability>L2_Typo</ability>
      <abilityName>字词错误</abilityName>
      <candidateList>
        <item>)</item>
      </candidateList>
      <explain/>
      <paraID>5394476F</paraID>
      <start>160</start>
      <end>162</end>
      <status>unmodified</status>
      <modifiedWord/>
      <trackRevisions>false</trackRevisions>
    </reviewItem>
    <reviewItem>
      <errorID>6c219961-5cc3-455e-8de9-75d373ef41c5</errorID>
      <errorWord>有效的控制</errorWord>
      <group>L1_Word</group>
      <groupName>字词问题</groupName>
      <ability>L2_Typo</ability>
      <abilityName>字词错误</abilityName>
      <candidateList>
        <item>有效地控制</item>
      </candidateList>
      <explain/>
      <paraID>3733D023</paraID>
      <start>89</start>
      <end>94</end>
      <status>unmodified</status>
      <modifiedWord/>
      <trackRevisions>false</trackRevisions>
    </reviewItem>
    <reviewItem>
      <errorID>2ea8d939-6609-4de5-a30f-8a989dc4993f</errorID>
      <errorWord>上线</errorWord>
      <group>L1_Word</group>
      <groupName>字词问题</groupName>
      <ability>L2_Typo</ability>
      <abilityName>字词错误</abilityName>
      <candidateList>
        <item>上限</item>
      </candidateList>
      <explain/>
      <paraID>3733D023</paraID>
      <start>119</start>
      <end>121</end>
      <status>unmodified</status>
      <modifiedWord/>
      <trackRevisions>false</trackRevisions>
    </reviewItem>
    <reviewItem>
      <errorID>b444f15f-3967-40e9-aac3-d33ac1fdc16f</errorID>
      <errorWord>其它</errorWord>
      <group>L1_Word</group>
      <groupName>字词问题</groupName>
      <ability>L2_Alias</ability>
      <abilityName>也作/曾用词</abilityName>
      <candidateList>
        <item>其他</item>
      </candidateList>
      <explain>词汇[其它]为不规范表述或旧称，其规范书面表述为[其他]。</explain>
      <paraID>49E28050</paraID>
      <start>124</start>
      <end>126</end>
      <status>unmodified</status>
      <modifiedWord/>
      <trackRevisions>false</trackRevisions>
    </reviewItem>
    <reviewItem>
      <errorID>c18263e9-a1c7-47bb-ad31-06c7ccb0e5ba</errorID>
      <errorWord>原住居民</errorWord>
      <group>L1_Sensitive</group>
      <groupName>敏感问题</groupName>
      <ability>L2_Violent</ability>
      <abilityName>暴恐词条</abilityName>
      <candidateList/>
      <explain>【暴恐词条】句中包含暴恐类敏感词条，请注意甄别。</explain>
      <paraID>74C3DD8C</paraID>
      <start>3</start>
      <end>7</end>
      <status>unmodified</status>
      <modifiedWord/>
      <trackRevisions>false</trackRevisions>
    </reviewItem>
    <reviewItem>
      <errorID>bb5524e3-a2f5-4192-9b87-9a10097fd06e</errorID>
      <errorWord>其它</errorWord>
      <group>L1_Word</group>
      <groupName>字词问题</groupName>
      <ability>L2_Alias</ability>
      <abilityName>也作/曾用词</abilityName>
      <candidateList>
        <item>其他</item>
      </candidateList>
      <explain>词汇[其它]为不规范表述或旧称，其规范书面表述为[其他]。</explain>
      <paraID>1BF73601</paraID>
      <start>2</start>
      <end>4</end>
      <status>unmodified</status>
      <modifiedWord/>
      <trackRevisions>false</trackRevisions>
    </reviewItem>
    <reviewItem>
      <errorID>cf097366-4947-4c31-b162-9c62fbcc05d7</errorID>
      <errorWord>其它可能</errorWord>
      <group>L1_Word</group>
      <groupName>字词问题</groupName>
      <ability>L2_Alias</ability>
      <abilityName>也作/曾用词</abilityName>
      <candidateList>
        <item>其他可能</item>
      </candidateList>
      <explain>词汇[其它可能]为不规范表述或旧称，其规范书面表述为[其他可能]。</explain>
      <paraID>497D72F2</paraID>
      <start>40</start>
      <end>44</end>
      <status>unmodified</status>
      <modifiedWord/>
      <trackRevisions>false</trackRevisions>
    </reviewItem>
    <reviewItem>
      <errorID>2f7e2866-8f9a-4faf-be65-9425b154fe7d</errorID>
      <errorWord>空气质量持续改善计划</errorWord>
      <group>L1_Political</group>
      <groupName>政治性问题</groupName>
      <ability>L2_Keyword</ability>
      <abilityName>固定表述</abilityName>
      <candidateList>
        <item>空气质量持续改善行动计划</item>
      </candidateList>
      <explain>词汇“空气质量持续改善行动计划”在特定场景下为固定表述形式，请确认此处的“空气质量持续改善计划”是否存在不当。</explain>
      <paraID>75D1071B</paraID>
      <start>35</start>
      <end>45</end>
      <status>unmodified</status>
      <modifiedWord/>
      <trackRevisions>false</trackRevisions>
    </reviewItem>
    <reviewItem>
      <errorID>64102249-037b-4a9f-9aff-4e9ba14c6c3c</errorID>
      <errorWord>（</errorWord>
      <group>L1_Punc</group>
      <groupName>标点问题</groupName>
      <ability>L2_Punc</ability>
      <abilityName>标点符号检查</abilityName>
      <candidateList/>
      <explain>同一形式括号套用。</explain>
      <paraID> 7D509DC</paraID>
      <start>95</start>
      <end>96</end>
      <status>unmodified</status>
      <modifiedWord/>
      <trackRevisions>false</trackRevisions>
    </reviewItem>
    <reviewItem>
      <errorID>6ad1ade9-32b4-4bec-b53f-c720689571b6</errorID>
      <errorWord>）</errorWord>
      <group>L1_Punc</group>
      <groupName>标点问题</groupName>
      <ability>L2_Punc</ability>
      <abilityName>标点符号检查</abilityName>
      <candidateList/>
      <explain>同一形式括号套用。</explain>
      <paraID> 7D509DC</paraID>
      <start>97</start>
      <end>98</end>
      <status>unmodified</status>
      <modifiedWord/>
      <trackRevisions>false</trackRevisions>
    </reviewItem>
    <reviewItem>
      <errorID>17a4046e-fb09-4b5b-b424-4d1e663226b8</errorID>
      <errorWord>.</errorWord>
      <group>L1_Punc</group>
      <groupName>标点问题</groupName>
      <ability>L2_Punc</ability>
      <abilityName>标点符号检查</abilityName>
      <candidateList/>
      <explain/>
      <paraID>3C05B61C</paraID>
      <start>0</start>
      <end>1</end>
      <status>unmodified</status>
      <modifiedWord/>
      <trackRevisions>false</trackRevisions>
    </reviewItem>
    <reviewItem>
      <errorID>ddc2ec64-53d2-4ba8-bdab-d8d2136deb05</errorID>
      <errorWord>(</errorWord>
      <group>L1_Format</group>
      <groupName>格式问题</groupName>
      <ability>L2_HalfPunc</ability>
      <abilityName>全半角检查</abilityName>
      <candidateList>
        <item>（</item>
      </candidateList>
      <explain>文本全半角错误。</explain>
      <paraID>7FB6095D</paraID>
      <start>29</start>
      <end>30</end>
      <status>unmodified</status>
      <modifiedWord/>
      <trackRevisions>false</trackRevisions>
    </reviewItem>
    <reviewItem>
      <errorID>874a7e5d-7b0c-46f0-9ad5-a4c98abdb72e</errorID>
      <errorWord>)</errorWord>
      <group>L1_Format</group>
      <groupName>格式问题</groupName>
      <ability>L2_HalfPunc</ability>
      <abilityName>全半角检查</abilityName>
      <candidateList>
        <item>）</item>
      </candidateList>
      <explain>文本全半角错误。</explain>
      <paraID>7FB6095D</paraID>
      <start>43</start>
      <end>44</end>
      <status>unmodified</status>
      <modifiedWord/>
      <trackRevisions>false</trackRevisions>
    </reviewItem>
    <reviewItem>
      <errorID>89fd4552-307c-4d57-b143-720aef108d2c</errorID>
      <errorWord>(</errorWord>
      <group>L1_Format</group>
      <groupName>格式问题</groupName>
      <ability>L2_HalfPunc</ability>
      <abilityName>全半角检查</abilityName>
      <candidateList>
        <item>（</item>
      </candidateList>
      <explain>文本全半角错误。</explain>
      <paraID>13E76625</paraID>
      <start>26</start>
      <end>27</end>
      <status>unmodified</status>
      <modifiedWord/>
      <trackRevisions>false</trackRevisions>
    </reviewItem>
    <reviewItem>
      <errorID>7c4822b1-c8ce-46e4-86e4-abd2f372ff72</errorID>
      <errorWord>)</errorWord>
      <group>L1_Format</group>
      <groupName>格式问题</groupName>
      <ability>L2_HalfPunc</ability>
      <abilityName>全半角检查</abilityName>
      <candidateList>
        <item>）</item>
      </candidateList>
      <explain>文本全半角错误。</explain>
      <paraID>13E76625</paraID>
      <start>29</start>
      <end>30</end>
      <status>unmodified</status>
      <modifiedWord/>
      <trackRevisions>false</trackRevisions>
    </reviewItem>
    <reviewItem>
      <errorID>5148dd63-de16-4d2e-ae58-39624714057d</errorID>
      <errorWord>(</errorWord>
      <group>L1_Format</group>
      <groupName>格式问题</groupName>
      <ability>L2_HalfPunc</ability>
      <abilityName>全半角检查</abilityName>
      <candidateList>
        <item>（</item>
      </candidateList>
      <explain>文本全半角错误。</explain>
      <paraID>13E76625</paraID>
      <start>34</start>
      <end>35</end>
      <status>unmodified</status>
      <modifiedWord/>
      <trackRevisions>false</trackRevisions>
    </reviewItem>
    <reviewItem>
      <errorID>cddf4362-ff25-496d-b08c-271bd026e866</errorID>
      <errorWord>)</errorWord>
      <group>L1_Format</group>
      <groupName>格式问题</groupName>
      <ability>L2_HalfPunc</ability>
      <abilityName>全半角检查</abilityName>
      <candidateList>
        <item>）</item>
      </candidateList>
      <explain>文本全半角错误。</explain>
      <paraID>13E76625</paraID>
      <start>48</start>
      <end>49</end>
      <status>unmodified</status>
      <modifiedWord/>
      <trackRevisions>false</trackRevisions>
    </reviewItem>
    <reviewItem>
      <errorID>6ca6f29f-74b7-4341-b299-f633d21d486e</errorID>
      <errorWord>(</errorWord>
      <group>L1_Format</group>
      <groupName>格式问题</groupName>
      <ability>L2_HalfPunc</ability>
      <abilityName>全半角检查</abilityName>
      <candidateList>
        <item>（</item>
      </candidateList>
      <explain>文本全半角错误。</explain>
      <paraID>76E4EA4C</paraID>
      <start>42</start>
      <end>43</end>
      <status>unmodified</status>
      <modifiedWord/>
      <trackRevisions>false</trackRevisions>
    </reviewItem>
    <reviewItem>
      <errorID>9a1319e4-c34b-42d0-8137-9674d78c946b</errorID>
      <errorWord>)</errorWord>
      <group>L1_Format</group>
      <groupName>格式问题</groupName>
      <ability>L2_HalfPunc</ability>
      <abilityName>全半角检查</abilityName>
      <candidateList>
        <item>）</item>
      </candidateList>
      <explain>文本全半角错误。</explain>
      <paraID>76E4EA4C</paraID>
      <start>48</start>
      <end>49</end>
      <status>unmodified</status>
      <modifiedWord/>
      <trackRevisions>false</trackRevisions>
    </reviewItem>
    <reviewItem>
      <errorID>cbb82338-cf36-4e1e-93a1-f7324586a999</errorID>
      <errorWord>(</errorWord>
      <group>L1_Format</group>
      <groupName>格式问题</groupName>
      <ability>L2_HalfPunc</ability>
      <abilityName>全半角检查</abilityName>
      <candidateList>
        <item>（</item>
      </candidateList>
      <explain>文本全半角错误。</explain>
      <paraID>1C0C0919</paraID>
      <start>25</start>
      <end>26</end>
      <status>unmodified</status>
      <modifiedWord/>
      <trackRevisions>false</trackRevisions>
    </reviewItem>
    <reviewItem>
      <errorID>62479139-1825-4d67-9612-18f235ff5f59</errorID>
      <errorWord>)</errorWord>
      <group>L1_Format</group>
      <groupName>格式问题</groupName>
      <ability>L2_HalfPunc</ability>
      <abilityName>全半角检查</abilityName>
      <candidateList>
        <item>）</item>
      </candidateList>
      <explain>文本全半角错误。</explain>
      <paraID>1C0C0919</paraID>
      <start>27</start>
      <end>28</end>
      <status>unmodified</status>
      <modifiedWord/>
      <trackRevisions>false</trackRevisions>
    </reviewItem>
    <reviewItem>
      <errorID>f995dbac-2a26-4979-93f7-acc986495b53</errorID>
      <errorWord>(</errorWord>
      <group>L1_Format</group>
      <groupName>格式问题</groupName>
      <ability>L2_HalfPunc</ability>
      <abilityName>全半角检查</abilityName>
      <candidateList>
        <item>（</item>
      </candidateList>
      <explain>文本全半角错误。</explain>
      <paraID>724B4E72</paraID>
      <start>23</start>
      <end>24</end>
      <status>unmodified</status>
      <modifiedWord/>
      <trackRevisions>false</trackRevisions>
    </reviewItem>
    <reviewItem>
      <errorID>3cbd4f31-5ad7-4dfe-bef9-fab053bcc34a</errorID>
      <errorWord>)</errorWord>
      <group>L1_Format</group>
      <groupName>格式问题</groupName>
      <ability>L2_HalfPunc</ability>
      <abilityName>全半角检查</abilityName>
      <candidateList>
        <item>）</item>
      </candidateList>
      <explain>文本全半角错误。</explain>
      <paraID>724B4E72</paraID>
      <start>37</start>
      <end>38</end>
      <status>unmodified</status>
      <modifiedWord/>
      <trackRevisions>false</trackRevisions>
    </reviewItem>
    <reviewItem>
      <errorID>22aeb101-dd82-4dd8-8fc1-f156c8fb7219</errorID>
      <errorWord>胶粘剂</errorWord>
      <group>L1_Word</group>
      <groupName>字词问题</groupName>
      <ability>L2_Typo</ability>
      <abilityName>字词错误</abilityName>
      <candidateList>
        <item>胶黏剂</item>
      </candidateList>
      <explain/>
      <paraID>6A1A392B</paraID>
      <start>40</start>
      <end>43</end>
      <status>unmodified</status>
      <modifiedWord/>
      <trackRevisions>false</trackRevisions>
    </reviewItem>
    <reviewItem>
      <errorID>79a51b75-97dd-4c43-acd3-8e3b78e08dc9</errorID>
      <errorWord>胶粘剂</errorWord>
      <group>L1_Word</group>
      <groupName>字词问题</groupName>
      <ability>L2_Typo</ability>
      <abilityName>字词错误</abilityName>
      <candidateList>
        <item>胶黏剂</item>
      </candidateList>
      <explain/>
      <paraID>6A1A392B</paraID>
      <start>125</start>
      <end>128</end>
      <status>unmodified</status>
      <modifiedWord/>
      <trackRevisions>false</trackRevisions>
    </reviewItem>
    <reviewItem>
      <errorID>b33ee3e6-4c1d-4882-a007-7dc2e3c6c781</errorID>
      <errorWord>胶粘剂</errorWord>
      <group>L1_Word</group>
      <groupName>字词问题</groupName>
      <ability>L2_Typo</ability>
      <abilityName>字词错误</abilityName>
      <candidateList>
        <item>胶黏剂</item>
      </candidateList>
      <explain/>
      <paraID>4DB53C99</paraID>
      <start>23</start>
      <end>26</end>
      <status>unmodified</status>
      <modifiedWord/>
      <trackRevisions>false</trackRevisions>
    </reviewItem>
    <reviewItem>
      <errorID>510df44a-1abe-49c8-bdb7-5beaa5e57715</errorID>
      <errorWord>(</errorWord>
      <group>L1_Format</group>
      <groupName>格式问题</groupName>
      <ability>L2_HalfPunc</ability>
      <abilityName>全半角检查</abilityName>
      <candidateList>
        <item>（</item>
      </candidateList>
      <explain>文本全半角错误。</explain>
      <paraID>72BC7866</paraID>
      <start>38</start>
      <end>39</end>
      <status>unmodified</status>
      <modifiedWord/>
      <trackRevisions>false</trackRevisions>
    </reviewItem>
    <reviewItem>
      <errorID>444dc452-f3d6-4eb5-8823-39a3137505a1</errorID>
      <errorWord>)</errorWord>
      <group>L1_Format</group>
      <groupName>格式问题</groupName>
      <ability>L2_HalfPunc</ability>
      <abilityName>全半角检查</abilityName>
      <candidateList>
        <item>）</item>
      </candidateList>
      <explain>文本全半角错误。</explain>
      <paraID>72BC7866</paraID>
      <start>46</start>
      <end>47</end>
      <status>unmodified</status>
      <modifiedWord/>
      <trackRevisions>false</trackRevisions>
    </reviewItem>
    <reviewItem>
      <errorID>7dbb6a01-98b3-4b8a-b843-9fed431c95c4</errorID>
      <errorWord>(</errorWord>
      <group>L1_Format</group>
      <groupName>格式问题</groupName>
      <ability>L2_HalfPunc</ability>
      <abilityName>全半角检查</abilityName>
      <candidateList>
        <item>（</item>
      </candidateList>
      <explain>文本全半角错误。</explain>
      <paraID> 10E8694</paraID>
      <start>63</start>
      <end>64</end>
      <status>unmodified</status>
      <modifiedWord/>
      <trackRevisions>false</trackRevisions>
    </reviewItem>
    <reviewItem>
      <errorID>e79882cc-bd5e-49fe-8dc3-6e589eca1036</errorID>
      <errorWord>)</errorWord>
      <group>L1_Format</group>
      <groupName>格式问题</groupName>
      <ability>L2_HalfPunc</ability>
      <abilityName>全半角检查</abilityName>
      <candidateList>
        <item>）</item>
      </candidateList>
      <explain>文本全半角错误。</explain>
      <paraID> 10E8694</paraID>
      <start>65</start>
      <end>66</end>
      <status>unmodified</status>
      <modifiedWord/>
      <trackRevisions>false</trackRevisions>
    </reviewItem>
    <reviewItem>
      <errorID>15b21299-09f2-4542-b71b-ed124aeb6a91</errorID>
      <errorWord>(</errorWord>
      <group>L1_Format</group>
      <groupName>格式问题</groupName>
      <ability>L2_HalfPunc</ability>
      <abilityName>全半角检查</abilityName>
      <candidateList>
        <item>（</item>
      </candidateList>
      <explain>文本全半角错误。</explain>
      <paraID>4C5B94F1</paraID>
      <start>14</start>
      <end>15</end>
      <status>unmodified</status>
      <modifiedWord/>
      <trackRevisions>false</trackRevisions>
    </reviewItem>
    <reviewItem>
      <errorID>6f2b55bb-425a-4cbb-bc94-fc3aeba5c659</errorID>
      <errorWord>)</errorWord>
      <group>L1_Format</group>
      <groupName>格式问题</groupName>
      <ability>L2_HalfPunc</ability>
      <abilityName>全半角检查</abilityName>
      <candidateList>
        <item>）</item>
      </candidateList>
      <explain>文本全半角错误。</explain>
      <paraID>4C5B94F1</paraID>
      <start>21</start>
      <end>22</end>
      <status>unmodified</status>
      <modifiedWord/>
      <trackRevisions>false</trackRevisions>
    </reviewItem>
    <reviewItem>
      <errorID>8e628be8-24f7-4020-8d68-5ba5cf02f265</errorID>
      <errorWord>(</errorWord>
      <group>L1_Format</group>
      <groupName>格式问题</groupName>
      <ability>L2_HalfPunc</ability>
      <abilityName>全半角检查</abilityName>
      <candidateList>
        <item>（</item>
      </candidateList>
      <explain>文本全半角错误。</explain>
      <paraID>711C067F</paraID>
      <start>44</start>
      <end>45</end>
      <status>unmodified</status>
      <modifiedWord/>
      <trackRevisions>false</trackRevisions>
    </reviewItem>
    <reviewItem>
      <errorID>00cd99a0-8be0-4e29-9b82-c596582991f4</errorID>
      <errorWord>)</errorWord>
      <group>L1_Format</group>
      <groupName>格式问题</groupName>
      <ability>L2_HalfPunc</ability>
      <abilityName>全半角检查</abilityName>
      <candidateList>
        <item>）</item>
      </candidateList>
      <explain>文本全半角错误。</explain>
      <paraID>711C067F</paraID>
      <start>51</start>
      <end>52</end>
      <status>unmodified</status>
      <modifiedWord/>
      <trackRevisions>false</trackRevisions>
    </reviewItem>
    <reviewItem>
      <errorID>4e535af8-ceb5-498f-940c-694944e5a1a1</errorID>
      <errorWord>[2025]</errorWord>
      <group>L1_Punc</group>
      <groupName>标点问题</groupName>
      <ability>L2_Punc</ability>
      <abilityName>标点符号检查</abilityName>
      <candidateList>
        <item>〔2025〕</item>
      </candidateList>
      <explain/>
      <paraID>711C067F</paraID>
      <start>91</start>
      <end>97</end>
      <status>unmodified</status>
      <modifiedWord/>
      <trackRevisions>false</trackRevisions>
    </reviewItem>
    <reviewItem>
      <errorID>01599635-6143-4a61-8d96-8e2e2a3def19</errorID>
      <errorWord>(</errorWord>
      <group>L1_Format</group>
      <groupName>格式问题</groupName>
      <ability>L2_HalfPunc</ability>
      <abilityName>全半角检查</abilityName>
      <candidateList>
        <item>（</item>
      </candidateList>
      <explain>文本全半角错误。</explain>
      <paraID>711C067F</paraID>
      <start>130</start>
      <end>131</end>
      <status>unmodified</status>
      <modifiedWord/>
      <trackRevisions>false</trackRevisions>
    </reviewItem>
    <reviewItem>
      <errorID>b7a03493-7a2f-4c6e-9264-cbedbe2d149a</errorID>
      <errorWord>)</errorWord>
      <group>L1_Format</group>
      <groupName>格式问题</groupName>
      <ability>L2_HalfPunc</ability>
      <abilityName>全半角检查</abilityName>
      <candidateList>
        <item>）</item>
      </candidateList>
      <explain>文本全半角错误。</explain>
      <paraID>711C067F</paraID>
      <start>137</start>
      <end>138</end>
      <status>unmodified</status>
      <modifiedWord/>
      <trackRevisions>false</trackRevisions>
    </reviewItem>
    <reviewItem>
      <errorID>27bcb23d-a260-4436-89b2-dd3f473db10e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569F691F</paraID>
      <start>0</start>
      <end>2</end>
      <status>unmodified</status>
      <modifiedWord/>
      <trackRevisions>false</trackRevisions>
    </reviewItem>
    <reviewItem>
      <errorID>2cc6c194-e8de-4435-a1aa-f9074177c534</errorID>
      <errorWord>(</errorWord>
      <group>L1_Format</group>
      <groupName>格式问题</groupName>
      <ability>L2_HalfPunc</ability>
      <abilityName>全半角检查</abilityName>
      <candidateList>
        <item>（</item>
      </candidateList>
      <explain>文本全半角错误。</explain>
      <paraID>1E7D9531</paraID>
      <start>125</start>
      <end>126</end>
      <status>unmodified</status>
      <modifiedWord/>
      <trackRevisions>false</trackRevisions>
    </reviewItem>
    <reviewItem>
      <errorID>8d8440b5-afa9-4854-8d55-f80fd2200d69</errorID>
      <errorWord>)</errorWord>
      <group>L1_Format</group>
      <groupName>格式问题</groupName>
      <ability>L2_HalfPunc</ability>
      <abilityName>全半角检查</abilityName>
      <candidateList>
        <item>）</item>
      </candidateList>
      <explain>文本全半角错误。</explain>
      <paraID>1E7D9531</paraID>
      <start>141</start>
      <end>142</end>
      <status>unmodified</status>
      <modifiedWord/>
      <trackRevisions>false</trackRevisions>
    </reviewItem>
    <reviewItem>
      <errorID>a0e6a72b-0211-4131-89b6-76986002c128</errorID>
      <errorWord>-</errorWord>
      <group>L1_Format</group>
      <groupName>格式问题</groupName>
      <ability>L2_HalfPunc</ability>
      <abilityName>全半角检查</abilityName>
      <candidateList>
        <item>－</item>
      </candidateList>
      <explain>文本全半角错误。</explain>
      <paraID>4D619948</paraID>
      <start>138</start>
      <end>139</end>
      <status>unmodified</status>
      <modifiedWord/>
      <trackRevisions>false</trackRevisions>
    </reviewItem>
    <reviewItem>
      <errorID>8a6690b6-0cb3-4beb-b435-2a70dbb33e49</errorID>
      <errorWord>(</errorWord>
      <group>L1_Format</group>
      <groupName>格式问题</groupName>
      <ability>L2_HalfPunc</ability>
      <abilityName>全半角检查</abilityName>
      <candidateList>
        <item>（</item>
      </candidateList>
      <explain>文本全半角错误。</explain>
      <paraID> 3700CE4</paraID>
      <start>16</start>
      <end>17</end>
      <status>unmodified</status>
      <modifiedWord/>
      <trackRevisions>false</trackRevisions>
    </reviewItem>
    <reviewItem>
      <errorID>717446f2-3baf-4983-a4e9-2e7f75720943</errorID>
      <errorWord>)</errorWord>
      <group>L1_Format</group>
      <groupName>格式问题</groupName>
      <ability>L2_HalfPunc</ability>
      <abilityName>全半角检查</abilityName>
      <candidateList>
        <item>）</item>
      </candidateList>
      <explain>文本全半角错误。</explain>
      <paraID> 3700CE4</paraID>
      <start>27</start>
      <end>28</end>
      <status>unmodified</status>
      <modifiedWord/>
      <trackRevisions>false</trackRevisions>
    </reviewItem>
    <reviewItem>
      <errorID>c0419d82-0ca5-4928-a86e-a01a3b8c3bc0</errorID>
      <errorWord>(</errorWord>
      <group>L1_Format</group>
      <groupName>格式问题</groupName>
      <ability>L2_HalfPunc</ability>
      <abilityName>全半角检查</abilityName>
      <candidateList>
        <item>（</item>
      </candidateList>
      <explain>文本全半角错误。</explain>
      <paraID>5A532B1F</paraID>
      <start>26</start>
      <end>27</end>
      <status>unmodified</status>
      <modifiedWord/>
      <trackRevisions>false</trackRevisions>
    </reviewItem>
    <reviewItem>
      <errorID>302f60b3-1068-4ae7-b8d5-8e8ac1048e0d</errorID>
      <errorWord>)</errorWord>
      <group>L1_Format</group>
      <groupName>格式问题</groupName>
      <ability>L2_HalfPunc</ability>
      <abilityName>全半角检查</abilityName>
      <candidateList>
        <item>）</item>
      </candidateList>
      <explain>文本全半角错误。</explain>
      <paraID>5A532B1F</paraID>
      <start>29</start>
      <end>30</end>
      <status>unmodified</status>
      <modifiedWord/>
      <trackRevisions>false</trackRevisions>
    </reviewItem>
    <reviewItem>
      <errorID>53423bc9-9595-452b-837c-7a57acbbd4e9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390B9344</paraID>
      <start>0</start>
      <end>2</end>
      <status>unmodified</status>
      <modifiedWord/>
      <trackRevisions>false</trackRevisions>
    </reviewItem>
    <reviewItem>
      <errorID>e8626d71-f1e4-4bbb-a03a-d740241952d5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FD37B53</paraID>
      <start>0</start>
      <end>2</end>
      <status>unmodified</status>
      <modifiedWord/>
      <trackRevisions>false</trackRevisions>
    </reviewItem>
    <reviewItem>
      <errorID>315d4a25-6136-4710-a151-c90b296ec2bc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5E5FB8CA</paraID>
      <start>0</start>
      <end>2</end>
      <status>unmodified</status>
      <modifiedWord/>
      <trackRevisions>false</trackRevisions>
    </reviewItem>
    <reviewItem>
      <errorID>ddae9160-02e2-48f3-b837-fe2997f6d054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7E87DDC7</paraID>
      <start>0</start>
      <end>2</end>
      <status>unmodified</status>
      <modifiedWord/>
      <trackRevisions>false</trackRevisions>
    </reviewItem>
    <reviewItem>
      <errorID>4c28ff68-d1c4-45b4-9648-a3e7b6ea565e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3D647F32</paraID>
      <start>0</start>
      <end>2</end>
      <status>unmodified</status>
      <modifiedWord/>
      <trackRevisions>false</trackRevisions>
    </reviewItem>
    <reviewItem>
      <errorID>333a36e4-1405-48b6-ae6b-24d4a521fdad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5D4EB1AB</paraID>
      <start>0</start>
      <end>2</end>
      <status>unmodified</status>
      <modifiedWord/>
      <trackRevisions>false</trackRevisions>
    </reviewItem>
    <reviewItem>
      <errorID>88f8cf9c-6faa-40a5-bedf-27fb1887184c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22FD1A1A</paraID>
      <start>0</start>
      <end>2</end>
      <status>unmodified</status>
      <modifiedWord/>
      <trackRevisions>false</trackRevisions>
    </reviewItem>
    <reviewItem>
      <errorID>e3306265-02d8-46e1-9201-7886e6665677</errorID>
      <errorWord>2、</errorWord>
      <group>L1_Format</group>
      <groupName>格式问题</groupName>
      <ability>L2_Ordinal</ability>
      <abilityName>序号格式</abilityName>
      <candidateList>
        <item>2.</item>
      </candidateList>
      <explain>当前序号格式不规范，建议修改为规范格式[2.]。</explain>
      <paraID>52927A36</paraID>
      <start>0</start>
      <end>2</end>
      <status>unmodified</status>
      <modifiedWord/>
      <trackRevisions>false</trackRevisions>
    </reviewItem>
    <reviewItem>
      <errorID>c388e452-8d50-4dfb-8d56-64de62d2798f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6BB38BE5</paraID>
      <start>0</start>
      <end>2</end>
      <status>unmodified</status>
      <modifiedWord/>
      <trackRevisions>false</trackRevisions>
    </reviewItem>
    <reviewItem>
      <errorID>42fb8dbd-a967-4cf9-97dd-0c60ec7aecfd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205C3C07</paraID>
      <start>0</start>
      <end>2</end>
      <status>unmodified</status>
      <modifiedWord/>
      <trackRevisions>false</trackRevisions>
    </reviewItem>
    <reviewItem>
      <errorID>bf15de94-0e70-4f79-8a01-019bc7aa3367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4C14855B</paraID>
      <start>0</start>
      <end>2</end>
      <status>unmodified</status>
      <modifiedWord/>
      <trackRevisions>false</trackRevisions>
    </reviewItem>
    <reviewItem>
      <errorID>46603a13-1d9c-4d0c-bb61-601ae50115df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74F1881A</paraID>
      <start>0</start>
      <end>2</end>
      <status>unmodified</status>
      <modifiedWord/>
      <trackRevisions>false</trackRevisions>
    </reviewItem>
    <reviewItem>
      <errorID>04711d2b-ff2b-415b-a6fc-1b621b24135f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7638D0AE</paraID>
      <start>0</start>
      <end>2</end>
      <status>unmodified</status>
      <modifiedWord/>
      <trackRevisions>false</trackRevisions>
    </reviewItem>
    <reviewItem>
      <errorID>4d4c28be-32c9-4f9e-a73e-1b960f523aaa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53D388B6</paraID>
      <start>7</start>
      <end>8</end>
      <status>unmodified</status>
      <modifiedWord/>
      <trackRevisions>false</trackRevisions>
    </reviewItem>
    <reviewItem>
      <errorID>5d304bcd-d066-4102-94f9-bc6d6db9a964</errorID>
      <errorWord>(</errorWord>
      <group>L1_Format</group>
      <groupName>格式问题</groupName>
      <ability>L2_HalfPunc</ability>
      <abilityName>全半角检查</abilityName>
      <candidateList>
        <item>（</item>
      </candidateList>
      <explain>文本全半角错误。</explain>
      <paraID>58F21B6C</paraID>
      <start>11</start>
      <end>12</end>
      <status>unmodified</status>
      <modifiedWord/>
      <trackRevisions>false</trackRevisions>
    </reviewItem>
    <reviewItem>
      <errorID>62f6741c-1d17-48ec-8a1a-db8c273d2f5a</errorID>
      <errorWord>)</errorWord>
      <group>L1_Format</group>
      <groupName>格式问题</groupName>
      <ability>L2_HalfPunc</ability>
      <abilityName>全半角检查</abilityName>
      <candidateList>
        <item>）</item>
      </candidateList>
      <explain>文本全半角错误。</explain>
      <paraID>58F21B6C</paraID>
      <start>15</start>
      <end>16</end>
      <status>unmodified</status>
      <modifiedWord/>
      <trackRevisions>false</trackRevisions>
    </reviewItem>
    <reviewItem>
      <errorID>4f502309-cb44-4686-a4cb-141c67c14642</errorID>
      <errorWord>：</errorWord>
      <group>L1_Format</group>
      <groupName>格式问题</groupName>
      <ability>L2_HalfPunc</ability>
      <abilityName>全半角检查</abilityName>
      <candidateList>
        <item>:</item>
      </candidateList>
      <explain>文本全半角错误。</explain>
      <paraID>53751F5B</paraID>
      <start>9</start>
      <end>10</end>
      <status>unmodified</status>
      <modifiedWord/>
      <trackRevisions>false</trackRevisions>
    </reviewItem>
    <reviewItem>
      <errorID>caaa055b-08cc-4b5c-95d5-158ad27be62a</errorID>
      <errorWord>（</errorWord>
      <group>L1_Punc</group>
      <groupName>标点问题</groupName>
      <ability>L2_Punc</ability>
      <abilityName>标点符号检查</abilityName>
      <candidateList>
        <item/>
      </candidateList>
      <explain>同一形式括号套用。</explain>
      <paraID>5FEA8279</paraID>
      <start>11</start>
      <end>12</end>
      <status>unmodified</status>
      <modifiedWord/>
      <trackRevisions>false</trackRevisions>
    </reviewItem>
    <reviewItem>
      <errorID>4e8ee340-a70c-47d7-a04c-febecec7f036</errorID>
      <errorWord>(</errorWord>
      <group>L1_Punc</group>
      <groupName>标点问题</groupName>
      <ability>L2_Punc</ability>
      <abilityName>标点符号检查</abilityName>
      <candidateList/>
      <explain>同一形式括号套用。</explain>
      <paraID>5FEA8279</paraID>
      <start>12</start>
      <end>13</end>
      <status>unmodified</status>
      <modifiedWord/>
      <trackRevisions>false</trackRevisions>
    </reviewItem>
    <reviewItem>
      <errorID>ecbb0ece-cadd-4006-9d0c-2dbca6ecc373</errorID>
      <errorWord>)</errorWord>
      <group>L1_Punc</group>
      <groupName>标点问题</groupName>
      <ability>L2_Punc</ability>
      <abilityName>标点符号检查</abilityName>
      <candidateList/>
      <explain>同一形式括号套用。</explain>
      <paraID>5FEA8279</paraID>
      <start>16</start>
      <end>17</end>
      <status>unmodified</status>
      <modifiedWord/>
      <trackRevisions>false</trackRevisions>
    </reviewItem>
    <reviewItem>
      <errorID>3ab3cfcf-675c-432c-8200-5352aa8050b6</errorID>
      <errorWord>(</errorWord>
      <group>L1_Punc</group>
      <groupName>标点问题</groupName>
      <ability>L2_Punc</ability>
      <abilityName>标点符号检查</abilityName>
      <candidateList/>
      <explain>同一形式括号套用。</explain>
      <paraID>5FEA8279</paraID>
      <start>24</start>
      <end>25</end>
      <status>unmodified</status>
      <modifiedWord/>
      <trackRevisions>false</trackRevisions>
    </reviewItem>
    <reviewItem>
      <errorID>3b33303c-984c-441b-a06b-df342eb60274</errorID>
      <errorWord>)</errorWord>
      <group>L1_Punc</group>
      <groupName>标点问题</groupName>
      <ability>L2_Punc</ability>
      <abilityName>标点符号检查</abilityName>
      <candidateList/>
      <explain>同一形式括号套用。</explain>
      <paraID>5FEA8279</paraID>
      <start>30</start>
      <end>31</end>
      <status>unmodified</status>
      <modifiedWord/>
      <trackRevisions>false</trackRevisions>
    </reviewItem>
    <reviewItem>
      <errorID>fb236b1b-b82c-46cb-8435-f764976d4daf</errorID>
      <errorWord>）</errorWord>
      <group>L1_Punc</group>
      <groupName>标点问题</groupName>
      <ability>L2_Punc</ability>
      <abilityName>标点符号检查</abilityName>
      <candidateList/>
      <explain>同一形式括号套用。</explain>
      <paraID>324BBCEA</paraID>
      <start>0</start>
      <end>1</end>
      <status>unmodified</status>
      <modifiedWord/>
      <trackRevisions>false</trackRevisions>
    </reviewItem>
    <reviewItem>
      <errorID>bdf7808a-5917-4b8c-ad94-982dfdc8166a</errorID>
      <errorWord>饱和蒸汽</errorWord>
      <group>L1_Word</group>
      <groupName>字词问题</groupName>
      <ability>L2_Typo</ability>
      <abilityName>字词错误</abilityName>
      <candidateList>
        <item>饱和蒸气</item>
      </candidateList>
      <explain/>
      <paraID>324BBCEA</paraID>
      <start>57</start>
      <end>61</end>
      <status>unmodified</status>
      <modifiedWord/>
      <trackRevisions>false</trackRevisions>
    </reviewItem>
    <reviewItem>
      <errorID>b28a7e90-b85e-49ef-b5ce-2acaec951cc9</errorID>
      <errorWord>饱和蒸汽</errorWord>
      <group>L1_Word</group>
      <groupName>字词问题</groupName>
      <ability>L2_Typo</ability>
      <abilityName>字词错误</abilityName>
      <candidateList>
        <item>饱和蒸气</item>
      </candidateList>
      <explain/>
      <paraID>176818DE</paraID>
      <start>80</start>
      <end>84</end>
      <status>unmodified</status>
      <modifiedWord/>
      <trackRevisions>false</trackRevisions>
    </reviewItem>
    <reviewItem>
      <errorID>a187e222-a72e-44c3-b676-ea7159ca8762</errorID>
      <errorWord>：</errorWord>
      <group>L1_Format</group>
      <groupName>格式问题</groupName>
      <ability>L2_HalfPunc</ability>
      <abilityName>全半角检查</abilityName>
      <candidateList>
        <item>:</item>
      </candidateList>
      <explain>文本全半角错误。</explain>
      <paraID>6245E280</paraID>
      <start>96</start>
      <end>97</end>
      <status>unmodified</status>
      <modifiedWord/>
      <trackRevisions>false</trackRevisions>
    </reviewItem>
    <reviewItem>
      <errorID>9b221135-8506-474f-9672-5cbabe0e58e2</errorID>
      <errorWord>：</errorWord>
      <group>L1_Format</group>
      <groupName>格式问题</groupName>
      <ability>L2_HalfPunc</ability>
      <abilityName>全半角检查</abilityName>
      <candidateList>
        <item>:</item>
      </candidateList>
      <explain>文本全半角错误。</explain>
      <paraID>4E7589DE</paraID>
      <start>107</start>
      <end>108</end>
      <status>unmodified</status>
      <modifiedWord/>
      <trackRevisions>false</trackRevisions>
    </reviewItem>
    <reviewItem>
      <errorID>039ea503-e34d-430a-966e-01fa9b7e61a4</errorID>
      <errorWord>：&gt;</errorWord>
      <group>L1_Punc</group>
      <groupName>标点问题</groupName>
      <ability>L2_Punc</ability>
      <abilityName>标点符号检查</abilityName>
      <candidateList>
        <item>：</item>
      </candidateList>
      <explain/>
      <paraID>4E7589DE</paraID>
      <start>125</start>
      <end>127</end>
      <status>unmodified</status>
      <modifiedWord/>
      <trackRevisions>false</trackRevisions>
    </reviewItem>
    <reviewItem>
      <errorID>3e29ffc0-9965-4105-83da-26e22a02c845</errorID>
      <errorWord>水泡</errorWord>
      <group>L1_Word</group>
      <groupName>字词问题</groupName>
      <ability>L2_Typo</ability>
      <abilityName>字词错误</abilityName>
      <candidateList>
        <item>水疱</item>
      </candidateList>
      <explain>存在发音相同字词的误用。</explain>
      <paraID>577EEF19</paraID>
      <start>68</start>
      <end>70</end>
      <status>unmodified</status>
      <modifiedWord/>
      <trackRevisions>false</trackRevisions>
    </reviewItem>
    <reviewItem>
      <errorID>badf9540-d19e-4016-8d31-657c0fffd457</errorID>
      <errorWord>饱和蒸汽</errorWord>
      <group>L1_Word</group>
      <groupName>字词问题</groupName>
      <ability>L2_Typo</ability>
      <abilityName>字词错误</abilityName>
      <candidateList>
        <item>饱和蒸气</item>
      </candidateList>
      <explain/>
      <paraID>1F2AED62</paraID>
      <start>83</start>
      <end>87</end>
      <status>unmodified</status>
      <modifiedWord/>
      <trackRevisions>false</trackRevisions>
    </reviewItem>
    <reviewItem>
      <errorID>294dda38-b5dd-43c8-a43d-8f1e4071db4c</errorID>
      <errorWord>椭偏</errorWord>
      <group>L1_Word</group>
      <groupName>字词问题</groupName>
      <ability>L2_Typo</ability>
      <abilityName>字词错误</abilityName>
      <candidateList>
        <item>椭圆</item>
      </candidateList>
      <explain/>
      <paraID>3497F6FC</paraID>
      <start>0</start>
      <end>2</end>
      <status>unmodified</status>
      <modifiedWord/>
      <trackRevisions>false</trackRevisions>
    </reviewItem>
    <reviewItem>
      <errorID>7dfcb668-bc24-40c9-aebc-ec3260d5a08a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6A7223CD</paraID>
      <start>0</start>
      <end>2</end>
      <status>unmodified</status>
      <modifiedWord/>
      <trackRevisions>false</trackRevisions>
    </reviewItem>
    <reviewItem>
      <errorID>740a87a5-7eed-4d91-8ea3-86d7560ccd03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15B34DB8</paraID>
      <start>0</start>
      <end>2</end>
      <status>unmodified</status>
      <modifiedWord/>
      <trackRevisions>false</trackRevisions>
    </reviewItem>
    <reviewItem>
      <errorID>97616ed6-94d9-4ada-8cef-5fef4b037bea</errorID>
      <errorWord>-</errorWord>
      <group>L1_Format</group>
      <groupName>格式问题</groupName>
      <ability>L2_HalfPunc</ability>
      <abilityName>全半角检查</abilityName>
      <candidateList>
        <item>－</item>
      </candidateList>
      <explain>文本全半角错误。</explain>
      <paraID> 68F57A7</paraID>
      <start>182</start>
      <end>183</end>
      <status>unmodified</status>
      <modifiedWord/>
      <trackRevisions>false</trackRevisions>
    </reviewItem>
    <reviewItem>
      <errorID>e06593f9-1af2-4335-8042-165f50b67159</errorID>
      <errorWord>-</errorWord>
      <group>L1_Format</group>
      <groupName>格式问题</groupName>
      <ability>L2_HalfPunc</ability>
      <abilityName>全半角检查</abilityName>
      <candidateList>
        <item>－</item>
      </candidateList>
      <explain>文本全半角错误。</explain>
      <paraID> 68F57A7</paraID>
      <start>185</start>
      <end>186</end>
      <status>unmodified</status>
      <modifiedWord/>
      <trackRevisions>false</trackRevisions>
    </reviewItem>
    <reviewItem>
      <errorID>df71a719-2119-4ce1-a282-aa534a5cf840</errorID>
      <errorWord>(</errorWord>
      <group>L1_Format</group>
      <groupName>格式问题</groupName>
      <ability>L2_HalfPunc</ability>
      <abilityName>全半角检查</abilityName>
      <candidateList>
        <item>（</item>
      </candidateList>
      <explain>文本全半角错误。</explain>
      <paraID>4B6DE2AB</paraID>
      <start>20</start>
      <end>21</end>
      <status>unmodified</status>
      <modifiedWord/>
      <trackRevisions>false</trackRevisions>
    </reviewItem>
    <reviewItem>
      <errorID>93a080b7-e2d9-493c-86d3-47e7bd0ebdb1</errorID>
      <errorWord>)</errorWord>
      <group>L1_Format</group>
      <groupName>格式问题</groupName>
      <ability>L2_HalfPunc</ability>
      <abilityName>全半角检查</abilityName>
      <candidateList>
        <item>）</item>
      </candidateList>
      <explain>文本全半角错误。</explain>
      <paraID>4B6DE2AB</paraID>
      <start>27</start>
      <end>28</end>
      <status>unmodified</status>
      <modifiedWord/>
      <trackRevisions>false</trackRevisions>
    </reviewItem>
    <reviewItem>
      <errorID>0f40851e-fe69-4158-84ed-4584eeb24f1d</errorID>
      <errorWord>(</errorWord>
      <group>L1_Format</group>
      <groupName>格式问题</groupName>
      <ability>L2_HalfPunc</ability>
      <abilityName>全半角检查</abilityName>
      <candidateList>
        <item>（</item>
      </candidateList>
      <explain>文本全半角错误。</explain>
      <paraID>373929F1</paraID>
      <start>125</start>
      <end>126</end>
      <status>unmodified</status>
      <modifiedWord/>
      <trackRevisions>false</trackRevisions>
    </reviewItem>
    <reviewItem>
      <errorID>b33bf591-ba97-4c22-80bd-205ce7a0ba38</errorID>
      <errorWord>)</errorWord>
      <group>L1_Format</group>
      <groupName>格式问题</groupName>
      <ability>L2_HalfPunc</ability>
      <abilityName>全半角检查</abilityName>
      <candidateList>
        <item>）</item>
      </candidateList>
      <explain>文本全半角错误。</explain>
      <paraID>373929F1</paraID>
      <start>141</start>
      <end>142</end>
      <status>unmodified</status>
      <modifiedWord/>
      <trackRevisions>false</trackRevisions>
    </reviewItem>
    <reviewItem>
      <errorID>bec32abb-e607-43da-a38f-43d980b60675</errorID>
      <errorWord>(</errorWord>
      <group>L1_Format</group>
      <groupName>格式问题</groupName>
      <ability>L2_HalfPunc</ability>
      <abilityName>全半角检查</abilityName>
      <candidateList>
        <item>（</item>
      </candidateList>
      <explain>文本全半角错误。</explain>
      <paraID>1B93ADDE</paraID>
      <start>63</start>
      <end>64</end>
      <status>unmodified</status>
      <modifiedWord/>
      <trackRevisions>false</trackRevisions>
    </reviewItem>
    <reviewItem>
      <errorID>a3e3d7e4-6674-42d6-bdf2-08ed6a2e66de</errorID>
      <errorWord>)</errorWord>
      <group>L1_Format</group>
      <groupName>格式问题</groupName>
      <ability>L2_HalfPunc</ability>
      <abilityName>全半角检查</abilityName>
      <candidateList>
        <item>）</item>
      </candidateList>
      <explain>文本全半角错误。</explain>
      <paraID>1B93ADDE</paraID>
      <start>69</start>
      <end>70</end>
      <status>unmodified</status>
      <modifiedWord/>
      <trackRevisions>false</trackRevisions>
    </reviewItem>
    <reviewItem>
      <errorID>2f0f1ce7-78e1-4ed2-96aa-d3f9845b295f</errorID>
      <errorWord>(</errorWord>
      <group>L1_Format</group>
      <groupName>格式问题</groupName>
      <ability>L2_HalfPunc</ability>
      <abilityName>全半角检查</abilityName>
      <candidateList>
        <item>（</item>
      </candidateList>
      <explain>文本全半角错误。</explain>
      <paraID>1B93ADDE</paraID>
      <start>111</start>
      <end>112</end>
      <status>unmodified</status>
      <modifiedWord/>
      <trackRevisions>false</trackRevisions>
    </reviewItem>
    <reviewItem>
      <errorID>18327831-2384-4d1c-88c5-af43fab447ac</errorID>
      <errorWord>)</errorWord>
      <group>L1_Format</group>
      <groupName>格式问题</groupName>
      <ability>L2_HalfPunc</ability>
      <abilityName>全半角检查</abilityName>
      <candidateList>
        <item>）</item>
      </candidateList>
      <explain>文本全半角错误。</explain>
      <paraID>1B93ADDE</paraID>
      <start>117</start>
      <end>118</end>
      <status>unmodified</status>
      <modifiedWord/>
      <trackRevisions>false</trackRevisions>
    </reviewItem>
    <reviewItem>
      <errorID>17cf0d13-f7bb-4530-96e4-9bf174ed996e</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87D5B3B</paraID>
      <start>0</start>
      <end>3</end>
      <status>unmodified</status>
      <modifiedWord/>
      <trackRevisions>false</trackRevisions>
    </reviewItem>
    <reviewItem>
      <errorID>bda42499-f7e5-49fc-9fc1-d338db3f3e7e</errorID>
      <errorWord>(</errorWord>
      <group>L1_Format</group>
      <groupName>格式问题</groupName>
      <ability>L2_HalfPunc</ability>
      <abilityName>全半角检查</abilityName>
      <candidateList>
        <item>（</item>
      </candidateList>
      <explain>文本全半角错误。</explain>
      <paraID>39B41D2E</paraID>
      <start>70</start>
      <end>71</end>
      <status>unmodified</status>
      <modifiedWord/>
      <trackRevisions>false</trackRevisions>
    </reviewItem>
    <reviewItem>
      <errorID>f2eb44ee-ebe7-4032-afda-854e79f6ecce</errorID>
      <errorWord>)</errorWord>
      <group>L1_Format</group>
      <groupName>格式问题</groupName>
      <ability>L2_HalfPunc</ability>
      <abilityName>全半角检查</abilityName>
      <candidateList>
        <item>）</item>
      </candidateList>
      <explain>文本全半角错误。</explain>
      <paraID>39B41D2E</paraID>
      <start>82</start>
      <end>83</end>
      <status>unmodified</status>
      <modifiedWord/>
      <trackRevisions>false</trackRevisions>
    </reviewItem>
    <reviewItem>
      <errorID>69a9e8ea-6900-4d89-91a9-979e2a7eabd6</errorID>
      <errorWord>(</errorWord>
      <group>L1_Format</group>
      <groupName>格式问题</groupName>
      <ability>L2_HalfPunc</ability>
      <abilityName>全半角检查</abilityName>
      <candidateList>
        <item>（</item>
      </candidateList>
      <explain>文本全半角错误。</explain>
      <paraID>39B41D2E</paraID>
      <start>89</start>
      <end>90</end>
      <status>unmodified</status>
      <modifiedWord/>
      <trackRevisions>false</trackRevisions>
    </reviewItem>
    <reviewItem>
      <errorID>00e12d12-b3e2-42bb-81d7-98a90eab53a1</errorID>
      <errorWord>)</errorWord>
      <group>L1_Format</group>
      <groupName>格式问题</groupName>
      <ability>L2_HalfPunc</ability>
      <abilityName>全半角检查</abilityName>
      <candidateList>
        <item>）</item>
      </candidateList>
      <explain>文本全半角错误。</explain>
      <paraID>39B41D2E</paraID>
      <start>133</start>
      <end>134</end>
      <status>unmodified</status>
      <modifiedWord/>
      <trackRevisions>false</trackRevisions>
    </reviewItem>
    <reviewItem>
      <errorID>c8894989-8b1e-4734-be42-d452948fb279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3A708086</paraID>
      <start>0</start>
      <end>3</end>
      <status>unmodified</status>
      <modifiedWord/>
      <trackRevisions>false</trackRevisions>
    </reviewItem>
    <reviewItem>
      <errorID>1d48998e-570f-4b68-89a9-f2fbd9053d33</errorID>
      <errorWord>(</errorWord>
      <group>L1_Format</group>
      <groupName>格式问题</groupName>
      <ability>L2_HalfPunc</ability>
      <abilityName>全半角检查</abilityName>
      <candidateList>
        <item>（</item>
      </candidateList>
      <explain>文本全半角错误。</explain>
      <paraID>720725AB</paraID>
      <start>82</start>
      <end>83</end>
      <status>unmodified</status>
      <modifiedWord/>
      <trackRevisions>false</trackRevisions>
    </reviewItem>
    <reviewItem>
      <errorID>d324697b-fce4-4b8d-ba69-69ed849aa28c</errorID>
      <errorWord>)</errorWord>
      <group>L1_Format</group>
      <groupName>格式问题</groupName>
      <ability>L2_HalfPunc</ability>
      <abilityName>全半角检查</abilityName>
      <candidateList>
        <item>）</item>
      </candidateList>
      <explain>文本全半角错误。</explain>
      <paraID>720725AB</paraID>
      <start>95</start>
      <end>96</end>
      <status>unmodified</status>
      <modifiedWord/>
      <trackRevisions>false</trackRevisions>
    </reviewItem>
    <reviewItem>
      <errorID>7f58d7a4-d3ae-4f79-b5b7-2b04d93d9a52</errorID>
      <errorWord>;</errorWord>
      <group>L1_Format</group>
      <groupName>格式问题</groupName>
      <ability>L2_HalfPunc</ability>
      <abilityName>全半角检查</abilityName>
      <candidateList>
        <item>；</item>
      </candidateList>
      <explain>文本全半角错误。</explain>
      <paraID>720725AB</paraID>
      <start>104</start>
      <end>105</end>
      <status>unmodified</status>
      <modifiedWord/>
      <trackRevisions>false</trackRevisions>
    </reviewItem>
    <reviewItem>
      <errorID>9c6f9d51-f8af-4f34-be45-0065696e3e18</errorID>
      <errorWord>(</errorWord>
      <group>L1_Format</group>
      <groupName>格式问题</groupName>
      <ability>L2_HalfPunc</ability>
      <abilityName>全半角检查</abilityName>
      <candidateList>
        <item>（</item>
      </candidateList>
      <explain>文本全半角错误。</explain>
      <paraID>720725AB</paraID>
      <start>158</start>
      <end>159</end>
      <status>unmodified</status>
      <modifiedWord/>
      <trackRevisions>false</trackRevisions>
    </reviewItem>
    <reviewItem>
      <errorID>fc323d18-bf8d-45ed-bd9d-817f47a42525</errorID>
      <errorWord>)</errorWord>
      <group>L1_Format</group>
      <groupName>格式问题</groupName>
      <ability>L2_HalfPunc</ability>
      <abilityName>全半角检查</abilityName>
      <candidateList>
        <item>）</item>
      </candidateList>
      <explain>文本全半角错误。</explain>
      <paraID>720725AB</paraID>
      <start>173</start>
      <end>174</end>
      <status>unmodified</status>
      <modifiedWord/>
      <trackRevisions>false</trackRevisions>
    </reviewItem>
    <reviewItem>
      <errorID>2027b376-ec0b-4083-a60e-24e215a34cf1</errorID>
      <errorWord>(</errorWord>
      <group>L1_Format</group>
      <groupName>格式问题</groupName>
      <ability>L2_HalfPunc</ability>
      <abilityName>全半角检查</abilityName>
      <candidateList>
        <item>（</item>
      </candidateList>
      <explain>文本全半角错误。</explain>
      <paraID>720725AB</paraID>
      <start>191</start>
      <end>192</end>
      <status>unmodified</status>
      <modifiedWord/>
      <trackRevisions>false</trackRevisions>
    </reviewItem>
    <reviewItem>
      <errorID>98714fe7-34bd-49bd-b9d4-942a5740ef3a</errorID>
      <errorWord>)</errorWord>
      <group>L1_Format</group>
      <groupName>格式问题</groupName>
      <ability>L2_HalfPunc</ability>
      <abilityName>全半角检查</abilityName>
      <candidateList>
        <item>）</item>
      </candidateList>
      <explain>文本全半角错误。</explain>
      <paraID>720725AB</paraID>
      <start>200</start>
      <end>201</end>
      <status>unmodified</status>
      <modifiedWord/>
      <trackRevisions>false</trackRevisions>
    </reviewItem>
    <reviewItem>
      <errorID>adcf517f-fc1c-4d42-a7dd-250253c0ad22</errorID>
      <errorWord>:</errorWord>
      <group>L1_Format</group>
      <groupName>格式问题</groupName>
      <ability>L2_HalfPunc</ability>
      <abilityName>全半角检查</abilityName>
      <candidateList>
        <item>：</item>
      </candidateList>
      <explain>文本全半角错误。</explain>
      <paraID>694A80CB</paraID>
      <start>8</start>
      <end>9</end>
      <status>unmodified</status>
      <modifiedWord/>
      <trackRevisions>false</trackRevisions>
    </reviewItem>
    <reviewItem>
      <errorID>9288b630-93fa-4cdd-b202-8259fab1b236</errorID>
      <errorWord>(</errorWord>
      <group>L1_Format</group>
      <groupName>格式问题</groupName>
      <ability>L2_HalfPunc</ability>
      <abilityName>全半角检查</abilityName>
      <candidateList>
        <item>（</item>
      </candidateList>
      <explain>文本全半角错误。</explain>
      <paraID>694A80CB</paraID>
      <start>51</start>
      <end>52</end>
      <status>unmodified</status>
      <modifiedWord/>
      <trackRevisions>false</trackRevisions>
    </reviewItem>
    <reviewItem>
      <errorID>bdf42bd0-adaf-4077-89dc-93a153886110</errorID>
      <errorWord>)</errorWord>
      <group>L1_Format</group>
      <groupName>格式问题</groupName>
      <ability>L2_HalfPunc</ability>
      <abilityName>全半角检查</abilityName>
      <candidateList>
        <item>）</item>
      </candidateList>
      <explain>文本全半角错误。</explain>
      <paraID>694A80CB</paraID>
      <start>64</start>
      <end>65</end>
      <status>unmodified</status>
      <modifiedWord/>
      <trackRevisions>false</trackRevisions>
    </reviewItem>
    <reviewItem>
      <errorID>35b53860-c2c6-46e5-8311-7203281ef125</errorID>
      <errorWord>(</errorWord>
      <group>L1_Format</group>
      <groupName>格式问题</groupName>
      <ability>L2_HalfPunc</ability>
      <abilityName>全半角检查</abilityName>
      <candidateList>
        <item>（</item>
      </candidateList>
      <explain>文本全半角错误。</explain>
      <paraID>694A80CB</paraID>
      <start>80</start>
      <end>81</end>
      <status>unmodified</status>
      <modifiedWord/>
      <trackRevisions>false</trackRevisions>
    </reviewItem>
    <reviewItem>
      <errorID>cfc026b9-1118-4ea4-bee6-cf7c865f1b22</errorID>
      <errorWord>)</errorWord>
      <group>L1_Format</group>
      <groupName>格式问题</groupName>
      <ability>L2_HalfPunc</ability>
      <abilityName>全半角检查</abilityName>
      <candidateList>
        <item>）</item>
      </candidateList>
      <explain>文本全半角错误。</explain>
      <paraID>694A80CB</paraID>
      <start>90</start>
      <end>91</end>
      <status>unmodified</status>
      <modifiedWord/>
      <trackRevisions>false</trackRevisions>
    </reviewItem>
    <reviewItem>
      <errorID>d1366d4a-24a1-4e1b-b5bb-5786e677042e</errorID>
      <errorWord>(</errorWord>
      <group>L1_Format</group>
      <groupName>格式问题</groupName>
      <ability>L2_HalfPunc</ability>
      <abilityName>全半角检查</abilityName>
      <candidateList>
        <item>（</item>
      </candidateList>
      <explain>文本全半角错误。</explain>
      <paraID>694A80CB</paraID>
      <start>139</start>
      <end>140</end>
      <status>unmodified</status>
      <modifiedWord/>
      <trackRevisions>false</trackRevisions>
    </reviewItem>
    <reviewItem>
      <errorID>3a8730be-e37b-466e-8dfe-81a49f08debe</errorID>
      <errorWord>)</errorWord>
      <group>L1_Format</group>
      <groupName>格式问题</groupName>
      <ability>L2_HalfPunc</ability>
      <abilityName>全半角检查</abilityName>
      <candidateList>
        <item>）</item>
      </candidateList>
      <explain>文本全半角错误。</explain>
      <paraID>694A80CB</paraID>
      <start>154</start>
      <end>155</end>
      <status>unmodified</status>
      <modifiedWord/>
      <trackRevisions>false</trackRevisions>
    </reviewItem>
    <reviewItem>
      <errorID>50925801-fac8-42fc-a3c6-5d84cf5cc74d</errorID>
      <errorWord>(</errorWord>
      <group>L1_Format</group>
      <groupName>格式问题</groupName>
      <ability>L2_HalfPunc</ability>
      <abilityName>全半角检查</abilityName>
      <candidateList>
        <item>（</item>
      </candidateList>
      <explain>文本全半角错误。</explain>
      <paraID>694A80CB</paraID>
      <start>162</start>
      <end>163</end>
      <status>unmodified</status>
      <modifiedWord/>
      <trackRevisions>false</trackRevisions>
    </reviewItem>
    <reviewItem>
      <errorID>7ddfe3cd-67b0-4a68-b074-aeeabcef9559</errorID>
      <errorWord>)</errorWord>
      <group>L1_Format</group>
      <groupName>格式问题</groupName>
      <ability>L2_HalfPunc</ability>
      <abilityName>全半角检查</abilityName>
      <candidateList>
        <item>）</item>
      </candidateList>
      <explain>文本全半角错误。</explain>
      <paraID>694A80CB</paraID>
      <start>172</start>
      <end>173</end>
      <status>unmodified</status>
      <modifiedWord/>
      <trackRevisions>false</trackRevisions>
    </reviewItem>
    <reviewItem>
      <errorID>72abe2df-df57-47cc-99c3-7eea11923fc6</errorID>
      <errorWord>(</errorWord>
      <group>L1_Format</group>
      <groupName>格式问题</groupName>
      <ability>L2_HalfPunc</ability>
      <abilityName>全半角检查</abilityName>
      <candidateList>
        <item>（</item>
      </candidateList>
      <explain>文本全半角错误。</explain>
      <paraID>694A80CB</paraID>
      <start>217</start>
      <end>218</end>
      <status>unmodified</status>
      <modifiedWord/>
      <trackRevisions>false</trackRevisions>
    </reviewItem>
    <reviewItem>
      <errorID>2049c7db-521f-40d5-8575-3f4252c2c17e</errorID>
      <errorWord>)</errorWord>
      <group>L1_Format</group>
      <groupName>格式问题</groupName>
      <ability>L2_HalfPunc</ability>
      <abilityName>全半角检查</abilityName>
      <candidateList>
        <item>）</item>
      </candidateList>
      <explain>文本全半角错误。</explain>
      <paraID>694A80CB</paraID>
      <start>232</start>
      <end>233</end>
      <status>unmodified</status>
      <modifiedWord/>
      <trackRevisions>false</trackRevisions>
    </reviewItem>
    <reviewItem>
      <errorID>1d7eea16-05f5-4a90-aebb-50e463a51d3f</errorID>
      <errorWord>(</errorWord>
      <group>L1_Format</group>
      <groupName>格式问题</groupName>
      <ability>L2_HalfPunc</ability>
      <abilityName>全半角检查</abilityName>
      <candidateList>
        <item>（</item>
      </candidateList>
      <explain>文本全半角错误。</explain>
      <paraID>694A80CB</paraID>
      <start>242</start>
      <end>243</end>
      <status>unmodified</status>
      <modifiedWord/>
      <trackRevisions>false</trackRevisions>
    </reviewItem>
    <reviewItem>
      <errorID>34cd99d7-1dfc-44d6-876f-1d8f102f568d</errorID>
      <errorWord>)</errorWord>
      <group>L1_Format</group>
      <groupName>格式问题</groupName>
      <ability>L2_HalfPunc</ability>
      <abilityName>全半角检查</abilityName>
      <candidateList>
        <item>）</item>
      </candidateList>
      <explain>文本全半角错误。</explain>
      <paraID>694A80CB</paraID>
      <start>250</start>
      <end>251</end>
      <status>unmodified</status>
      <modifiedWord/>
      <trackRevisions>false</trackRevisions>
    </reviewItem>
    <reviewItem>
      <errorID>12f1c0da-554a-4fee-953f-61b9a0618c61</errorID>
      <errorWord>(</errorWord>
      <group>L1_Format</group>
      <groupName>格式问题</groupName>
      <ability>L2_HalfPunc</ability>
      <abilityName>全半角检查</abilityName>
      <candidateList>
        <item>（</item>
      </candidateList>
      <explain>文本全半角错误。</explain>
      <paraID>694A80CB</paraID>
      <start>299</start>
      <end>300</end>
      <status>unmodified</status>
      <modifiedWord/>
      <trackRevisions>false</trackRevisions>
    </reviewItem>
    <reviewItem>
      <errorID>edba165d-47e8-445e-b69d-2c3bab87d7d8</errorID>
      <errorWord>)</errorWord>
      <group>L1_Format</group>
      <groupName>格式问题</groupName>
      <ability>L2_HalfPunc</ability>
      <abilityName>全半角检查</abilityName>
      <candidateList>
        <item>）</item>
      </candidateList>
      <explain>文本全半角错误。</explain>
      <paraID>694A80CB</paraID>
      <start>312</start>
      <end>313</end>
      <status>unmodified</status>
      <modifiedWord/>
      <trackRevisions>false</trackRevisions>
    </reviewItem>
    <reviewItem>
      <errorID>7d4c3b3f-d067-4eaa-a83a-b2d5f6ad91d8</errorID>
      <errorWord>(</errorWord>
      <group>L1_Format</group>
      <groupName>格式问题</groupName>
      <ability>L2_HalfPunc</ability>
      <abilityName>全半角检查</abilityName>
      <candidateList>
        <item>（</item>
      </candidateList>
      <explain>文本全半角错误。</explain>
      <paraID>694A80CB</paraID>
      <start>323</start>
      <end>324</end>
      <status>unmodified</status>
      <modifiedWord/>
      <trackRevisions>false</trackRevisions>
    </reviewItem>
    <reviewItem>
      <errorID>27090d21-b55e-49fa-b451-545d16c6256c</errorID>
      <errorWord>)</errorWord>
      <group>L1_Format</group>
      <groupName>格式问题</groupName>
      <ability>L2_HalfPunc</ability>
      <abilityName>全半角检查</abilityName>
      <candidateList>
        <item>）</item>
      </candidateList>
      <explain>文本全半角错误。</explain>
      <paraID>694A80CB</paraID>
      <start>332</start>
      <end>333</end>
      <status>unmodified</status>
      <modifiedWord/>
      <trackRevisions>false</trackRevisions>
    </reviewItem>
    <reviewItem>
      <errorID>e97de06f-3ae0-4e00-83f3-3a5c0997e937</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4BF7CBF1</paraID>
      <start>0</start>
      <end>3</end>
      <status>unmodified</status>
      <modifiedWord/>
      <trackRevisions>false</trackRevisions>
    </reviewItem>
    <reviewItem>
      <errorID>9997c678-8992-43dc-b128-5964caf572f3</errorID>
      <errorWord>(</errorWord>
      <group>L1_Format</group>
      <groupName>格式问题</groupName>
      <ability>L2_HalfPunc</ability>
      <abilityName>全半角检查</abilityName>
      <candidateList>
        <item>（</item>
      </candidateList>
      <explain>文本全半角错误。</explain>
      <paraID> DF93884</paraID>
      <start>37</start>
      <end>38</end>
      <status>unmodified</status>
      <modifiedWord/>
      <trackRevisions>false</trackRevisions>
    </reviewItem>
    <reviewItem>
      <errorID>15fe926e-fea6-461e-93f5-9cf92217f651</errorID>
      <errorWord>)</errorWord>
      <group>L1_Format</group>
      <groupName>格式问题</groupName>
      <ability>L2_HalfPunc</ability>
      <abilityName>全半角检查</abilityName>
      <candidateList>
        <item>）</item>
      </candidateList>
      <explain>文本全半角错误。</explain>
      <paraID> DF93884</paraID>
      <start>50</start>
      <end>51</end>
      <status>unmodified</status>
      <modifiedWord/>
      <trackRevisions>false</trackRevisions>
    </reviewItem>
    <reviewItem>
      <errorID>41575ed9-49df-48a9-85e3-fa16a493e5f2</errorID>
      <errorWord>)</errorWord>
      <group>L1_Format</group>
      <groupName>格式问题</groupName>
      <ability>L2_HalfPunc</ability>
      <abilityName>全半角检查</abilityName>
      <candidateList>
        <item>）</item>
      </candidateList>
      <explain>文本全半角错误。</explain>
      <paraID> DF93884</paraID>
      <start>69</start>
      <end>70</end>
      <status>unmodified</status>
      <modifiedWord/>
      <trackRevisions>false</trackRevisions>
    </reviewItem>
    <reviewItem>
      <errorID>b63181ed-108c-4a4e-ae9a-7e18ac5b07f9</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70C89BE0</paraID>
      <start>0</start>
      <end>3</end>
      <status>unmodified</status>
      <modifiedWord/>
      <trackRevisions>false</trackRevisions>
    </reviewItem>
    <reviewItem>
      <errorID>108a3d04-0335-4f83-889a-e54cfdc246c3</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600B21AD</paraID>
      <start>0</start>
      <end>3</end>
      <status>unmodified</status>
      <modifiedWord/>
      <trackRevisions>false</trackRevisions>
    </reviewItem>
    <reviewItem>
      <errorID>c325b25a-a07d-4018-8ebf-b9633c97b3f1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667362AA</paraID>
      <start>64</start>
      <end>65</end>
      <status>unmodified</status>
      <modifiedWord/>
      <trackRevisions>false</trackRevisions>
    </reviewItem>
    <reviewItem>
      <errorID>f67498e6-ffdc-4078-88c3-b92bdc14b1ef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667362AA</paraID>
      <start>149</start>
      <end>150</end>
      <status>unmodified</status>
      <modifiedWord/>
      <trackRevisions>false</trackRevisions>
    </reviewItem>
    <reviewItem>
      <errorID>c8f54c17-24a6-4328-b4b4-84c25d4abef8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13988F1F</paraID>
      <start>14</start>
      <end>15</end>
      <status>unmodified</status>
      <modifiedWord/>
      <trackRevisions>false</trackRevisions>
    </reviewItem>
    <reviewItem>
      <errorID>d54b2872-e731-4080-841f-a4feedf41422</errorID>
      <errorWord>(</errorWord>
      <group>L1_Format</group>
      <groupName>格式问题</groupName>
      <ability>L2_HalfPunc</ability>
      <abilityName>全半角检查</abilityName>
      <candidateList>
        <item>（</item>
      </candidateList>
      <explain>文本全半角错误。</explain>
      <paraID>72F8C75B</paraID>
      <start>9</start>
      <end>10</end>
      <status>unmodified</status>
      <modifiedWord/>
      <trackRevisions>false</trackRevisions>
    </reviewItem>
    <reviewItem>
      <errorID>76671178-a230-4344-99a2-cc1cee04220c</errorID>
      <errorWord>)</errorWord>
      <group>L1_Format</group>
      <groupName>格式问题</groupName>
      <ability>L2_HalfPunc</ability>
      <abilityName>全半角检查</abilityName>
      <candidateList>
        <item>）</item>
      </candidateList>
      <explain>文本全半角错误。</explain>
      <paraID>72F8C75B</paraID>
      <start>23</start>
      <end>24</end>
      <status>unmodified</status>
      <modifiedWord/>
      <trackRevisions>false</trackRevisions>
    </reviewItem>
    <reviewItem>
      <errorID>18fba058-6f6b-4e10-bea7-9be5a34b782d</errorID>
      <errorWord>(</errorWord>
      <group>L1_Format</group>
      <groupName>格式问题</groupName>
      <ability>L2_HalfPunc</ability>
      <abilityName>全半角检查</abilityName>
      <candidateList>
        <item>（</item>
      </candidateList>
      <explain>文本全半角错误。</explain>
      <paraID>72F8C75B</paraID>
      <start>118</start>
      <end>119</end>
      <status>unmodified</status>
      <modifiedWord/>
      <trackRevisions>false</trackRevisions>
    </reviewItem>
    <reviewItem>
      <errorID>856438ab-947d-4fb6-9a55-c2d3e0ee2717</errorID>
      <errorWord>)</errorWord>
      <group>L1_Format</group>
      <groupName>格式问题</groupName>
      <ability>L2_HalfPunc</ability>
      <abilityName>全半角检查</abilityName>
      <candidateList>
        <item>）</item>
      </candidateList>
      <explain>文本全半角错误。</explain>
      <paraID>72F8C75B</paraID>
      <start>125</start>
      <end>126</end>
      <status>unmodified</status>
      <modifiedWord/>
      <trackRevisions>false</trackRevisions>
    </reviewItem>
    <reviewItem>
      <errorID>a5f90341-af0b-46de-91cc-c134f4977e5c</errorID>
      <errorWord>(</errorWord>
      <group>L1_Format</group>
      <groupName>格式问题</groupName>
      <ability>L2_HalfPunc</ability>
      <abilityName>全半角检查</abilityName>
      <candidateList>
        <item>（</item>
      </candidateList>
      <explain>文本全半角错误。</explain>
      <paraID>72F8C75B</paraID>
      <start>159</start>
      <end>160</end>
      <status>unmodified</status>
      <modifiedWord/>
      <trackRevisions>false</trackRevisions>
    </reviewItem>
    <reviewItem>
      <errorID>08b42528-a58f-401e-ac9c-b728f0b53347</errorID>
      <errorWord>)</errorWord>
      <group>L1_Format</group>
      <groupName>格式问题</groupName>
      <ability>L2_HalfPunc</ability>
      <abilityName>全半角检查</abilityName>
      <candidateList>
        <item>）</item>
      </candidateList>
      <explain>文本全半角错误。</explain>
      <paraID>72F8C75B</paraID>
      <start>170</start>
      <end>171</end>
      <status>unmodified</status>
      <modifiedWord/>
      <trackRevisions>false</trackRevisions>
    </reviewItem>
    <reviewItem>
      <errorID>2464e3d9-8112-4d6a-ace8-6fbe098d83ed</errorID>
      <errorWord>(</errorWord>
      <group>L1_Format</group>
      <groupName>格式问题</groupName>
      <ability>L2_HalfPunc</ability>
      <abilityName>全半角检查</abilityName>
      <candidateList>
        <item>（</item>
      </candidateList>
      <explain>文本全半角错误。</explain>
      <paraID>72F8C75B</paraID>
      <start>188</start>
      <end>189</end>
      <status>unmodified</status>
      <modifiedWord/>
      <trackRevisions>false</trackRevisions>
    </reviewItem>
    <reviewItem>
      <errorID>c5ec763d-2322-4e3f-b442-77c2ad1ca924</errorID>
      <errorWord>)</errorWord>
      <group>L1_Format</group>
      <groupName>格式问题</groupName>
      <ability>L2_HalfPunc</ability>
      <abilityName>全半角检查</abilityName>
      <candidateList>
        <item>）</item>
      </candidateList>
      <explain>文本全半角错误。</explain>
      <paraID>72F8C75B</paraID>
      <start>196</start>
      <end>197</end>
      <status>unmodified</status>
      <modifiedWord/>
      <trackRevisions>false</trackRevisions>
    </reviewItem>
    <reviewItem>
      <errorID>4a119572-b08d-4df0-a0c9-c889e43e6533</errorID>
      <errorWord>(</errorWord>
      <group>L1_Format</group>
      <groupName>格式问题</groupName>
      <ability>L2_HalfPunc</ability>
      <abilityName>全半角检查</abilityName>
      <candidateList>
        <item>（</item>
      </candidateList>
      <explain>文本全半角错误。</explain>
      <paraID>72F8C75B</paraID>
      <start>208</start>
      <end>209</end>
      <status>unmodified</status>
      <modifiedWord/>
      <trackRevisions>false</trackRevisions>
    </reviewItem>
    <reviewItem>
      <errorID>00710796-fdb7-499e-8d44-a738ab2d448f</errorID>
      <errorWord>)</errorWord>
      <group>L1_Format</group>
      <groupName>格式问题</groupName>
      <ability>L2_HalfPunc</ability>
      <abilityName>全半角检查</abilityName>
      <candidateList>
        <item>）</item>
      </candidateList>
      <explain>文本全半角错误。</explain>
      <paraID>72F8C75B</paraID>
      <start>217</start>
      <end>218</end>
      <status>unmodified</status>
      <modifiedWord/>
      <trackRevisions>false</trackRevisions>
    </reviewItem>
    <reviewItem>
      <errorID>b7eb386f-b9f5-4729-80d2-294fc33f5e79</errorID>
      <errorWord>(</errorWord>
      <group>L1_Format</group>
      <groupName>格式问题</groupName>
      <ability>L2_HalfPunc</ability>
      <abilityName>全半角检查</abilityName>
      <candidateList>
        <item>（</item>
      </candidateList>
      <explain>文本全半角错误。</explain>
      <paraID>72F8C75B</paraID>
      <start>238</start>
      <end>239</end>
      <status>unmodified</status>
      <modifiedWord/>
      <trackRevisions>false</trackRevisions>
    </reviewItem>
    <reviewItem>
      <errorID>1c2add03-b287-4720-a49e-31cf9e36e086</errorID>
      <errorWord>)</errorWord>
      <group>L1_Format</group>
      <groupName>格式问题</groupName>
      <ability>L2_HalfPunc</ability>
      <abilityName>全半角检查</abilityName>
      <candidateList>
        <item>）</item>
      </candidateList>
      <explain>文本全半角错误。</explain>
      <paraID>72F8C75B</paraID>
      <start>249</start>
      <end>250</end>
      <status>unmodified</status>
      <modifiedWord/>
      <trackRevisions>false</trackRevisions>
    </reviewItem>
    <reviewItem>
      <errorID>3e5eb801-c459-4438-beca-318a62aad2fd</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72F8C75B</paraID>
      <start>324</start>
      <end>325</end>
      <status>unmodified</status>
      <modifiedWord/>
      <trackRevisions>false</trackRevisions>
    </reviewItem>
    <reviewItem>
      <errorID>db6385a0-2dd6-44de-9e96-34b886edbfcf</errorID>
      <errorWord>(</errorWord>
      <group>L1_Format</group>
      <groupName>格式问题</groupName>
      <ability>L2_HalfPunc</ability>
      <abilityName>全半角检查</abilityName>
      <candidateList>
        <item>（</item>
      </candidateList>
      <explain>文本全半角错误。</explain>
      <paraID>7147C2F9</paraID>
      <start>33</start>
      <end>34</end>
      <status>unmodified</status>
      <modifiedWord/>
      <trackRevisions>false</trackRevisions>
    </reviewItem>
    <reviewItem>
      <errorID>d9ca2980-bede-45ff-a424-3df224b4d25e</errorID>
      <errorWord>)</errorWord>
      <group>L1_Format</group>
      <groupName>格式问题</groupName>
      <ability>L2_HalfPunc</ability>
      <abilityName>全半角检查</abilityName>
      <candidateList>
        <item>）</item>
      </candidateList>
      <explain>文本全半角错误。</explain>
      <paraID>7147C2F9</paraID>
      <start>45</start>
      <end>46</end>
      <status>unmodified</status>
      <modifiedWord/>
      <trackRevisions>false</trackRevisions>
    </reviewItem>
    <reviewItem>
      <errorID>05991a17-59d2-4bbc-8c25-1ed0f657adaf</errorID>
      <errorWord>（</errorWord>
      <group>L1_Format</group>
      <groupName>格式问题</groupName>
      <ability>L2_HalfPunc</ability>
      <abilityName>全半角检查</abilityName>
      <candidateList>
        <item>(</item>
      </candidateList>
      <explain>文本全半角错误。</explain>
      <paraID>17425D9D</paraID>
      <start>0</start>
      <end>1</end>
      <status>unmodified</status>
      <modifiedWord/>
      <trackRevisions>false</trackRevisions>
    </reviewItem>
    <reviewItem>
      <errorID>334b108a-a464-4efd-a94e-be01483c815e</errorID>
      <errorWord>）</errorWord>
      <group>L1_Format</group>
      <groupName>格式问题</groupName>
      <ability>L2_HalfPunc</ability>
      <abilityName>全半角检查</abilityName>
      <candidateList>
        <item>)</item>
      </candidateList>
      <explain>文本全半角错误。</explain>
      <paraID>17425D9D</paraID>
      <start>11</start>
      <end>12</end>
      <status>unmodified</status>
      <modifiedWord/>
      <trackRevisions>false</trackRevisions>
    </reviewItem>
    <reviewItem>
      <errorID>db930005-c0e7-4e8f-ab71-08a0aed9f7aa</errorID>
      <errorWord>（</errorWord>
      <group>L1_Format</group>
      <groupName>格式问题</groupName>
      <ability>L2_HalfPunc</ability>
      <abilityName>全半角检查</abilityName>
      <candidateList>
        <item>(</item>
      </candidateList>
      <explain>文本全半角错误。</explain>
      <paraID>586A695E</paraID>
      <start>0</start>
      <end>1</end>
      <status>unmodified</status>
      <modifiedWord/>
      <trackRevisions>false</trackRevisions>
    </reviewItem>
    <reviewItem>
      <errorID>4902808c-27aa-46ab-8bad-676c51c3ea00</errorID>
      <errorWord>）</errorWord>
      <group>L1_Format</group>
      <groupName>格式问题</groupName>
      <ability>L2_HalfPunc</ability>
      <abilityName>全半角检查</abilityName>
      <candidateList>
        <item>)</item>
      </candidateList>
      <explain>文本全半角错误。</explain>
      <paraID>586A695E</paraID>
      <start>8</start>
      <end>9</end>
      <status>unmodified</status>
      <modifiedWord/>
      <trackRevisions>false</trackRevisions>
    </reviewItem>
    <reviewItem>
      <errorID>fe41c7ee-9954-4fe6-8d20-e53f150c0a3c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402E45F6</paraID>
      <start>2</start>
      <end>3</end>
      <status>unmodified</status>
      <modifiedWord/>
      <trackRevisions>false</trackRevisions>
    </reviewItem>
    <reviewItem>
      <errorID>36e4dedf-1d5e-4daf-a2bf-69865dbc19c1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130DDAA2</paraID>
      <start>10</start>
      <end>11</end>
      <status>unmodified</status>
      <modifiedWord/>
      <trackRevisions>false</trackRevisions>
    </reviewItem>
    <reviewItem>
      <errorID>9160a948-79b1-4eef-a240-6b373ef49fb2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4630F402</paraID>
      <start>10</start>
      <end>11</end>
      <status>unmodified</status>
      <modifiedWord/>
      <trackRevisions>false</trackRevisions>
    </reviewItem>
    <reviewItem>
      <errorID>62d3953f-0f8b-40db-9955-b1b2aba29f3c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74C39F49</paraID>
      <start>10</start>
      <end>11</end>
      <status>unmodified</status>
      <modifiedWord/>
      <trackRevisions>false</trackRevisions>
    </reviewItem>
    <reviewItem>
      <errorID>32c2c0d7-04f5-48e0-8586-01161e49e0c7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7D6A37F3</paraID>
      <start>10</start>
      <end>11</end>
      <status>unmodified</status>
      <modifiedWord/>
      <trackRevisions>false</trackRevisions>
    </reviewItem>
    <reviewItem>
      <errorID>d179d4e8-f84b-4854-8637-162a5e3e7780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13AF28BB</paraID>
      <start>11</start>
      <end>12</end>
      <status>unmodified</status>
      <modifiedWord/>
      <trackRevisions>false</trackRevisions>
    </reviewItem>
    <reviewItem>
      <errorID>49a2f5fc-9924-4c33-a09e-180d5e80963e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271D0C9</paraID>
      <start>11</start>
      <end>12</end>
      <status>unmodified</status>
      <modifiedWord/>
      <trackRevisions>false</trackRevisions>
    </reviewItem>
    <reviewItem>
      <errorID>53904855-271f-45e2-9972-e8b373c3d1c9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103B4917</paraID>
      <start>11</start>
      <end>12</end>
      <status>unmodified</status>
      <modifiedWord/>
      <trackRevisions>false</trackRevisions>
    </reviewItem>
    <reviewItem>
      <errorID>f85e0ae5-c9a6-449b-85b5-01ca1a1ac631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7FA4BE9</paraID>
      <start>10</start>
      <end>11</end>
      <status>unmodified</status>
      <modifiedWord/>
      <trackRevisions>false</trackRevisions>
    </reviewItem>
    <reviewItem>
      <errorID>8eeede9b-e48c-4cae-ad2e-302af977d917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2F845024</paraID>
      <start>10</start>
      <end>11</end>
      <status>unmodified</status>
      <modifiedWord/>
      <trackRevisions>false</trackRevisions>
    </reviewItem>
    <reviewItem>
      <errorID>4db7ca3c-5c33-4c6e-bcf5-00d4cc0eee31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6098D552</paraID>
      <start>10</start>
      <end>11</end>
      <status>unmodified</status>
      <modifiedWord/>
      <trackRevisions>false</trackRevisions>
    </reviewItem>
    <reviewItem>
      <errorID>456deda3-9a5a-4a46-bdb4-4c250521be98</errorID>
      <errorWord>[2019]316号</errorWord>
      <group>L1_Knowledge</group>
      <groupName>知识性问题</groupName>
      <ability>L2_Knowledge</ability>
      <abilityName>其他知识</abilityName>
      <candidateList>
        <item>〔2019〕316号</item>
      </candidateList>
      <explain>发文字号格式错误。</explain>
      <paraID>3B16761F</paraID>
      <start>35</start>
      <end>45</end>
      <status>unmodified</status>
      <modifiedWord/>
      <trackRevisions>false</trackRevisions>
    </reviewItem>
    <reviewItem>
      <errorID>b7dcb260-64aa-48cb-bf1e-1b524bbdb26c</errorID>
      <errorWord>(</errorWord>
      <group>L1_Format</group>
      <groupName>格式问题</groupName>
      <ability>L2_HalfPunc</ability>
      <abilityName>全半角检查</abilityName>
      <candidateList>
        <item>（</item>
      </candidateList>
      <explain>文本全半角错误。</explain>
      <paraID>4CF272B2</paraID>
      <start>20</start>
      <end>21</end>
      <status>unmodified</status>
      <modifiedWord/>
      <trackRevisions>false</trackRevisions>
    </reviewItem>
    <reviewItem>
      <errorID>df745750-7cf4-4595-bcec-2e56d96dc151</errorID>
      <errorWord>)(</errorWord>
      <group>L1_Format</group>
      <groupName>格式问题</groupName>
      <ability>L2_HalfPunc</ability>
      <abilityName>全半角检查</abilityName>
      <candidateList>
        <item>）（</item>
      </candidateList>
      <explain>文本全半角错误。</explain>
      <paraID>4CF272B2</paraID>
      <start>26</start>
      <end>28</end>
      <status>unmodified</status>
      <modifiedWord/>
      <trackRevisions>false</trackRevisions>
    </reviewItem>
    <reviewItem>
      <errorID>3c22fe22-3d68-40e1-954e-5281460f3c25</errorID>
      <errorWord>)</errorWord>
      <group>L1_Format</group>
      <groupName>格式问题</groupName>
      <ability>L2_HalfPunc</ability>
      <abilityName>全半角检查</abilityName>
      <candidateList>
        <item>）</item>
      </candidateList>
      <explain>文本全半角错误。</explain>
      <paraID>4CF272B2</paraID>
      <start>30</start>
      <end>31</end>
      <status>unmodified</status>
      <modifiedWord/>
      <trackRevisions>false</trackRevisions>
    </reviewItem>
    <reviewItem>
      <errorID>ded81e5b-daa8-4cb8-8155-325d2263d4df</errorID>
      <errorWord>(</errorWord>
      <group>L1_Format</group>
      <groupName>格式问题</groupName>
      <ability>L2_HalfPunc</ability>
      <abilityName>全半角检查</abilityName>
      <candidateList>
        <item>（</item>
      </candidateList>
      <explain>文本全半角错误。</explain>
      <paraID>4CF272B2</paraID>
      <start>32</start>
      <end>33</end>
      <status>unmodified</status>
      <modifiedWord/>
      <trackRevisions>false</trackRevisions>
    </reviewItem>
    <reviewItem>
      <errorID>f06b3423-8945-4cff-bf1d-c2e98197cec0</errorID>
      <errorWord>)</errorWord>
      <group>L1_Format</group>
      <groupName>格式问题</groupName>
      <ability>L2_HalfPunc</ability>
      <abilityName>全半角检查</abilityName>
      <candidateList>
        <item>）</item>
      </candidateList>
      <explain>文本全半角错误。</explain>
      <paraID>4CF272B2</paraID>
      <start>46</start>
      <end>47</end>
      <status>unmodified</status>
      <modifiedWord/>
      <trackRevisions>false</trackRevisions>
    </reviewItem>
    <reviewItem>
      <errorID>2efe661c-d3d3-4c4f-bf12-fd25f3ced2e1</errorID>
      <errorWord>(</errorWord>
      <group>L1_Format</group>
      <groupName>格式问题</groupName>
      <ability>L2_HalfPunc</ability>
      <abilityName>全半角检查</abilityName>
      <candidateList>
        <item>（</item>
      </candidateList>
      <explain>文本全半角错误。</explain>
      <paraID>4CF272B2</paraID>
      <start>204</start>
      <end>205</end>
      <status>unmodified</status>
      <modifiedWord/>
      <trackRevisions>false</trackRevisions>
    </reviewItem>
    <reviewItem>
      <errorID>e453354d-f309-4997-83f6-8d21fe19f69a</errorID>
      <errorWord>)(</errorWord>
      <group>L1_Format</group>
      <groupName>格式问题</groupName>
      <ability>L2_HalfPunc</ability>
      <abilityName>全半角检查</abilityName>
      <candidateList>
        <item>）（</item>
      </candidateList>
      <explain>文本全半角错误。</explain>
      <paraID>4CF272B2</paraID>
      <start>210</start>
      <end>212</end>
      <status>unmodified</status>
      <modifiedWord/>
      <trackRevisions>false</trackRevisions>
    </reviewItem>
    <reviewItem>
      <errorID>572a8a81-1f02-4a78-9488-48f622dd36dd</errorID>
      <errorWord>)</errorWord>
      <group>L1_Format</group>
      <groupName>格式问题</groupName>
      <ability>L2_HalfPunc</ability>
      <abilityName>全半角检查</abilityName>
      <candidateList>
        <item>）</item>
      </candidateList>
      <explain>文本全半角错误。</explain>
      <paraID>4CF272B2</paraID>
      <start>214</start>
      <end>215</end>
      <status>unmodified</status>
      <modifiedWord/>
      <trackRevisions>false</trackRevisions>
    </reviewItem>
    <reviewItem>
      <errorID>6a0387ec-f683-4b1c-9245-419812fa4814</errorID>
      <errorWord>(</errorWord>
      <group>L1_Format</group>
      <groupName>格式问题</groupName>
      <ability>L2_HalfPunc</ability>
      <abilityName>全半角检查</abilityName>
      <candidateList>
        <item>（</item>
      </candidateList>
      <explain>文本全半角错误。</explain>
      <paraID>4CF272B2</paraID>
      <start>216</start>
      <end>217</end>
      <status>unmodified</status>
      <modifiedWord/>
      <trackRevisions>false</trackRevisions>
    </reviewItem>
    <reviewItem>
      <errorID>95ec9262-70e4-4639-9447-6ad758fac480</errorID>
      <errorWord>)</errorWord>
      <group>L1_Format</group>
      <groupName>格式问题</groupName>
      <ability>L2_HalfPunc</ability>
      <abilityName>全半角检查</abilityName>
      <candidateList>
        <item>）</item>
      </candidateList>
      <explain>文本全半角错误。</explain>
      <paraID>4CF272B2</paraID>
      <start>230</start>
      <end>231</end>
      <status>unmodified</status>
      <modifiedWord/>
      <trackRevisions>false</trackRevisions>
    </reviewItem>
    <reviewItem>
      <errorID>c55abc23-42da-42e0-9b09-d74c7eeec2e2</errorID>
      <errorWord>(</errorWord>
      <group>L1_Format</group>
      <groupName>格式问题</groupName>
      <ability>L2_HalfPunc</ability>
      <abilityName>全半角检查</abilityName>
      <candidateList>
        <item>（</item>
      </candidateList>
      <explain>文本全半角错误。</explain>
      <paraID>5AF7A745</paraID>
      <start>20</start>
      <end>21</end>
      <status>unmodified</status>
      <modifiedWord/>
      <trackRevisions>false</trackRevisions>
    </reviewItem>
    <reviewItem>
      <errorID>000f247b-05b9-4718-a8ac-28d7c00d790c</errorID>
      <errorWord>)(</errorWord>
      <group>L1_Format</group>
      <groupName>格式问题</groupName>
      <ability>L2_HalfPunc</ability>
      <abilityName>全半角检查</abilityName>
      <candidateList>
        <item>）（</item>
      </candidateList>
      <explain>文本全半角错误。</explain>
      <paraID>5AF7A745</paraID>
      <start>26</start>
      <end>28</end>
      <status>unmodified</status>
      <modifiedWord/>
      <trackRevisions>false</trackRevisions>
    </reviewItem>
    <reviewItem>
      <errorID>3ccf6f83-a132-4862-b2d2-242e6575afe2</errorID>
      <errorWord>)</errorWord>
      <group>L1_Format</group>
      <groupName>格式问题</groupName>
      <ability>L2_HalfPunc</ability>
      <abilityName>全半角检查</abilityName>
      <candidateList>
        <item>）</item>
      </candidateList>
      <explain>文本全半角错误。</explain>
      <paraID>5AF7A745</paraID>
      <start>30</start>
      <end>31</end>
      <status>unmodified</status>
      <modifiedWord/>
      <trackRevisions>false</trackRevisions>
    </reviewItem>
    <reviewItem>
      <errorID>a4c36697-c1af-489b-bfd8-093f6c94db93</errorID>
      <errorWord>(</errorWord>
      <group>L1_Format</group>
      <groupName>格式问题</groupName>
      <ability>L2_HalfPunc</ability>
      <abilityName>全半角检查</abilityName>
      <candidateList>
        <item>（</item>
      </candidateList>
      <explain>文本全半角错误。</explain>
      <paraID>5AF7A745</paraID>
      <start>32</start>
      <end>33</end>
      <status>unmodified</status>
      <modifiedWord/>
      <trackRevisions>false</trackRevisions>
    </reviewItem>
    <reviewItem>
      <errorID>95b1b38b-fdd3-42a0-9c8b-5b5305be86fc</errorID>
      <errorWord>)</errorWord>
      <group>L1_Format</group>
      <groupName>格式问题</groupName>
      <ability>L2_HalfPunc</ability>
      <abilityName>全半角检查</abilityName>
      <candidateList>
        <item>）</item>
      </candidateList>
      <explain>文本全半角错误。</explain>
      <paraID>5AF7A745</paraID>
      <start>47</start>
      <end>48</end>
      <status>unmodified</status>
      <modifiedWord/>
      <trackRevisions>false</trackRevisions>
    </reviewItem>
    <reviewItem>
      <errorID>fcdbf26c-f0cb-4e8f-9e9e-90231d3ddaaa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5AF7A745</paraID>
      <start>51</start>
      <end>52</end>
      <status>unmodified</status>
      <modifiedWord/>
      <trackRevisions>false</trackRevisions>
    </reviewItem>
    <reviewItem>
      <errorID>a724c1d3-f08e-4e22-96c7-7b81d3cf4ab5</errorID>
      <errorWord>(</errorWord>
      <group>L1_Format</group>
      <groupName>格式问题</groupName>
      <ability>L2_HalfPunc</ability>
      <abilityName>全半角检查</abilityName>
      <candidateList>
        <item>（</item>
      </candidateList>
      <explain>文本全半角错误。</explain>
      <paraID>7BC97574</paraID>
      <start>11</start>
      <end>12</end>
      <status>unmodified</status>
      <modifiedWord/>
      <trackRevisions>false</trackRevisions>
    </reviewItem>
    <reviewItem>
      <errorID>9d7d275c-8c0e-44be-a7c4-e7fe4560b202</errorID>
      <errorWord>～</errorWord>
      <group>L1_Format</group>
      <groupName>格式问题</groupName>
      <ability>L2_HalfPunc</ability>
      <abilityName>全半角检查</abilityName>
      <candidateList>
        <item>~</item>
      </candidateList>
      <explain>文本全半角错误。</explain>
      <paraID>24DADDF1</paraID>
      <start>1</start>
      <end>2</end>
      <status>unmodified</status>
      <modifiedWord/>
      <trackRevisions>false</trackRevisions>
    </reviewItem>
    <reviewItem>
      <errorID>524d244f-7966-40dc-8345-d8d0ae335dcb</errorID>
      <errorWord>(</errorWord>
      <group>L1_Format</group>
      <groupName>格式问题</groupName>
      <ability>L2_HalfPunc</ability>
      <abilityName>全半角检查</abilityName>
      <candidateList>
        <item>（</item>
      </candidateList>
      <explain>文本全半角错误。</explain>
      <paraID>40BE5844</paraID>
      <start>46</start>
      <end>47</end>
      <status>unmodified</status>
      <modifiedWord/>
      <trackRevisions>false</trackRevisions>
    </reviewItem>
    <reviewItem>
      <errorID>6752e1f3-ef84-46f3-bb11-1afa7affec20</errorID>
      <errorWord>)</errorWord>
      <group>L1_Format</group>
      <groupName>格式问题</groupName>
      <ability>L2_HalfPunc</ability>
      <abilityName>全半角检查</abilityName>
      <candidateList>
        <item>）</item>
      </candidateList>
      <explain>文本全半角错误。</explain>
      <paraID>40BE5844</paraID>
      <start>59</start>
      <end>60</end>
      <status>unmodified</status>
      <modifiedWord/>
      <trackRevisions>false</trackRevisions>
    </reviewItem>
    <reviewItem>
      <errorID>abf6d8e7-3ddc-4f40-b9e0-eef6063b39df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4ACC7E4A</paraID>
      <start>79</start>
      <end>80</end>
      <status>unmodified</status>
      <modifiedWord/>
      <trackRevisions>false</trackRevisions>
    </reviewItem>
    <reviewItem>
      <errorID>49afb66f-2107-4116-9454-9a39ea9c67cf</errorID>
      <errorWord>(</errorWord>
      <group>L1_Format</group>
      <groupName>格式问题</groupName>
      <ability>L2_HalfPunc</ability>
      <abilityName>全半角检查</abilityName>
      <candidateList>
        <item>（</item>
      </candidateList>
      <explain>文本全半角错误。</explain>
      <paraID>30F5B52C</paraID>
      <start>62</start>
      <end>63</end>
      <status>unmodified</status>
      <modifiedWord/>
      <trackRevisions>false</trackRevisions>
    </reviewItem>
    <reviewItem>
      <errorID>acb82673-e4a7-4872-9ddf-d9ac48cc770a</errorID>
      <errorWord>)</errorWord>
      <group>L1_Format</group>
      <groupName>格式问题</groupName>
      <ability>L2_HalfPunc</ability>
      <abilityName>全半角检查</abilityName>
      <candidateList>
        <item>）</item>
      </candidateList>
      <explain>文本全半角错误。</explain>
      <paraID>30F5B52C</paraID>
      <start>75</start>
      <end>76</end>
      <status>unmodified</status>
      <modifiedWord/>
      <trackRevisions>false</trackRevisions>
    </reviewItem>
    <reviewItem>
      <errorID>df928d4c-4418-43ad-adba-4da05be95c54</errorID>
      <errorWord>(</errorWord>
      <group>L1_Format</group>
      <groupName>格式问题</groupName>
      <ability>L2_HalfPunc</ability>
      <abilityName>全半角检查</abilityName>
      <candidateList>
        <item>（</item>
      </candidateList>
      <explain>文本全半角错误。</explain>
      <paraID>5C221BBC</paraID>
      <start>18</start>
      <end>19</end>
      <status>unmodified</status>
      <modifiedWord/>
      <trackRevisions>false</trackRevisions>
    </reviewItem>
    <reviewItem>
      <errorID>bea9d3c1-f07c-4af4-abfa-c96fb7da7920</errorID>
      <errorWord>)</errorWord>
      <group>L1_Format</group>
      <groupName>格式问题</groupName>
      <ability>L2_HalfPunc</ability>
      <abilityName>全半角检查</abilityName>
      <candidateList>
        <item>）</item>
      </candidateList>
      <explain>文本全半角错误。</explain>
      <paraID>5C221BBC</paraID>
      <start>26</start>
      <end>27</end>
      <status>unmodified</status>
      <modifiedWord/>
      <trackRevisions>false</trackRevisions>
    </reviewItem>
    <reviewItem>
      <errorID>26100f22-cf17-47d2-b041-4d209275d570</errorID>
      <errorWord>-</errorWord>
      <group>L1_Format</group>
      <groupName>格式问题</groupName>
      <ability>L2_HalfPunc</ability>
      <abilityName>全半角检查</abilityName>
      <candidateList>
        <item>－</item>
      </candidateList>
      <explain>文本全半角错误。</explain>
      <paraID>700268C9</paraID>
      <start>100</start>
      <end>101</end>
      <status>unmodified</status>
      <modifiedWord/>
      <trackRevisions>false</trackRevisions>
    </reviewItem>
    <reviewItem>
      <errorID>0dcfe879-eb61-484e-b3ae-7a185837b4fc</errorID>
      <errorWord>)</errorWord>
      <group>L1_Format</group>
      <groupName>格式问题</groupName>
      <ability>L2_HalfPunc</ability>
      <abilityName>全半角检查</abilityName>
      <candidateList>
        <item>）</item>
      </candidateList>
      <explain>文本全半角错误。</explain>
      <paraID>4ACB3D30</paraID>
      <start>32</start>
      <end>33</end>
      <status>unmodified</status>
      <modifiedWord/>
      <trackRevisions>false</trackRevisions>
    </reviewItem>
    <reviewItem>
      <errorID>fa406386-a84c-4851-9550-9304f4e7b3e9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1ABFA0B9</paraID>
      <start>38</start>
      <end>39</end>
      <status>unmodified</status>
      <modifiedWord/>
      <trackRevisions>false</trackRevisions>
    </reviewItem>
    <reviewItem>
      <errorID>1c39f617-47a7-45f1-baea-57fd466e959b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1ABFA0B9</paraID>
      <start>57</start>
      <end>58</end>
      <status>unmodified</status>
      <modifiedWord/>
      <trackRevisions>false</trackRevisions>
    </reviewItem>
    <reviewItem>
      <errorID>c50aabac-520c-44e8-970c-82a9c75fca3e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5F47D711</paraID>
      <start>99</start>
      <end>100</end>
      <status>unmodified</status>
      <modifiedWord/>
      <trackRevisions>false</trackRevisions>
    </reviewItem>
    <reviewItem>
      <errorID>fa946dcb-47db-4085-a5b0-cab7c2cf8ebd</errorID>
      <errorWord>~</errorWord>
      <group>L1_Format</group>
      <groupName>格式问题</groupName>
      <ability>L2_HalfPunc</ability>
      <abilityName>全半角检查</abilityName>
      <candidateList>
        <item>～</item>
      </candidateList>
      <explain>文本全半角错误。</explain>
      <paraID>2ED3A266</paraID>
      <start>5</start>
      <end>6</end>
      <status>unmodified</status>
      <modifiedWord/>
      <trackRevisions>false</trackRevisions>
    </reviewItem>
    <reviewItem>
      <errorID>bbbf5541-452e-48bb-9fc5-dc7033018183</errorID>
      <errorWord>(</errorWord>
      <group>L1_Format</group>
      <groupName>格式问题</groupName>
      <ability>L2_HalfPunc</ability>
      <abilityName>全半角检查</abilityName>
      <candidateList>
        <item>（</item>
      </candidateList>
      <explain>文本全半角错误。</explain>
      <paraID>780DE126</paraID>
      <start>60</start>
      <end>61</end>
      <status>unmodified</status>
      <modifiedWord/>
      <trackRevisions>false</trackRevisions>
    </reviewItem>
    <reviewItem>
      <errorID>a5c58b33-fd35-4c4e-b591-3c433f3890f2</errorID>
      <errorWord>)</errorWord>
      <group>L1_Format</group>
      <groupName>格式问题</groupName>
      <ability>L2_HalfPunc</ability>
      <abilityName>全半角检查</abilityName>
      <candidateList>
        <item>）</item>
      </candidateList>
      <explain>文本全半角错误。</explain>
      <paraID>780DE126</paraID>
      <start>63</start>
      <end>64</end>
      <status>unmodified</status>
      <modifiedWord/>
      <trackRevisions>false</trackRevisions>
    </reviewItem>
    <reviewItem>
      <errorID>098cbede-a3da-4d9b-9960-cc485258160b</errorID>
      <errorWord>(</errorWord>
      <group>L1_Format</group>
      <groupName>格式问题</groupName>
      <ability>L2_HalfPunc</ability>
      <abilityName>全半角检查</abilityName>
      <candidateList>
        <item>（</item>
      </candidateList>
      <explain>文本全半角错误。</explain>
      <paraID>780DE126</paraID>
      <start>65</start>
      <end>66</end>
      <status>unmodified</status>
      <modifiedWord/>
      <trackRevisions>false</trackRevisions>
    </reviewItem>
    <reviewItem>
      <errorID>df6896f6-13b1-4f74-b2e0-7493793d02cf</errorID>
      <errorWord>)</errorWord>
      <group>L1_Format</group>
      <groupName>格式问题</groupName>
      <ability>L2_HalfPunc</ability>
      <abilityName>全半角检查</abilityName>
      <candidateList>
        <item>）</item>
      </candidateList>
      <explain>文本全半角错误。</explain>
      <paraID>780DE126</paraID>
      <start>78</start>
      <end>79</end>
      <status>unmodified</status>
      <modifiedWord/>
      <trackRevisions>false</trackRevisions>
    </reviewItem>
    <reviewItem>
      <errorID>602ad4eb-1d1f-417e-ad44-41c2653a363d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160D1E8D</paraID>
      <start>80</start>
      <end>81</end>
      <status>unmodified</status>
      <modifiedWord/>
      <trackRevisions>false</trackRevisions>
    </reviewItem>
    <reviewItem>
      <errorID>33528302-61f0-4715-ae6d-209acf895449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6D9EEE9C</paraID>
      <start>54</start>
      <end>55</end>
      <status>unmodified</status>
      <modifiedWord/>
      <trackRevisions>false</trackRevisions>
    </reviewItem>
    <reviewItem>
      <errorID>72d27bfe-f973-4e6d-aa83-7bc8a9758293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3E28B3B9</paraID>
      <start>79</start>
      <end>80</end>
      <status>unmodified</status>
      <modifiedWord/>
      <trackRevisions>false</trackRevisions>
    </reviewItem>
    <reviewItem>
      <errorID>ca19b739-0a60-4dfd-b747-04ec8df57252</errorID>
      <errorWord>(</errorWord>
      <group>L1_Format</group>
      <groupName>格式问题</groupName>
      <ability>L2_HalfPunc</ability>
      <abilityName>全半角检查</abilityName>
      <candidateList>
        <item>（</item>
      </candidateList>
      <explain>文本全半角错误。</explain>
      <paraID>3929FAB3</paraID>
      <start>18</start>
      <end>19</end>
      <status>unmodified</status>
      <modifiedWord/>
      <trackRevisions>false</trackRevisions>
    </reviewItem>
    <reviewItem>
      <errorID>2138024b-0134-4e47-810c-b221e72b401e</errorID>
      <errorWord>)</errorWord>
      <group>L1_Format</group>
      <groupName>格式问题</groupName>
      <ability>L2_HalfPunc</ability>
      <abilityName>全半角检查</abilityName>
      <candidateList>
        <item>）</item>
      </candidateList>
      <explain>文本全半角错误。</explain>
      <paraID>3929FAB3</paraID>
      <start>25</start>
      <end>26</end>
      <status>unmodified</status>
      <modifiedWord/>
      <trackRevisions>false</trackRevisions>
    </reviewItem>
    <reviewItem>
      <errorID>8138c245-3dc0-4d01-9a6a-3645a7b0b48d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7A0476E5</paraID>
      <start>77</start>
      <end>78</end>
      <status>unmodified</status>
      <modifiedWord/>
      <trackRevisions>false</trackRevisions>
    </reviewItem>
    <reviewItem>
      <errorID>b80a48f8-f181-4492-8436-84e0c3359a85</errorID>
      <errorWord>(</errorWord>
      <group>L1_Format</group>
      <groupName>格式问题</groupName>
      <ability>L2_HalfPunc</ability>
      <abilityName>全半角检查</abilityName>
      <candidateList>
        <item>（</item>
      </candidateList>
      <explain>文本全半角错误。</explain>
      <paraID>7313A92E</paraID>
      <start>18</start>
      <end>19</end>
      <status>unmodified</status>
      <modifiedWord/>
      <trackRevisions>false</trackRevisions>
    </reviewItem>
    <reviewItem>
      <errorID>bb295886-8dbc-4e2a-849c-09f65b525fc4</errorID>
      <errorWord>)</errorWord>
      <group>L1_Format</group>
      <groupName>格式问题</groupName>
      <ability>L2_HalfPunc</ability>
      <abilityName>全半角检查</abilityName>
      <candidateList>
        <item>）</item>
      </candidateList>
      <explain>文本全半角错误。</explain>
      <paraID>7313A92E</paraID>
      <start>24</start>
      <end>25</end>
      <status>unmodified</status>
      <modifiedWord/>
      <trackRevisions>false</trackRevisions>
    </reviewItem>
    <reviewItem>
      <errorID>d1c083ab-decc-4127-9c91-7e41f6747830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169EA8CD</paraID>
      <start>0</start>
      <end>2</end>
      <status>unmodified</status>
      <modifiedWord/>
      <trackRevisions>false</trackRevisions>
    </reviewItem>
    <reviewItem>
      <errorID>c598e879-d25c-4d7b-baa6-a6ceaef5519b</errorID>
      <errorWord>,</errorWord>
      <group>L1_Format</group>
      <groupName>格式问题</groupName>
      <ability>L2_HalfPunc</ability>
      <abilityName>全半角检查</abilityName>
      <candidateList>
        <item>，</item>
      </candidateList>
      <explain>文本全半角错误。</explain>
      <paraID>1BD21328</paraID>
      <start>19</start>
      <end>20</end>
      <status>unmodified</status>
      <modifiedWord/>
      <trackRevisions>false</trackRevisions>
    </reviewItem>
    <reviewItem>
      <errorID>fb8206df-b1ff-4fad-b443-cfc5f446b175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36AC4D80</paraID>
      <start>0</start>
      <end>2</end>
      <status>unmodified</status>
      <modifiedWord/>
      <trackRevisions>false</trackRevisions>
    </reviewItem>
    <reviewItem>
      <errorID>a2fe11b4-e310-422c-b127-c846c7b57f28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1ADABF5B</paraID>
      <start>0</start>
      <end>2</end>
      <status>unmodified</status>
      <modifiedWord/>
      <trackRevisions>false</trackRevisions>
    </reviewItem>
    <reviewItem>
      <errorID>d5a06606-2e52-4b39-a7d8-9ad550745410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4AC36EF4</paraID>
      <start>0</start>
      <end>2</end>
      <status>unmodified</status>
      <modifiedWord/>
      <trackRevisions>false</trackRevisions>
    </reviewItem>
    <reviewItem>
      <errorID>b03a2b9e-c92b-4934-bfc8-fcf076658bea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70B3C022</paraID>
      <start>0</start>
      <end>2</end>
      <status>unmodified</status>
      <modifiedWord/>
      <trackRevisions>false</trackRevisions>
    </reviewItem>
    <reviewItem>
      <errorID>a22dfc37-5d9b-4174-9f46-73412faef7be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3666AF</paraID>
      <start>0</start>
      <end>2</end>
      <status>unmodified</status>
      <modifiedWord/>
      <trackRevisions>false</trackRevisions>
    </reviewItem>
    <reviewItem>
      <errorID>a01db5ff-0a63-4f5e-b373-22f96e48158f</errorID>
      <errorWord>(</errorWord>
      <group>L1_Format</group>
      <groupName>格式问题</groupName>
      <ability>L2_HalfPunc</ability>
      <abilityName>全半角检查</abilityName>
      <candidateList>
        <item>（</item>
      </candidateList>
      <explain>文本全半角错误。</explain>
      <paraID>  3666AF</paraID>
      <start>23</start>
      <end>24</end>
      <status>unmodified</status>
      <modifiedWord/>
      <trackRevisions>false</trackRevisions>
    </reviewItem>
    <reviewItem>
      <errorID>30e8c0d6-c568-47f2-b9ba-f913f9bcb66f</errorID>
      <errorWord>)</errorWord>
      <group>L1_Format</group>
      <groupName>格式问题</groupName>
      <ability>L2_HalfPunc</ability>
      <abilityName>全半角检查</abilityName>
      <candidateList>
        <item>）</item>
      </candidateList>
      <explain>文本全半角错误。</explain>
      <paraID>  3666AF</paraID>
      <start>25</start>
      <end>26</end>
      <status>unmodified</status>
      <modifiedWord/>
      <trackRevisions>false</trackRevisions>
    </reviewItem>
    <reviewItem>
      <errorID>2f40417b-2cd0-424e-b7ac-38c1f9e75ab8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285AEE6</paraID>
      <start>0</start>
      <end>2</end>
      <status>unmodified</status>
      <modifiedWord/>
      <trackRevisions>false</trackRevisions>
    </reviewItem>
    <reviewItem>
      <errorID>3becaaf1-870b-4535-9c7b-caca84e67484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DF49374</paraID>
      <start>0</start>
      <end>2</end>
      <status>unmodified</status>
      <modifiedWord/>
      <trackRevisions>false</trackRevisions>
    </reviewItem>
    <reviewItem>
      <errorID>2acdbddd-fd89-4a0b-894c-e1c81e574419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B65D2B1</paraID>
      <start>0</start>
      <end>2</end>
      <status>unmodified</status>
      <modifiedWord/>
      <trackRevisions>false</trackRevisions>
    </reviewItem>
    <reviewItem>
      <errorID>bd7addfa-7f7c-4601-938a-80ebea382d45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7B539BB8</paraID>
      <start>0</start>
      <end>2</end>
      <status>unmodified</status>
      <modifiedWord/>
      <trackRevisions>false</trackRevisions>
    </reviewItem>
    <reviewItem>
      <errorID>9d3b2194-a457-4d02-8ae5-03f2d6e156ed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4F79CCB9</paraID>
      <start>0</start>
      <end>2</end>
      <status>unmodified</status>
      <modifiedWord/>
      <trackRevisions>false</trackRevisions>
    </reviewItem>
    <reviewItem>
      <errorID>d95003ca-6261-4499-b850-5bacd0e0a873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15CFE37B</paraID>
      <start>0</start>
      <end>2</end>
      <status>unmodified</status>
      <modifiedWord/>
      <trackRevisions>false</trackRevisions>
    </reviewItem>
    <reviewItem>
      <errorID>2caa7281-70a6-4f96-931a-0c52a9de111e</errorID>
      <errorWord>3%~5%</errorWord>
      <group>L1_Knowledge</group>
      <groupName>知识性问题</groupName>
      <ability>L2_Knowledge</ability>
      <abilityName>其他知识</abilityName>
      <candidateList>
        <item>3%～5%</item>
      </candidateList>
      <explain>1. “3%~5%”中的单位“%”仅出现在后一个数字上，容易引起歧义；根据《现代汉语标点符号数字用法规范手册》，数字表示范围两边需要使用统一的格式。2. 根据标点国标 4.13 中的规则，数字、时间或地域连接符应使用（视觉上更长的）“—”或“～”。</explain>
      <paraID>52367CF8</paraID>
      <start>43</start>
      <end>48</end>
      <status>unmodified</status>
      <modifiedWord/>
      <trackRevisions>false</trackRevisions>
    </reviewItem>
    <reviewItem>
      <errorID>e04dfeb3-a7c1-435b-a2fd-369ca04187c4</errorID>
      <errorWord>：</errorWord>
      <group>L1_Format</group>
      <groupName>格式问题</groupName>
      <ability>L2_HalfPunc</ability>
      <abilityName>全半角检查</abilityName>
      <candidateList>
        <item>:</item>
      </candidateList>
      <explain>文本全半角错误。</explain>
      <paraID>7825B285</paraID>
      <start>115</start>
      <end>116</end>
      <status>unmodified</status>
      <modifiedWord/>
      <trackRevisions>false</trackRevisions>
    </reviewItem>
    <reviewItem>
      <errorID>ad1ac613-d67f-4f37-bfe8-9e4b0b5cf108</errorID>
      <errorWord>：</errorWord>
      <group>L1_Format</group>
      <groupName>格式问题</groupName>
      <ability>L2_HalfPunc</ability>
      <abilityName>全半角检查</abilityName>
      <candidateList>
        <item>:</item>
      </candidateList>
      <explain>文本全半角错误。</explain>
      <paraID>61945AA3</paraID>
      <start>127</start>
      <end>128</end>
      <status>unmodified</status>
      <modifiedWord/>
      <trackRevisions>false</trackRevisions>
    </reviewItem>
    <reviewItem>
      <errorID>de17d1ab-730a-4fc5-9094-b7884560afb6</errorID>
      <errorWord>：</errorWord>
      <group>L1_Format</group>
      <groupName>格式问题</groupName>
      <ability>L2_HalfPunc</ability>
      <abilityName>全半角检查</abilityName>
      <candidateList>
        <item>:</item>
      </candidateList>
      <explain>文本全半角错误。</explain>
      <paraID>4B8DDF8B</paraID>
      <start>94</start>
      <end>95</end>
      <status>unmodified</status>
      <modifiedWord/>
      <trackRevisions>false</trackRevisions>
    </reviewItem>
    <reviewItem>
      <errorID>aeb79de2-f2b7-44fb-9fc4-6678a054fdd3</errorID>
      <errorWord>(</errorWord>
      <group>L1_Format</group>
      <groupName>格式问题</groupName>
      <ability>L2_HalfPunc</ability>
      <abilityName>全半角检查</abilityName>
      <candidateList>
        <item>（</item>
      </candidateList>
      <explain>文本全半角错误。</explain>
      <paraID>5C1AB412</paraID>
      <start>14</start>
      <end>15</end>
      <status>unmodified</status>
      <modifiedWord/>
      <trackRevisions>false</trackRevisions>
    </reviewItem>
    <reviewItem>
      <errorID>8fa0137c-775c-461e-bde2-01e0d65ce9aa</errorID>
      <errorWord>：</errorWord>
      <group>L1_Format</group>
      <groupName>格式问题</groupName>
      <ability>L2_HalfPunc</ability>
      <abilityName>全半角检查</abilityName>
      <candidateList>
        <item>:</item>
      </candidateList>
      <explain>文本全半角错误。</explain>
      <paraID>481C7FCE</paraID>
      <start>357</start>
      <end>358</end>
      <status>unmodified</status>
      <modifiedWord/>
      <trackRevisions>false</trackRevisions>
    </reviewItem>
    <reviewItem>
      <errorID>0070c3ab-e0a0-403e-9b31-7a82855ded25</errorID>
      <errorWord>(</errorWord>
      <group>L1_Format</group>
      <groupName>格式问题</groupName>
      <ability>L2_HalfPunc</ability>
      <abilityName>全半角检查</abilityName>
      <candidateList>
        <item>（</item>
      </candidateList>
      <explain>文本全半角错误。</explain>
      <paraID>4A66365E</paraID>
      <start>16</start>
      <end>17</end>
      <status>unmodified</status>
      <modifiedWord/>
      <trackRevisions>false</trackRevisions>
    </reviewItem>
    <reviewItem>
      <errorID>d1662475-858a-43d4-9492-86fc983b9777</errorID>
      <errorWord>)</errorWord>
      <group>L1_Format</group>
      <groupName>格式问题</groupName>
      <ability>L2_HalfPunc</ability>
      <abilityName>全半角检查</abilityName>
      <candidateList>
        <item>）</item>
      </candidateList>
      <explain>文本全半角错误。</explain>
      <paraID>4A66365E</paraID>
      <start>29</start>
      <end>30</end>
      <status>unmodified</status>
      <modifiedWord/>
      <trackRevisions>false</trackRevisions>
    </reviewItem>
    <reviewItem>
      <errorID>13648cac-54ef-4ccb-a2d1-2e62bce47693</errorID>
      <errorWord>(</errorWord>
      <group>L1_Format</group>
      <groupName>格式问题</groupName>
      <ability>L2_HalfPunc</ability>
      <abilityName>全半角检查</abilityName>
      <candidateList>
        <item>（</item>
      </candidateList>
      <explain>文本全半角错误。</explain>
      <paraID>22D5C58A</paraID>
      <start>106</start>
      <end>107</end>
      <status>unmodified</status>
      <modifiedWord/>
      <trackRevisions>false</trackRevisions>
    </reviewItem>
    <reviewItem>
      <errorID>373085da-7aa1-413b-8a73-2c437e564641</errorID>
      <errorWord>)</errorWord>
      <group>L1_Format</group>
      <groupName>格式问题</groupName>
      <ability>L2_HalfPunc</ability>
      <abilityName>全半角检查</abilityName>
      <candidateList>
        <item>）</item>
      </candidateList>
      <explain>文本全半角错误。</explain>
      <paraID>22D5C58A</paraID>
      <start>117</start>
      <end>118</end>
      <status>unmodified</status>
      <modifiedWord/>
      <trackRevisions>false</trackRevisions>
    </reviewItem>
    <reviewItem>
      <errorID>d0792cdd-43dd-48b0-aabf-aaef840ccf01</errorID>
      <errorWord>(</errorWord>
      <group>L1_Format</group>
      <groupName>格式问题</groupName>
      <ability>L2_HalfPunc</ability>
      <abilityName>全半角检查</abilityName>
      <candidateList>
        <item>（</item>
      </candidateList>
      <explain>文本全半角错误。</explain>
      <paraID>22D5C58A</paraID>
      <start>198</start>
      <end>199</end>
      <status>unmodified</status>
      <modifiedWord/>
      <trackRevisions>false</trackRevisions>
    </reviewItem>
    <reviewItem>
      <errorID>e756b5a5-884c-40f8-9ec1-d4add9740fe8</errorID>
      <errorWord>(</errorWord>
      <group>L1_Format</group>
      <groupName>格式问题</groupName>
      <ability>L2_HalfPunc</ability>
      <abilityName>全半角检查</abilityName>
      <candidateList>
        <item>（</item>
      </candidateList>
      <explain>文本全半角错误。</explain>
      <paraID>4C248ADB</paraID>
      <start>62</start>
      <end>63</end>
      <status>unmodified</status>
      <modifiedWord/>
      <trackRevisions>false</trackRevisions>
    </reviewItem>
    <reviewItem>
      <errorID>f4ec546a-784d-4482-98a5-1e13133458a7</errorID>
      <errorWord>)(</errorWord>
      <group>L1_Format</group>
      <groupName>格式问题</groupName>
      <ability>L2_HalfPunc</ability>
      <abilityName>全半角检查</abilityName>
      <candidateList>
        <item>）（</item>
      </candidateList>
      <explain>文本全半角错误。</explain>
      <paraID>4C248ADB</paraID>
      <start>68</start>
      <end>70</end>
      <status>unmodified</status>
      <modifiedWord/>
      <trackRevisions>false</trackRevisions>
    </reviewItem>
    <reviewItem>
      <errorID>17ab9cc7-24a1-422a-9bda-45620d68898a</errorID>
      <errorWord>)</errorWord>
      <group>L1_Format</group>
      <groupName>格式问题</groupName>
      <ability>L2_HalfPunc</ability>
      <abilityName>全半角检查</abilityName>
      <candidateList>
        <item>）</item>
      </candidateList>
      <explain>文本全半角错误。</explain>
      <paraID>4C248ADB</paraID>
      <start>72</start>
      <end>73</end>
      <status>unmodified</status>
      <modifiedWord/>
      <trackRevisions>false</trackRevisions>
    </reviewItem>
    <reviewItem>
      <errorID>0d96f9fd-3550-4c96-8575-685832f02fb7</errorID>
      <errorWord>(</errorWord>
      <group>L1_Format</group>
      <groupName>格式问题</groupName>
      <ability>L2_HalfPunc</ability>
      <abilityName>全半角检查</abilityName>
      <candidateList>
        <item>（</item>
      </candidateList>
      <explain>文本全半角错误。</explain>
      <paraID>4C248ADB</paraID>
      <start>74</start>
      <end>75</end>
      <status>unmodified</status>
      <modifiedWord/>
      <trackRevisions>false</trackRevisions>
    </reviewItem>
    <reviewItem>
      <errorID>6f9e931a-3ebc-47b3-8ebd-8f9d3caba172</errorID>
      <errorWord>)</errorWord>
      <group>L1_Format</group>
      <groupName>格式问题</groupName>
      <ability>L2_HalfPunc</ability>
      <abilityName>全半角检查</abilityName>
      <candidateList>
        <item>）</item>
      </candidateList>
      <explain>文本全半角错误。</explain>
      <paraID>4C248ADB</paraID>
      <start>88</start>
      <end>89</end>
      <status>unmodified</status>
      <modifiedWord/>
      <trackRevisions>false</trackRevisions>
    </reviewItem>
    <reviewItem>
      <errorID>87a90e86-9eaf-464e-9d77-15d8e3b1b690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778E801</paraID>
      <start>0</start>
      <end>3</end>
      <status>unmodified</status>
      <modifiedWord/>
      <trackRevisions>false</trackRevisions>
    </reviewItem>
    <reviewItem>
      <errorID>a50ab73f-3c2f-432f-8831-aa368f72a3a5</errorID>
      <errorWord>(</errorWord>
      <group>L1_Format</group>
      <groupName>格式问题</groupName>
      <ability>L2_HalfPunc</ability>
      <abilityName>全半角检查</abilityName>
      <candidateList>
        <item>（</item>
      </candidateList>
      <explain>文本全半角错误。</explain>
      <paraID> 8F24955</paraID>
      <start>20</start>
      <end>21</end>
      <status>unmodified</status>
      <modifiedWord/>
      <trackRevisions>false</trackRevisions>
    </reviewItem>
    <reviewItem>
      <errorID>10194ce8-1afc-4eeb-a3f6-a15d1753ecdc</errorID>
      <errorWord>)</errorWord>
      <group>L1_Format</group>
      <groupName>格式问题</groupName>
      <ability>L2_HalfPunc</ability>
      <abilityName>全半角检查</abilityName>
      <candidateList>
        <item>）</item>
      </candidateList>
      <explain>文本全半角错误。</explain>
      <paraID> 8F24955</paraID>
      <start>31</start>
      <end>32</end>
      <status>unmodified</status>
      <modifiedWord/>
      <trackRevisions>false</trackRevisions>
    </reviewItem>
    <reviewItem>
      <errorID>37ea16cf-c0bc-4eef-a953-b7d0650b8521</errorID>
      <errorWord>(</errorWord>
      <group>L1_Format</group>
      <groupName>格式问题</groupName>
      <ability>L2_HalfPunc</ability>
      <abilityName>全半角检查</abilityName>
      <candidateList>
        <item>（</item>
      </candidateList>
      <explain>文本全半角错误。</explain>
      <paraID>29131775</paraID>
      <start>16</start>
      <end>17</end>
      <status>unmodified</status>
      <modifiedWord/>
      <trackRevisions>false</trackRevisions>
    </reviewItem>
    <reviewItem>
      <errorID>35c253f2-6613-492d-bc45-71062d6ba1e4</errorID>
      <errorWord>)</errorWord>
      <group>L1_Format</group>
      <groupName>格式问题</groupName>
      <ability>L2_HalfPunc</ability>
      <abilityName>全半角检查</abilityName>
      <candidateList>
        <item>）</item>
      </candidateList>
      <explain>文本全半角错误。</explain>
      <paraID>29131775</paraID>
      <start>29</start>
      <end>30</end>
      <status>unmodified</status>
      <modifiedWord/>
      <trackRevisions>false</trackRevisions>
    </reviewItem>
    <reviewItem>
      <errorID>764722c3-3d3f-4ce7-832d-8cb240f7c48a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3F7AE7DF</paraID>
      <start>0</start>
      <end>3</end>
      <status>unmodified</status>
      <modifiedWord/>
      <trackRevisions>false</trackRevisions>
    </reviewItem>
    <reviewItem>
      <errorID>4f4837bd-5435-48a3-bcde-7794b66d58a9</errorID>
      <errorWord>(</errorWord>
      <group>L1_Format</group>
      <groupName>格式问题</groupName>
      <ability>L2_HalfPunc</ability>
      <abilityName>全半角检查</abilityName>
      <candidateList>
        <item>（</item>
      </candidateList>
      <explain>文本全半角错误。</explain>
      <paraID>4533CC33</paraID>
      <start>205</start>
      <end>206</end>
      <status>unmodified</status>
      <modifiedWord/>
      <trackRevisions>false</trackRevisions>
    </reviewItem>
    <reviewItem>
      <errorID>c947b9be-2b0f-4d9d-bc37-fa98e534ec52</errorID>
      <errorWord>)</errorWord>
      <group>L1_Format</group>
      <groupName>格式问题</groupName>
      <ability>L2_HalfPunc</ability>
      <abilityName>全半角检查</abilityName>
      <candidateList>
        <item>）</item>
      </candidateList>
      <explain>文本全半角错误。</explain>
      <paraID>4533CC33</paraID>
      <start>214</start>
      <end>215</end>
      <status>unmodified</status>
      <modifiedWord/>
      <trackRevisions>false</trackRevisions>
    </reviewItem>
    <reviewItem>
      <errorID>2e4d9e84-e052-43ba-b305-38bf8ffb6eaa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19546FF6</paraID>
      <start>0</start>
      <end>2</end>
      <status>unmodified</status>
      <modifiedWord/>
      <trackRevisions>false</trackRevisions>
    </reviewItem>
    <reviewItem>
      <errorID>10bef353-c1ff-4d6a-9ddb-831957ba03e7</errorID>
      <errorWord>(</errorWord>
      <group>L1_Format</group>
      <groupName>格式问题</groupName>
      <ability>L2_HalfPunc</ability>
      <abilityName>全半角检查</abilityName>
      <candidateList>
        <item>（</item>
      </candidateList>
      <explain>文本全半角错误。</explain>
      <paraID>4FB6BC8C</paraID>
      <start>7</start>
      <end>8</end>
      <status>unmodified</status>
      <modifiedWord/>
      <trackRevisions>false</trackRevisions>
    </reviewItem>
    <reviewItem>
      <errorID>8481d89f-66e3-44ea-a4d4-2276ea9e38e6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3B888DC0</paraID>
      <start>0</start>
      <end>2</end>
      <status>unmodified</status>
      <modifiedWord/>
      <trackRevisions>false</trackRevisions>
    </reviewItem>
    <reviewItem>
      <errorID>9dd0d23b-cde1-4f00-9f54-b9eb2e947c8e</errorID>
      <errorWord>(</errorWord>
      <group>L1_Format</group>
      <groupName>格式问题</groupName>
      <ability>L2_HalfPunc</ability>
      <abilityName>全半角检查</abilityName>
      <candidateList>
        <item>（</item>
      </candidateList>
      <explain>文本全半角错误。</explain>
      <paraID>1759AB4F</paraID>
      <start>43</start>
      <end>44</end>
      <status>unmodified</status>
      <modifiedWord/>
      <trackRevisions>false</trackRevisions>
    </reviewItem>
    <reviewItem>
      <errorID>72e714c3-5055-4399-9dc2-b8afffa61219</errorID>
      <errorWord>)</errorWord>
      <group>L1_Format</group>
      <groupName>格式问题</groupName>
      <ability>L2_HalfPunc</ability>
      <abilityName>全半角检查</abilityName>
      <candidateList>
        <item>）</item>
      </candidateList>
      <explain>文本全半角错误。</explain>
      <paraID>1759AB4F</paraID>
      <start>47</start>
      <end>48</end>
      <status>unmodified</status>
      <modifiedWord/>
      <trackRevisions>false</trackRevisions>
    </reviewItem>
    <reviewItem>
      <errorID>2d829ba8-4778-43a5-9725-6efb8beef7f9</errorID>
      <errorWord>(</errorWord>
      <group>L1_Format</group>
      <groupName>格式问题</groupName>
      <ability>L2_HalfPunc</ability>
      <abilityName>全半角检查</abilityName>
      <candidateList>
        <item>（</item>
      </candidateList>
      <explain>文本全半角错误。</explain>
      <paraID>19B60C43</paraID>
      <start>9</start>
      <end>10</end>
      <status>unmodified</status>
      <modifiedWord/>
      <trackRevisions>false</trackRevisions>
    </reviewItem>
    <reviewItem>
      <errorID>a1a77fea-bc4b-4544-99e2-efc4186aa5f0</errorID>
      <errorWord>)</errorWord>
      <group>L1_Format</group>
      <groupName>格式问题</groupName>
      <ability>L2_HalfPunc</ability>
      <abilityName>全半角检查</abilityName>
      <candidateList>
        <item>）</item>
      </candidateList>
      <explain>文本全半角错误。</explain>
      <paraID>19B60C43</paraID>
      <start>13</start>
      <end>14</end>
      <status>unmodified</status>
      <modifiedWord/>
      <trackRevisions>false</trackRevisions>
    </reviewItem>
    <reviewItem>
      <errorID>e3b42761-ff4e-4646-837d-a07efe8c1b7e</errorID>
      <errorWord>(</errorWord>
      <group>L1_Format</group>
      <groupName>格式问题</groupName>
      <ability>L2_HalfPunc</ability>
      <abilityName>全半角检查</abilityName>
      <candidateList>
        <item>（</item>
      </candidateList>
      <explain>文本全半角错误。</explain>
      <paraID>6CFE27A9</paraID>
      <start>9</start>
      <end>10</end>
      <status>unmodified</status>
      <modifiedWord/>
      <trackRevisions>false</trackRevisions>
    </reviewItem>
    <reviewItem>
      <errorID>63922519-df96-45af-91d3-f753d2b3323e</errorID>
      <errorWord>)</errorWord>
      <group>L1_Format</group>
      <groupName>格式问题</groupName>
      <ability>L2_HalfPunc</ability>
      <abilityName>全半角检查</abilityName>
      <candidateList>
        <item>）</item>
      </candidateList>
      <explain>文本全半角错误。</explain>
      <paraID>6CFE27A9</paraID>
      <start>13</start>
      <end>14</end>
      <status>unmodified</status>
      <modifiedWord/>
      <trackRevisions>false</trackRevisions>
    </reviewItem>
    <reviewItem>
      <errorID>7c2f5a69-b2a7-473b-954a-ae08479d89ea</errorID>
      <errorWord>(</errorWord>
      <group>L1_Format</group>
      <groupName>格式问题</groupName>
      <ability>L2_HalfPunc</ability>
      <abilityName>全半角检查</abilityName>
      <candidateList>
        <item>（</item>
      </candidateList>
      <explain>文本全半角错误。</explain>
      <paraID>20999BE8</paraID>
      <start>5</start>
      <end>6</end>
      <status>unmodified</status>
      <modifiedWord/>
      <trackRevisions>false</trackRevisions>
    </reviewItem>
    <reviewItem>
      <errorID>563548eb-cc41-414e-b04c-99a0f65fc9f8</errorID>
      <errorWord>)</errorWord>
      <group>L1_Format</group>
      <groupName>格式问题</groupName>
      <ability>L2_HalfPunc</ability>
      <abilityName>全半角检查</abilityName>
      <candidateList>
        <item>）</item>
      </candidateList>
      <explain>文本全半角错误。</explain>
      <paraID>20999BE8</paraID>
      <start>9</start>
      <end>10</end>
      <status>unmodified</status>
      <modifiedWord/>
      <trackRevisions>false</trackRevisions>
    </reviewItem>
    <reviewItem>
      <errorID>8d16f2a4-7d0d-4797-be6d-73159932ecb0</errorID>
      <errorWord>(</errorWord>
      <group>L1_Format</group>
      <groupName>格式问题</groupName>
      <ability>L2_HalfPunc</ability>
      <abilityName>全半角检查</abilityName>
      <candidateList>
        <item>（</item>
      </candidateList>
      <explain>文本全半角错误。</explain>
      <paraID>4DC6F2F5</paraID>
      <start>9</start>
      <end>10</end>
      <status>unmodified</status>
      <modifiedWord/>
      <trackRevisions>false</trackRevisions>
    </reviewItem>
    <reviewItem>
      <errorID>1ca50618-2da1-4e9e-bbef-463488b4bbaf</errorID>
      <errorWord>)</errorWord>
      <group>L1_Format</group>
      <groupName>格式问题</groupName>
      <ability>L2_HalfPunc</ability>
      <abilityName>全半角检查</abilityName>
      <candidateList>
        <item>）</item>
      </candidateList>
      <explain>文本全半角错误。</explain>
      <paraID>4DC6F2F5</paraID>
      <start>13</start>
      <end>14</end>
      <status>unmodified</status>
      <modifiedWord/>
      <trackRevisions>false</trackRevisions>
    </reviewItem>
    <reviewItem>
      <errorID>eb3f297a-dc0f-4201-987f-88249ee2ca23</errorID>
      <errorWord>(</errorWord>
      <group>L1_Format</group>
      <groupName>格式问题</groupName>
      <ability>L2_HalfPunc</ability>
      <abilityName>全半角检查</abilityName>
      <candidateList>
        <item>（</item>
      </candidateList>
      <explain>文本全半角错误。</explain>
      <paraID>3E70BD16</paraID>
      <start>10</start>
      <end>11</end>
      <status>unmodified</status>
      <modifiedWord/>
      <trackRevisions>false</trackRevisions>
    </reviewItem>
    <reviewItem>
      <errorID>d0815b00-cc53-4452-82d2-6811772569af</errorID>
      <errorWord>)</errorWord>
      <group>L1_Format</group>
      <groupName>格式问题</groupName>
      <ability>L2_HalfPunc</ability>
      <abilityName>全半角检查</abilityName>
      <candidateList>
        <item>）</item>
      </candidateList>
      <explain>文本全半角错误。</explain>
      <paraID>3E70BD16</paraID>
      <start>18</start>
      <end>19</end>
      <status>unmodified</status>
      <modifiedWord/>
      <trackRevisions>false</trackRevisions>
    </reviewItem>
    <reviewItem>
      <errorID>185f957c-47ca-45b7-b585-5a396c8ef4eb</errorID>
      <errorWord>(</errorWord>
      <group>L1_Format</group>
      <groupName>格式问题</groupName>
      <ability>L2_HalfPunc</ability>
      <abilityName>全半角检查</abilityName>
      <candidateList>
        <item>（</item>
      </candidateList>
      <explain>文本全半角错误。</explain>
      <paraID>3E1C03D0</paraID>
      <start>42</start>
      <end>43</end>
      <status>unmodified</status>
      <modifiedWord/>
      <trackRevisions>false</trackRevisions>
    </reviewItem>
    <reviewItem>
      <errorID>9c31dc44-fc14-4804-a227-3db4112efc75</errorID>
      <errorWord>)</errorWord>
      <group>L1_Format</group>
      <groupName>格式问题</groupName>
      <ability>L2_HalfPunc</ability>
      <abilityName>全半角检查</abilityName>
      <candidateList>
        <item>）</item>
      </candidateList>
      <explain>文本全半角错误。</explain>
      <paraID>3E1C03D0</paraID>
      <start>44</start>
      <end>45</end>
      <status>unmodified</status>
      <modifiedWord/>
      <trackRevisions>false</trackRevisions>
    </reviewItem>
    <reviewItem>
      <errorID>138393f6-436c-41ad-8c5b-03e2a7c76676</errorID>
      <errorWord>(</errorWord>
      <group>L1_Format</group>
      <groupName>格式问题</groupName>
      <ability>L2_HalfPunc</ability>
      <abilityName>全半角检查</abilityName>
      <candidateList>
        <item>（</item>
      </candidateList>
      <explain>文本全半角错误。</explain>
      <paraID>354D426B</paraID>
      <start>13</start>
      <end>14</end>
      <status>unmodified</status>
      <modifiedWord/>
      <trackRevisions>false</trackRevisions>
    </reviewItem>
    <reviewItem>
      <errorID>18cc6b92-f288-4e87-a764-d81b5ee1e3b5</errorID>
      <errorWord>)</errorWord>
      <group>L1_Format</group>
      <groupName>格式问题</groupName>
      <ability>L2_HalfPunc</ability>
      <abilityName>全半角检查</abilityName>
      <candidateList>
        <item>）</item>
      </candidateList>
      <explain>文本全半角错误。</explain>
      <paraID>354D426B</paraID>
      <start>15</start>
      <end>16</end>
      <status>unmodified</status>
      <modifiedWord/>
      <trackRevisions>false</trackRevisions>
    </reviewItem>
    <reviewItem>
      <errorID>231116f2-63ac-4bdb-b52f-72c871c9003e</errorID>
      <errorWord>(</errorWord>
      <group>L1_Format</group>
      <groupName>格式问题</groupName>
      <ability>L2_HalfPunc</ability>
      <abilityName>全半角检查</abilityName>
      <candidateList>
        <item>（</item>
      </candidateList>
      <explain>文本全半角错误。</explain>
      <paraID>2145FA52</paraID>
      <start>13</start>
      <end>14</end>
      <status>unmodified</status>
      <modifiedWord/>
      <trackRevisions>false</trackRevisions>
    </reviewItem>
    <reviewItem>
      <errorID>f736b001-ab70-42c4-b2b0-ac5ddddac899</errorID>
      <errorWord>)</errorWord>
      <group>L1_Format</group>
      <groupName>格式问题</groupName>
      <ability>L2_HalfPunc</ability>
      <abilityName>全半角检查</abilityName>
      <candidateList>
        <item>）</item>
      </candidateList>
      <explain>文本全半角错误。</explain>
      <paraID>2145FA52</paraID>
      <start>18</start>
      <end>19</end>
      <status>unmodified</status>
      <modifiedWord/>
      <trackRevisions>false</trackRevisions>
    </reviewItem>
    <reviewItem>
      <errorID>3bea3c69-b297-4b54-9427-a0733b53e36d</errorID>
      <errorWord>(</errorWord>
      <group>L1_Format</group>
      <groupName>格式问题</groupName>
      <ability>L2_HalfPunc</ability>
      <abilityName>全半角检查</abilityName>
      <candidateList>
        <item>（</item>
      </candidateList>
      <explain>文本全半角错误。</explain>
      <paraID>2145FA52</paraID>
      <start>24</start>
      <end>25</end>
      <status>unmodified</status>
      <modifiedWord/>
      <trackRevisions>false</trackRevisions>
    </reviewItem>
    <reviewItem>
      <errorID>a56375b5-d294-4870-b8b0-7eb395182579</errorID>
      <errorWord>)</errorWord>
      <group>L1_Format</group>
      <groupName>格式问题</groupName>
      <ability>L2_HalfPunc</ability>
      <abilityName>全半角检查</abilityName>
      <candidateList>
        <item>）</item>
      </candidateList>
      <explain>文本全半角错误。</explain>
      <paraID>2145FA52</paraID>
      <start>29</start>
      <end>30</end>
      <status>unmodified</status>
      <modifiedWord/>
      <trackRevisions>false</trackRevisions>
    </reviewItem>
    <reviewItem>
      <errorID>7da738f5-51e9-4e39-bb8d-40119bc49175</errorID>
      <errorWord>(</errorWord>
      <group>L1_Format</group>
      <groupName>格式问题</groupName>
      <ability>L2_HalfPunc</ability>
      <abilityName>全半角检查</abilityName>
      <candidateList>
        <item>（</item>
      </candidateList>
      <explain>文本全半角错误。</explain>
      <paraID>2145FA52</paraID>
      <start>35</start>
      <end>36</end>
      <status>unmodified</status>
      <modifiedWord/>
      <trackRevisions>false</trackRevisions>
    </reviewItem>
    <reviewItem>
      <errorID>680f10fc-2c4c-47a5-9b61-ac6ce5df2259</errorID>
      <errorWord>)</errorWord>
      <group>L1_Format</group>
      <groupName>格式问题</groupName>
      <ability>L2_HalfPunc</ability>
      <abilityName>全半角检查</abilityName>
      <candidateList>
        <item>）</item>
      </candidateList>
      <explain>文本全半角错误。</explain>
      <paraID>2145FA52</paraID>
      <start>39</start>
      <end>40</end>
      <status>unmodified</status>
      <modifiedWord/>
      <trackRevisions>false</trackRevisions>
    </reviewItem>
    <reviewItem>
      <errorID>0dafbbee-e74d-42ba-ac27-dc51021e62c7</errorID>
      <errorWord>(</errorWord>
      <group>L1_Format</group>
      <groupName>格式问题</groupName>
      <ability>L2_HalfPunc</ability>
      <abilityName>全半角检查</abilityName>
      <candidateList>
        <item>（</item>
      </candidateList>
      <explain>文本全半角错误。</explain>
      <paraID>2145FA52</paraID>
      <start>46</start>
      <end>47</end>
      <status>unmodified</status>
      <modifiedWord/>
      <trackRevisions>false</trackRevisions>
    </reviewItem>
    <reviewItem>
      <errorID>134f34b7-9dd1-4517-b9b3-808b3943cd41</errorID>
      <errorWord>)</errorWord>
      <group>L1_Format</group>
      <groupName>格式问题</groupName>
      <ability>L2_HalfPunc</ability>
      <abilityName>全半角检查</abilityName>
      <candidateList>
        <item>）</item>
      </candidateList>
      <explain>文本全半角错误。</explain>
      <paraID>2145FA52</paraID>
      <start>51</start>
      <end>52</end>
      <status>unmodified</status>
      <modifiedWord/>
      <trackRevisions>false</trackRevisions>
    </reviewItem>
    <reviewItem>
      <errorID>84d858a2-639d-4b1d-a193-64ce4e45dbdd</errorID>
      <errorWord>(</errorWord>
      <group>L1_Format</group>
      <groupName>格式问题</groupName>
      <ability>L2_HalfPunc</ability>
      <abilityName>全半角检查</abilityName>
      <candidateList>
        <item>（</item>
      </candidateList>
      <explain>文本全半角错误。</explain>
      <paraID>2145FA52</paraID>
      <start>60</start>
      <end>61</end>
      <status>unmodified</status>
      <modifiedWord/>
      <trackRevisions>false</trackRevisions>
    </reviewItem>
    <reviewItem>
      <errorID>7e037a86-cda1-467f-aaf6-8b751fff3f1c</errorID>
      <errorWord>)</errorWord>
      <group>L1_Format</group>
      <groupName>格式问题</groupName>
      <ability>L2_HalfPunc</ability>
      <abilityName>全半角检查</abilityName>
      <candidateList>
        <item>）</item>
      </candidateList>
      <explain>文本全半角错误。</explain>
      <paraID>2145FA52</paraID>
      <start>66</start>
      <end>67</end>
      <status>unmodified</status>
      <modifiedWord/>
      <trackRevisions>false</trackRevisions>
    </reviewItem>
    <reviewItem>
      <errorID>c17949c3-ef21-4053-aa40-80d24bb0afc2</errorID>
      <errorWord>(</errorWord>
      <group>L1_Format</group>
      <groupName>格式问题</groupName>
      <ability>L2_HalfPunc</ability>
      <abilityName>全半角检查</abilityName>
      <candidateList>
        <item>（</item>
      </candidateList>
      <explain>文本全半角错误。</explain>
      <paraID>783377F3</paraID>
      <start>14</start>
      <end>15</end>
      <status>unmodified</status>
      <modifiedWord/>
      <trackRevisions>false</trackRevisions>
    </reviewItem>
    <reviewItem>
      <errorID>7f9c5bbd-000a-4f6b-ba04-dafeeaf945e9</errorID>
      <errorWord>)</errorWord>
      <group>L1_Format</group>
      <groupName>格式问题</groupName>
      <ability>L2_HalfPunc</ability>
      <abilityName>全半角检查</abilityName>
      <candidateList>
        <item>）</item>
      </candidateList>
      <explain>文本全半角错误。</explain>
      <paraID>783377F3</paraID>
      <start>22</start>
      <end>23</end>
      <status>unmodified</status>
      <modifiedWord/>
      <trackRevisions>false</trackRevisions>
    </reviewItem>
    <reviewItem>
      <errorID>05bc46a2-45b1-439d-8d16-af1bd9404d60</errorID>
      <errorWord>)</errorWord>
      <group>L1_Format</group>
      <groupName>格式问题</groupName>
      <ability>L2_HalfPunc</ability>
      <abilityName>全半角检查</abilityName>
      <candidateList>
        <item>）</item>
      </candidateList>
      <explain>文本全半角错误。</explain>
      <paraID>2358445A</paraID>
      <start>12</start>
      <end>13</end>
      <status>unmodified</status>
      <modifiedWord/>
      <trackRevisions>false</trackRevisions>
    </reviewItem>
    <reviewItem>
      <errorID>1e157520-66d0-4d90-acb4-3ce2bcd12dc7</errorID>
      <errorWord>)</errorWord>
      <group>L1_Format</group>
      <groupName>格式问题</groupName>
      <ability>L2_HalfPunc</ability>
      <abilityName>全半角检查</abilityName>
      <candidateList>
        <item>）</item>
      </candidateList>
      <explain>文本全半角错误。</explain>
      <paraID>245F33C0</paraID>
      <start>20</start>
      <end>21</end>
      <status>unmodified</status>
      <modifiedWord/>
      <trackRevisions>false</trackRevisions>
    </reviewItem>
    <reviewItem>
      <errorID>ba1eb36e-3374-4e66-83ac-e9bbf98c076d</errorID>
      <errorWord>(</errorWord>
      <group>L1_Format</group>
      <groupName>格式问题</groupName>
      <ability>L2_HalfPunc</ability>
      <abilityName>全半角检查</abilityName>
      <candidateList>
        <item>（</item>
      </candidateList>
      <explain>文本全半角错误。</explain>
      <paraID> 829AC4E</paraID>
      <start>10</start>
      <end>11</end>
      <status>unmodified</status>
      <modifiedWord/>
      <trackRevisions>false</trackRevisions>
    </reviewItem>
    <reviewItem>
      <errorID>feff473f-a792-424a-b553-6c7a13a47c12</errorID>
      <errorWord>)</errorWord>
      <group>L1_Format</group>
      <groupName>格式问题</groupName>
      <ability>L2_HalfPunc</ability>
      <abilityName>全半角检查</abilityName>
      <candidateList>
        <item>）</item>
      </candidateList>
      <explain>文本全半角错误。</explain>
      <paraID> 829AC4E</paraID>
      <start>12</start>
      <end>13</end>
      <status>unmodified</status>
      <modifiedWord/>
      <trackRevisions>false</trackRevisions>
    </reviewItem>
    <reviewItem>
      <errorID>0e3220eb-653e-47a8-8a5d-ddea7fa9afaa</errorID>
      <errorWord>(</errorWord>
      <group>L1_Format</group>
      <groupName>格式问题</groupName>
      <ability>L2_HalfPunc</ability>
      <abilityName>全半角检查</abilityName>
      <candidateList>
        <item>（</item>
      </candidateList>
      <explain>文本全半角错误。</explain>
      <paraID>71D37B6F</paraID>
      <start>19</start>
      <end>20</end>
      <status>unmodified</status>
      <modifiedWord/>
      <trackRevisions>false</trackRevisions>
    </reviewItem>
    <reviewItem>
      <errorID>a8c69e05-596a-4b6d-8887-18e556c49e3a</errorID>
      <errorWord>)</errorWord>
      <group>L1_Format</group>
      <groupName>格式问题</groupName>
      <ability>L2_HalfPunc</ability>
      <abilityName>全半角检查</abilityName>
      <candidateList>
        <item>）</item>
      </candidateList>
      <explain>文本全半角错误。</explain>
      <paraID>71D37B6F</paraID>
      <start>29</start>
      <end>30</end>
      <status>unmodified</status>
      <modifiedWord/>
      <trackRevisions>false</trackRevisions>
    </reviewItem>
    <reviewItem>
      <errorID>f5b8fdf0-6dcd-4163-be8d-c6a8284f056f</errorID>
      <errorWord>(</errorWord>
      <group>L1_Format</group>
      <groupName>格式问题</groupName>
      <ability>L2_HalfPunc</ability>
      <abilityName>全半角检查</abilityName>
      <candidateList>
        <item>（</item>
      </candidateList>
      <explain>文本全半角错误。</explain>
      <paraID>33E22B5E</paraID>
      <start>97</start>
      <end>98</end>
      <status>unmodified</status>
      <modifiedWord/>
      <trackRevisions>false</trackRevisions>
    </reviewItem>
    <reviewItem>
      <errorID>7b4d6ff6-248e-400c-ad25-b806fa399b5d</errorID>
      <errorWord>)</errorWord>
      <group>L1_Format</group>
      <groupName>格式问题</groupName>
      <ability>L2_HalfPunc</ability>
      <abilityName>全半角检查</abilityName>
      <candidateList>
        <item>）</item>
      </candidateList>
      <explain>文本全半角错误。</explain>
      <paraID>33E22B5E</paraID>
      <start>102</start>
      <end>103</end>
      <status>unmodified</status>
      <modifiedWord/>
      <trackRevisions>false</trackRevisions>
    </reviewItem>
    <reviewItem>
      <errorID>eaaff2b0-5f33-47bd-97e2-f2914b66c05d</errorID>
      <errorWord>)</errorWord>
      <group>L1_Format</group>
      <groupName>格式问题</groupName>
      <ability>L2_HalfPunc</ability>
      <abilityName>全半角检查</abilityName>
      <candidateList>
        <item>）</item>
      </candidateList>
      <explain>文本全半角错误。</explain>
      <paraID> 28B37A7</paraID>
      <start>32</start>
      <end>33</end>
      <status>unmodified</status>
      <modifiedWord/>
      <trackRevisions>false</trackRevisions>
    </reviewItem>
    <reviewItem>
      <errorID>142989ae-e47c-44b7-a099-b3c069b86922</errorID>
      <errorWord>)</errorWord>
      <group>L1_Format</group>
      <groupName>格式问题</groupName>
      <ability>L2_HalfPunc</ability>
      <abilityName>全半角检查</abilityName>
      <candidateList>
        <item>）</item>
      </candidateList>
      <explain>文本全半角错误。</explain>
      <paraID>3BF64326</paraID>
      <start>42</start>
      <end>43</end>
      <status>unmodified</status>
      <modifiedWord/>
      <trackRevisions>false</trackRevisions>
    </reviewItem>
    <reviewItem>
      <errorID>a0431a49-3f8a-4348-a085-33ad0ca75987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17817893</paraID>
      <start>0</start>
      <end>2</end>
      <status>unmodified</status>
      <modifiedWord/>
      <trackRevisions>false</trackRevisions>
    </reviewItem>
    <reviewItem>
      <errorID>c44e37a2-c483-4735-a25c-2bcd8ef40395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79A96F10</paraID>
      <start>0</start>
      <end>2</end>
      <status>unmodified</status>
      <modifiedWord/>
      <trackRevisions>false</trackRevisions>
    </reviewItem>
    <reviewItem>
      <errorID>675bdcbd-1398-47e0-bc6e-88dacda25f9c</errorID>
      <errorWord>(</errorWord>
      <group>L1_Format</group>
      <groupName>格式问题</groupName>
      <ability>L2_HalfPunc</ability>
      <abilityName>全半角检查</abilityName>
      <candidateList>
        <item>（</item>
      </candidateList>
      <explain>文本全半角错误。</explain>
      <paraID>1EF6A0C0</paraID>
      <start>46</start>
      <end>47</end>
      <status>unmodified</status>
      <modifiedWord/>
      <trackRevisions>false</trackRevisions>
    </reviewItem>
    <reviewItem>
      <errorID>71d07aa2-28cd-41ca-a471-c449d78f7773</errorID>
      <errorWord>)</errorWord>
      <group>L1_Format</group>
      <groupName>格式问题</groupName>
      <ability>L2_HalfPunc</ability>
      <abilityName>全半角检查</abilityName>
      <candidateList>
        <item>）</item>
      </candidateList>
      <explain>文本全半角错误。</explain>
      <paraID>1EF6A0C0</paraID>
      <start>57</start>
      <end>58</end>
      <status>unmodified</status>
      <modifiedWord/>
      <trackRevisions>false</trackRevisions>
    </reviewItem>
    <reviewItem>
      <errorID>d507d6ee-067f-4a2c-b624-8fbfa31d5955</errorID>
      <errorWord>(</errorWord>
      <group>L1_Format</group>
      <groupName>格式问题</groupName>
      <ability>L2_HalfPunc</ability>
      <abilityName>全半角检查</abilityName>
      <candidateList>
        <item>（</item>
      </candidateList>
      <explain>文本全半角错误。</explain>
      <paraID>1EF6A0C0</paraID>
      <start>71</start>
      <end>72</end>
      <status>unmodified</status>
      <modifiedWord/>
      <trackRevisions>false</trackRevisions>
    </reviewItem>
    <reviewItem>
      <errorID>7afb6757-a99e-45a4-9d39-aeb5f410dfaa</errorID>
      <errorWord>)</errorWord>
      <group>L1_Format</group>
      <groupName>格式问题</groupName>
      <ability>L2_HalfPunc</ability>
      <abilityName>全半角检查</abilityName>
      <candidateList>
        <item>）</item>
      </candidateList>
      <explain>文本全半角错误。</explain>
      <paraID>1EF6A0C0</paraID>
      <start>83</start>
      <end>84</end>
      <status>unmodified</status>
      <modifiedWord/>
      <trackRevisions>false</trackRevisions>
    </reviewItem>
    <reviewItem>
      <errorID>f7ddbe53-f1e5-4dea-993a-50596be95fb2</errorID>
      <errorWord>(</errorWord>
      <group>L1_Format</group>
      <groupName>格式问题</groupName>
      <ability>L2_HalfPunc</ability>
      <abilityName>全半角检查</abilityName>
      <candidateList>
        <item>（</item>
      </candidateList>
      <explain>文本全半角错误。</explain>
      <paraID>2B6DC282</paraID>
      <start>10</start>
      <end>11</end>
      <status>unmodified</status>
      <modifiedWord/>
      <trackRevisions>false</trackRevisions>
    </reviewItem>
    <reviewItem>
      <errorID>0a95dd08-a4f9-4a3d-b361-89b9d63e417d</errorID>
      <errorWord>)</errorWord>
      <group>L1_Format</group>
      <groupName>格式问题</groupName>
      <ability>L2_HalfPunc</ability>
      <abilityName>全半角检查</abilityName>
      <candidateList>
        <item>）</item>
      </candidateList>
      <explain>文本全半角错误。</explain>
      <paraID>2B6DC282</paraID>
      <start>22</start>
      <end>23</end>
      <status>unmodified</status>
      <modifiedWord/>
      <trackRevisions>false</trackRevisions>
    </reviewItem>
    <reviewItem>
      <errorID>79ee4dcd-7c0b-4826-b02d-cd18feb2dcf3</errorID>
      <errorWord>(</errorWord>
      <group>L1_Format</group>
      <groupName>格式问题</groupName>
      <ability>L2_HalfPunc</ability>
      <abilityName>全半角检查</abilityName>
      <candidateList>
        <item>（</item>
      </candidateList>
      <explain>文本全半角错误。</explain>
      <paraID>1B573EFC</paraID>
      <start>10</start>
      <end>11</end>
      <status>unmodified</status>
      <modifiedWord/>
      <trackRevisions>false</trackRevisions>
    </reviewItem>
    <reviewItem>
      <errorID>9f57017f-331c-4116-b543-6588f49c134f</errorID>
      <errorWord>)</errorWord>
      <group>L1_Format</group>
      <groupName>格式问题</groupName>
      <ability>L2_HalfPunc</ability>
      <abilityName>全半角检查</abilityName>
      <candidateList>
        <item>）</item>
      </candidateList>
      <explain>文本全半角错误。</explain>
      <paraID>1B573EFC</paraID>
      <start>22</start>
      <end>23</end>
      <status>unmodified</status>
      <modifiedWord/>
      <trackRevisions>false</trackRevisions>
    </reviewItem>
    <reviewItem>
      <errorID>1447918b-4755-4c4b-955e-50380aca1c73</errorID>
      <errorWord>(</errorWord>
      <group>L1_Format</group>
      <groupName>格式问题</groupName>
      <ability>L2_HalfPunc</ability>
      <abilityName>全半角检查</abilityName>
      <candidateList>
        <item>（</item>
      </candidateList>
      <explain>文本全半角错误。</explain>
      <paraID>6AD4504E</paraID>
      <start>10</start>
      <end>11</end>
      <status>unmodified</status>
      <modifiedWord/>
      <trackRevisions>false</trackRevisions>
    </reviewItem>
    <reviewItem>
      <errorID>62e0bbff-da2a-4bb2-82c5-d059153b17e9</errorID>
      <errorWord>)</errorWord>
      <group>L1_Format</group>
      <groupName>格式问题</groupName>
      <ability>L2_HalfPunc</ability>
      <abilityName>全半角检查</abilityName>
      <candidateList>
        <item>）</item>
      </candidateList>
      <explain>文本全半角错误。</explain>
      <paraID>6AD4504E</paraID>
      <start>22</start>
      <end>23</end>
      <status>unmodified</status>
      <modifiedWord/>
      <trackRevisions>false</trackRevisions>
    </reviewItem>
    <reviewItem>
      <errorID>0d8f8349-2494-46be-a824-8bc191949d37</errorID>
      <errorWord>(</errorWord>
      <group>L1_Format</group>
      <groupName>格式问题</groupName>
      <ability>L2_HalfPunc</ability>
      <abilityName>全半角检查</abilityName>
      <candidateList>
        <item>（</item>
      </candidateList>
      <explain>文本全半角错误。</explain>
      <paraID>1C88BCD0</paraID>
      <start>10</start>
      <end>11</end>
      <status>unmodified</status>
      <modifiedWord/>
      <trackRevisions>false</trackRevisions>
    </reviewItem>
    <reviewItem>
      <errorID>037e5e64-14fd-4013-8d58-71da74739624</errorID>
      <errorWord>)</errorWord>
      <group>L1_Format</group>
      <groupName>格式问题</groupName>
      <ability>L2_HalfPunc</ability>
      <abilityName>全半角检查</abilityName>
      <candidateList>
        <item>）</item>
      </candidateList>
      <explain>文本全半角错误。</explain>
      <paraID>1C88BCD0</paraID>
      <start>22</start>
      <end>23</end>
      <status>unmodified</status>
      <modifiedWord/>
      <trackRevisions>false</trackRevisions>
    </reviewItem>
    <reviewItem>
      <errorID>744e18fe-163b-4755-a1b3-3c9d24a23d35</errorID>
      <errorWord>(</errorWord>
      <group>L1_Format</group>
      <groupName>格式问题</groupName>
      <ability>L2_HalfPunc</ability>
      <abilityName>全半角检查</abilityName>
      <candidateList>
        <item>（</item>
      </candidateList>
      <explain>文本全半角错误。</explain>
      <paraID>17E13535</paraID>
      <start>6</start>
      <end>7</end>
      <status>unmodified</status>
      <modifiedWord/>
      <trackRevisions>false</trackRevisions>
    </reviewItem>
    <reviewItem>
      <errorID>e584983e-7eda-4c15-ac0f-2c3dd6f90f3c</errorID>
      <errorWord>)</errorWord>
      <group>L1_Format</group>
      <groupName>格式问题</groupName>
      <ability>L2_HalfPunc</ability>
      <abilityName>全半角检查</abilityName>
      <candidateList>
        <item>）</item>
      </candidateList>
      <explain>文本全半角错误。</explain>
      <paraID>17E13535</paraID>
      <start>18</start>
      <end>19</end>
      <status>unmodified</status>
      <modifiedWord/>
      <trackRevisions>false</trackRevisions>
    </reviewItem>
    <reviewItem>
      <errorID>fc17cebf-1ef9-477a-806d-81ad6ebf6655</errorID>
      <errorWord>(</errorWord>
      <group>L1_Format</group>
      <groupName>格式问题</groupName>
      <ability>L2_HalfPunc</ability>
      <abilityName>全半角检查</abilityName>
      <candidateList>
        <item>（</item>
      </candidateList>
      <explain>文本全半角错误。</explain>
      <paraID>7F999105</paraID>
      <start>3</start>
      <end>4</end>
      <status>unmodified</status>
      <modifiedWord/>
      <trackRevisions>false</trackRevisions>
    </reviewItem>
    <reviewItem>
      <errorID>308575d0-ce34-4ebf-8781-92078388736c</errorID>
      <errorWord>)</errorWord>
      <group>L1_Format</group>
      <groupName>格式问题</groupName>
      <ability>L2_HalfPunc</ability>
      <abilityName>全半角检查</abilityName>
      <candidateList>
        <item>）</item>
      </candidateList>
      <explain>文本全半角错误。</explain>
      <paraID>7F999105</paraID>
      <start>7</start>
      <end>8</end>
      <status>unmodified</status>
      <modifiedWord/>
      <trackRevisions>false</trackRevisions>
    </reviewItem>
    <reviewItem>
      <errorID>40d3e012-cf74-4176-9d51-8c9be8264b42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420AD038</paraID>
      <start>27</start>
      <end>28</end>
      <status>unmodified</status>
      <modifiedWord/>
      <trackRevisions>false</trackRevisions>
    </reviewItem>
    <reviewItem>
      <errorID>f05e4f79-7f38-4042-b6c0-6ad775a0eb19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21CE3BB3</paraID>
      <start>0</start>
      <end>3</end>
      <status>unmodified</status>
      <modifiedWord/>
      <trackRevisions>false</trackRevisions>
    </reviewItem>
    <reviewItem>
      <errorID>e9bfe332-0860-4aaa-b60d-a8fa3c522555</errorID>
      <errorWord>(</errorWord>
      <group>L1_Format</group>
      <groupName>格式问题</groupName>
      <ability>L2_HalfPunc</ability>
      <abilityName>全半角检查</abilityName>
      <candidateList>
        <item>（</item>
      </candidateList>
      <explain>文本全半角错误。</explain>
      <paraID>25D38598</paraID>
      <start>76</start>
      <end>77</end>
      <status>unmodified</status>
      <modifiedWord/>
      <trackRevisions>false</trackRevisions>
    </reviewItem>
    <reviewItem>
      <errorID>6a8bbb98-32a3-4746-9eb3-0e1106bdcb42</errorID>
      <errorWord>)</errorWord>
      <group>L1_Format</group>
      <groupName>格式问题</groupName>
      <ability>L2_HalfPunc</ability>
      <abilityName>全半角检查</abilityName>
      <candidateList>
        <item>）</item>
      </candidateList>
      <explain>文本全半角错误。</explain>
      <paraID>25D38598</paraID>
      <start>82</start>
      <end>83</end>
      <status>unmodified</status>
      <modifiedWord/>
      <trackRevisions>false</trackRevisions>
    </reviewItem>
    <reviewItem>
      <errorID>d4458839-3d70-4a66-90d0-5598b12e4cc7</errorID>
      <errorWord>(</errorWord>
      <group>L1_Format</group>
      <groupName>格式问题</groupName>
      <ability>L2_HalfPunc</ability>
      <abilityName>全半角检查</abilityName>
      <candidateList>
        <item>（</item>
      </candidateList>
      <explain>文本全半角错误。</explain>
      <paraID>755A4E1B</paraID>
      <start>45</start>
      <end>46</end>
      <status>unmodified</status>
      <modifiedWord/>
      <trackRevisions>false</trackRevisions>
    </reviewItem>
    <reviewItem>
      <errorID>e3ab2d08-88c5-4321-b6a2-8eec7c9aedc2</errorID>
      <errorWord>)</errorWord>
      <group>L1_Format</group>
      <groupName>格式问题</groupName>
      <ability>L2_HalfPunc</ability>
      <abilityName>全半角检查</abilityName>
      <candidateList>
        <item>）</item>
      </candidateList>
      <explain>文本全半角错误。</explain>
      <paraID>755A4E1B</paraID>
      <start>58</start>
      <end>59</end>
      <status>unmodified</status>
      <modifiedWord/>
      <trackRevisions>false</trackRevisions>
    </reviewItem>
    <reviewItem>
      <errorID>798fa5d7-9747-416f-8bf5-6fc4a769ed2a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6C134AE2</paraID>
      <start>0</start>
      <end>3</end>
      <status>unmodified</status>
      <modifiedWord/>
      <trackRevisions>false</trackRevisions>
    </reviewItem>
    <reviewItem>
      <errorID>b2aa6681-c199-4259-83d2-082040d30bd1</errorID>
      <errorWord>(</errorWord>
      <group>L1_Format</group>
      <groupName>格式问题</groupName>
      <ability>L2_HalfPunc</ability>
      <abilityName>全半角检查</abilityName>
      <candidateList>
        <item>（</item>
      </candidateList>
      <explain>文本全半角错误。</explain>
      <paraID> DBE43A4</paraID>
      <start>19</start>
      <end>20</end>
      <status>unmodified</status>
      <modifiedWord/>
      <trackRevisions>false</trackRevisions>
    </reviewItem>
    <reviewItem>
      <errorID>abb3d416-b777-431a-926d-b8c1a5860715</errorID>
      <errorWord>)</errorWord>
      <group>L1_Format</group>
      <groupName>格式问题</groupName>
      <ability>L2_HalfPunc</ability>
      <abilityName>全半角检查</abilityName>
      <candidateList>
        <item>）</item>
      </candidateList>
      <explain>文本全半角错误。</explain>
      <paraID> DBE43A4</paraID>
      <start>30</start>
      <end>31</end>
      <status>unmodified</status>
      <modifiedWord/>
      <trackRevisions>false</trackRevisions>
    </reviewItem>
    <reviewItem>
      <errorID>c75d48db-76ea-4381-9bc1-1b11f441a75b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DBE43A4</paraID>
      <start>71</start>
      <end>72</end>
      <status>unmodified</status>
      <modifiedWord/>
      <trackRevisions>false</trackRevisions>
    </reviewItem>
    <reviewItem>
      <errorID>4ec40e4b-79ed-4e07-a3dc-f12e40c22ac1</errorID>
      <errorWord>(</errorWord>
      <group>L1_Format</group>
      <groupName>格式问题</groupName>
      <ability>L2_HalfPunc</ability>
      <abilityName>全半角检查</abilityName>
      <candidateList>
        <item>（</item>
      </candidateList>
      <explain>文本全半角错误。</explain>
      <paraID> DBE43A4</paraID>
      <start>122</start>
      <end>123</end>
      <status>unmodified</status>
      <modifiedWord/>
      <trackRevisions>false</trackRevisions>
    </reviewItem>
    <reviewItem>
      <errorID>feeb1766-ec7e-4f72-ad3c-cce45435d7a2</errorID>
      <errorWord>)</errorWord>
      <group>L1_Format</group>
      <groupName>格式问题</groupName>
      <ability>L2_HalfPunc</ability>
      <abilityName>全半角检查</abilityName>
      <candidateList>
        <item>）</item>
      </candidateList>
      <explain>文本全半角错误。</explain>
      <paraID> DBE43A4</paraID>
      <start>135</start>
      <end>136</end>
      <status>unmodified</status>
      <modifiedWord/>
      <trackRevisions>false</trackRevisions>
    </reviewItem>
    <reviewItem>
      <errorID>9b6c6652-3b21-4713-babf-a61ec3bf1b00</errorID>
      <errorWord>(</errorWord>
      <group>L1_Format</group>
      <groupName>格式问题</groupName>
      <ability>L2_HalfPunc</ability>
      <abilityName>全半角检查</abilityName>
      <candidateList>
        <item>（</item>
      </candidateList>
      <explain>文本全半角错误。</explain>
      <paraID>5A7D5E3C</paraID>
      <start>19</start>
      <end>20</end>
      <status>unmodified</status>
      <modifiedWord/>
      <trackRevisions>false</trackRevisions>
    </reviewItem>
    <reviewItem>
      <errorID>4a572c78-90d2-4778-b97f-008c3427e529</errorID>
      <errorWord>)</errorWord>
      <group>L1_Format</group>
      <groupName>格式问题</groupName>
      <ability>L2_HalfPunc</ability>
      <abilityName>全半角检查</abilityName>
      <candidateList>
        <item>）</item>
      </candidateList>
      <explain>文本全半角错误。</explain>
      <paraID>5A7D5E3C</paraID>
      <start>30</start>
      <end>31</end>
      <status>unmodified</status>
      <modifiedWord/>
      <trackRevisions>false</trackRevisions>
    </reviewItem>
    <reviewItem>
      <errorID>e940bde0-a522-41bc-9d38-e9a51eaa9e15</errorID>
      <errorWord>)</errorWord>
      <group>L1_Format</group>
      <groupName>格式问题</groupName>
      <ability>L2_HalfPunc</ability>
      <abilityName>全半角检查</abilityName>
      <candidateList>
        <item>）</item>
      </candidateList>
      <explain>文本全半角错误。</explain>
      <paraID>66238CC5</paraID>
      <start>52</start>
      <end>53</end>
      <status>unmodified</status>
      <modifiedWord/>
      <trackRevisions>false</trackRevisions>
    </reviewItem>
    <reviewItem>
      <errorID>57c34a79-4424-4e2d-af4f-4cbe61562685</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77C4FD24</paraID>
      <start>40</start>
      <end>41</end>
      <status>unmodified</status>
      <modifiedWord/>
      <trackRevisions>false</trackRevisions>
    </reviewItem>
    <reviewItem>
      <errorID>0e9637c5-9e02-44d5-ad9b-e2239f79f901</errorID>
      <errorWord>(</errorWord>
      <group>L1_Format</group>
      <groupName>格式问题</groupName>
      <ability>L2_HalfPunc</ability>
      <abilityName>全半角检查</abilityName>
      <candidateList>
        <item>（</item>
      </candidateList>
      <explain>文本全半角错误。</explain>
      <paraID>6D6838E5</paraID>
      <start>46</start>
      <end>47</end>
      <status>unmodified</status>
      <modifiedWord/>
      <trackRevisions>false</trackRevisions>
    </reviewItem>
    <reviewItem>
      <errorID>8b6a2d31-830c-45d7-802d-75a559e133b7</errorID>
      <errorWord>)</errorWord>
      <group>L1_Format</group>
      <groupName>格式问题</groupName>
      <ability>L2_HalfPunc</ability>
      <abilityName>全半角检查</abilityName>
      <candidateList>
        <item>）</item>
      </candidateList>
      <explain>文本全半角错误。</explain>
      <paraID>6D6838E5</paraID>
      <start>57</start>
      <end>58</end>
      <status>unmodified</status>
      <modifiedWord/>
      <trackRevisions>false</trackRevisions>
    </reviewItem>
    <reviewItem>
      <errorID>70c8e80d-9f54-4690-9ccf-a716808cec26</errorID>
      <errorWord>-</errorWord>
      <group>L1_Format</group>
      <groupName>格式问题</groupName>
      <ability>L2_HalfPunc</ability>
      <abilityName>全半角检查</abilityName>
      <candidateList>
        <item>－</item>
      </candidateList>
      <explain>文本全半角错误。</explain>
      <paraID>7CC46CE7</paraID>
      <start>9</start>
      <end>10</end>
      <status>unmodified</status>
      <modifiedWord/>
      <trackRevisions>false</trackRevisions>
    </reviewItem>
    <reviewItem>
      <errorID>93f33425-5fa6-4184-aea6-1114178666dc</errorID>
      <errorWord>-</errorWord>
      <group>L1_Format</group>
      <groupName>格式问题</groupName>
      <ability>L2_HalfPunc</ability>
      <abilityName>全半角检查</abilityName>
      <candidateList>
        <item>－</item>
      </candidateList>
      <explain>文本全半角错误。</explain>
      <paraID>7CC46CE7</paraID>
      <start>12</start>
      <end>13</end>
      <status>unmodified</status>
      <modifiedWord/>
      <trackRevisions>false</trackRevisions>
    </reviewItem>
    <reviewItem>
      <errorID>02cd8985-3c8b-45a6-b7c7-a1eb631b0211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7921768B</paraID>
      <start>0</start>
      <end>2</end>
      <status>unmodified</status>
      <modifiedWord/>
      <trackRevisions>false</trackRevisions>
    </reviewItem>
    <reviewItem>
      <errorID>717ade49-eebe-4727-9032-308f6e5fa3ea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26B77A4A</paraID>
      <start>0</start>
      <end>2</end>
      <status>unmodified</status>
      <modifiedWord/>
      <trackRevisions>false</trackRevisions>
    </reviewItem>
    <reviewItem>
      <errorID>17713a8d-d44a-4274-8024-7cd5b8546a3d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45BDF10E</paraID>
      <start>0</start>
      <end>2</end>
      <status>unmodified</status>
      <modifiedWord/>
      <trackRevisions>false</trackRevisions>
    </reviewItem>
    <reviewItem>
      <errorID>b1cd83da-4a0f-4c33-b2b0-5416b21c2580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70AFE1E2</paraID>
      <start>0</start>
      <end>2</end>
      <status>unmodified</status>
      <modifiedWord/>
      <trackRevisions>false</trackRevisions>
    </reviewItem>
    <reviewItem>
      <errorID>49a1fa6e-d941-4f34-99ea-9a442aa2c3e2</errorID>
      <errorWord>转输</errorWord>
      <group>L1_Word</group>
      <groupName>字词问题</groupName>
      <ability>L2_Typo</ability>
      <abilityName>字词错误</abilityName>
      <candidateList>
        <item>传输</item>
      </candidateList>
      <explain>存在发音相同字词的误用。</explain>
      <paraID>5C6BF521</paraID>
      <start>10</start>
      <end>12</end>
      <status>unmodified</status>
      <modifiedWord/>
      <trackRevisions>false</trackRevisions>
    </reviewItem>
    <reviewItem>
      <errorID>407feae0-c91e-4d10-93c9-60f34b55c6b6</errorID>
      <errorWord>。</errorWord>
      <group>L1_Format</group>
      <groupName>格式问题</groupName>
      <ability>L2_HalfPunc</ability>
      <abilityName>全半角检查</abilityName>
      <candidateList>
        <item>.</item>
      </candidateList>
      <explain>文本全半角错误。</explain>
      <paraID>18510F4D</paraID>
      <start>6</start>
      <end>7</end>
      <status>unmodified</status>
      <modifiedWord/>
      <trackRevisions>false</trackRevisions>
    </reviewItem>
    <reviewItem>
      <errorID>3daec7c3-e2ee-4a0f-ba80-4e53a92c84ab</errorID>
      <errorWord>(</errorWord>
      <group>L1_Format</group>
      <groupName>格式问题</groupName>
      <ability>L2_HalfPunc</ability>
      <abilityName>全半角检查</abilityName>
      <candidateList>
        <item>（</item>
      </candidateList>
      <explain>文本全半角错误。</explain>
      <paraID>6A634C0C</paraID>
      <start>24</start>
      <end>25</end>
      <status>unmodified</status>
      <modifiedWord/>
      <trackRevisions>false</trackRevisions>
    </reviewItem>
    <reviewItem>
      <errorID>18834b6a-64c4-4eb8-ad3c-9d473ec3a64e</errorID>
      <errorWord>(</errorWord>
      <group>L1_Format</group>
      <groupName>格式问题</groupName>
      <ability>L2_HalfPunc</ability>
      <abilityName>全半角检查</abilityName>
      <candidateList>
        <item>（</item>
      </candidateList>
      <explain>文本全半角错误。</explain>
      <paraID>6C7FD923</paraID>
      <start>3</start>
      <end>4</end>
      <status>unmodified</status>
      <modifiedWord/>
      <trackRevisions>false</trackRevisions>
    </reviewItem>
    <reviewItem>
      <errorID>850a31c0-b9f1-4bbf-8d29-681d267be2c1</errorID>
      <errorWord>)</errorWord>
      <group>L1_Format</group>
      <groupName>格式问题</groupName>
      <ability>L2_HalfPunc</ability>
      <abilityName>全半角检查</abilityName>
      <candidateList>
        <item>）</item>
      </candidateList>
      <explain>文本全半角错误。</explain>
      <paraID>6C7FD923</paraID>
      <start>9</start>
      <end>10</end>
      <status>unmodified</status>
      <modifiedWord/>
      <trackRevisions>false</trackRevisions>
    </reviewItem>
    <reviewItem>
      <errorID>084b1918-ea66-44e2-8e51-9f85b27f57c6</errorID>
      <errorWord>(</errorWord>
      <group>L1_Format</group>
      <groupName>格式问题</groupName>
      <ability>L2_HalfPunc</ability>
      <abilityName>全半角检查</abilityName>
      <candidateList>
        <item>（</item>
      </candidateList>
      <explain>文本全半角错误。</explain>
      <paraID>118FC6E2</paraID>
      <start>10</start>
      <end>11</end>
      <status>unmodified</status>
      <modifiedWord/>
      <trackRevisions>false</trackRevisions>
    </reviewItem>
    <reviewItem>
      <errorID>16e050c1-7de0-40c7-8331-3b3b643844d6</errorID>
      <errorWord>)</errorWord>
      <group>L1_Format</group>
      <groupName>格式问题</groupName>
      <ability>L2_HalfPunc</ability>
      <abilityName>全半角检查</abilityName>
      <candidateList>
        <item>）</item>
      </candidateList>
      <explain>文本全半角错误。</explain>
      <paraID>118FC6E2</paraID>
      <start>22</start>
      <end>23</end>
      <status>unmodified</status>
      <modifiedWord/>
      <trackRevisions>false</trackRevisions>
    </reviewItem>
    <reviewItem>
      <errorID>6c85f737-ca2c-430e-8857-f8121d98435a</errorID>
      <errorWord>(</errorWord>
      <group>L1_Format</group>
      <groupName>格式问题</groupName>
      <ability>L2_HalfPunc</ability>
      <abilityName>全半角检查</abilityName>
      <candidateList>
        <item>（</item>
      </candidateList>
      <explain>文本全半角错误。</explain>
      <paraID>118FC6E2</paraID>
      <start>54</start>
      <end>55</end>
      <status>unmodified</status>
      <modifiedWord/>
      <trackRevisions>false</trackRevisions>
    </reviewItem>
    <reviewItem>
      <errorID>c979c028-cb11-4635-aa75-44030e484a6e</errorID>
      <errorWord>)</errorWord>
      <group>L1_Format</group>
      <groupName>格式问题</groupName>
      <ability>L2_HalfPunc</ability>
      <abilityName>全半角检查</abilityName>
      <candidateList>
        <item>）</item>
      </candidateList>
      <explain>文本全半角错误。</explain>
      <paraID>118FC6E2</paraID>
      <start>69</start>
      <end>70</end>
      <status>unmodified</status>
      <modifiedWord/>
      <trackRevisions>false</trackRevisions>
    </reviewItem>
    <reviewItem>
      <errorID>a2f88e39-2081-4d66-a6f9-4af4e94cf752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6185C399</paraID>
      <start>0</start>
      <end>2</end>
      <status>unmodified</status>
      <modifiedWord/>
      <trackRevisions>false</trackRevisions>
    </reviewItem>
    <reviewItem>
      <errorID>2b1683ba-bb67-477d-afea-146df87f400f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63AD9E1F</paraID>
      <start>0</start>
      <end>2</end>
      <status>unmodified</status>
      <modifiedWord/>
      <trackRevisions>false</trackRevisions>
    </reviewItem>
    <reviewItem>
      <errorID>630f0fce-4600-4abb-90ca-7876f1b0a29f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1697E76D</paraID>
      <start>0</start>
      <end>2</end>
      <status>unmodified</status>
      <modifiedWord/>
      <trackRevisions>false</trackRevisions>
    </reviewItem>
    <reviewItem>
      <errorID>22e0c640-949c-456d-94d4-f0f7a993a70c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1D3DE35E</paraID>
      <start>0</start>
      <end>2</end>
      <status>unmodified</status>
      <modifiedWord/>
      <trackRevisions>false</trackRevisions>
    </reviewItem>
    <reviewItem>
      <errorID>8fba2997-575b-4f80-b6f8-dfcb24a59160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6A48572D</paraID>
      <start>0</start>
      <end>2</end>
      <status>unmodified</status>
      <modifiedWord/>
      <trackRevisions>false</trackRevisions>
    </reviewItem>
    <reviewItem>
      <errorID>ef7a7893-f114-401e-9cc9-d65b16deb19a</errorID>
      <errorWord>(</errorWord>
      <group>L1_Format</group>
      <groupName>格式问题</groupName>
      <ability>L2_HalfPunc</ability>
      <abilityName>全半角检查</abilityName>
      <candidateList>
        <item>（</item>
      </candidateList>
      <explain>文本全半角错误。</explain>
      <paraID>1E38173D</paraID>
      <start>52</start>
      <end>53</end>
      <status>unmodified</status>
      <modifiedWord/>
      <trackRevisions>false</trackRevisions>
    </reviewItem>
    <reviewItem>
      <errorID>749e7211-e22f-4551-b689-a51cea9d45ec</errorID>
      <errorWord>)</errorWord>
      <group>L1_Format</group>
      <groupName>格式问题</groupName>
      <ability>L2_HalfPunc</ability>
      <abilityName>全半角检查</abilityName>
      <candidateList>
        <item>）</item>
      </candidateList>
      <explain>文本全半角错误。</explain>
      <paraID>1E38173D</paraID>
      <start>65</start>
      <end>66</end>
      <status>unmodified</status>
      <modifiedWord/>
      <trackRevisions>false</trackRevisions>
    </reviewItem>
    <reviewItem>
      <errorID>88f9ac2d-5ae6-48be-bb03-cef25c550229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2B2C651A</paraID>
      <start>0</start>
      <end>2</end>
      <status>unmodified</status>
      <modifiedWord/>
      <trackRevisions>false</trackRevisions>
    </reviewItem>
    <reviewItem>
      <errorID>d911b3c6-d2df-4889-b735-69387b57289f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6EFFCB39</paraID>
      <start>0</start>
      <end>2</end>
      <status>unmodified</status>
      <modifiedWord/>
      <trackRevisions>false</trackRevisions>
    </reviewItem>
    <reviewItem>
      <errorID>049e1f29-417d-4ece-9014-640f9816b54c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28C95792</paraID>
      <start>0</start>
      <end>2</end>
      <status>unmodified</status>
      <modifiedWord/>
      <trackRevisions>false</trackRevisions>
    </reviewItem>
    <reviewItem>
      <errorID>2cfa4c37-1f7a-45ff-b5c4-fecbfd958cc8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4F3142D8</paraID>
      <start>0</start>
      <end>2</end>
      <status>unmodified</status>
      <modifiedWord/>
      <trackRevisions>false</trackRevisions>
    </reviewItem>
    <reviewItem>
      <errorID>ddc164ba-e3cd-4d03-997a-2eb8a0ac33a0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2AB59A9D</paraID>
      <start>0</start>
      <end>2</end>
      <status>unmodified</status>
      <modifiedWord/>
      <trackRevisions>false</trackRevisions>
    </reviewItem>
    <reviewItem>
      <errorID>6ca41110-c537-4cad-ad42-2b2269add686</errorID>
      <errorWord>[2017]4号</errorWord>
      <group>L1_Knowledge</group>
      <groupName>知识性问题</groupName>
      <ability>L2_Knowledge</ability>
      <abilityName>其他知识</abilityName>
      <candidateList>
        <item>〔2017〕4号</item>
      </candidateList>
      <explain>发文字号格式错误。</explain>
      <paraID>1545101D</paraID>
      <start>48</start>
      <end>56</end>
      <status>unmodified</status>
      <modifiedWord/>
      <trackRevisions>false</trackRevisions>
    </reviewItem>
    <reviewItem>
      <errorID>6312bbda-16ba-45e1-ad58-1f1eff7651ec</errorID>
      <errorWord>;</errorWord>
      <group>L1_Format</group>
      <groupName>格式问题</groupName>
      <ability>L2_HalfPunc</ability>
      <abilityName>全半角检查</abilityName>
      <candidateList>
        <item>；</item>
      </candidateList>
      <explain>文本全半角错误。</explain>
      <paraID>1E5BA67B</paraID>
      <start>110</start>
      <end>111</end>
      <status>unmodified</status>
      <modifiedWord/>
      <trackRevisions>false</trackRevisions>
    </reviewItem>
    <reviewItem>
      <errorID>c73482a2-ebfe-4a7c-ab49-8f926195ebcb</errorID>
      <errorWord>;</errorWord>
      <group>L1_Format</group>
      <groupName>格式问题</groupName>
      <ability>L2_HalfPunc</ability>
      <abilityName>全半角检查</abilityName>
      <candidateList>
        <item>；</item>
      </candidateList>
      <explain>文本全半角错误。</explain>
      <paraID>1E5BA67B</paraID>
      <start>147</start>
      <end>148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b81a52-46e1-4ebe-8e8f-12f4aa74f955}">
  <ds:schemaRefs/>
</ds:datastoreItem>
</file>

<file path=docProps/app.xml><?xml version="1.0" encoding="utf-8"?>
<Properties xmlns="http://schemas.openxmlformats.org/officeDocument/2006/extended-properties" xmlns:vt="http://schemas.openxmlformats.org/officeDocument/2006/docPropsVTypes">
  <Template>wdzx97.dot</Template>
  <Company>微软中国</Company>
  <Pages>118</Pages>
  <Words>232</Words>
  <Characters>269</Characters>
  <Lines>764</Lines>
  <Paragraphs>215</Paragraphs>
  <TotalTime>14</TotalTime>
  <ScaleCrop>false</ScaleCrop>
  <LinksUpToDate>false</LinksUpToDate>
  <CharactersWithSpaces>311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2024-01-21T12:33:00Z</dcterms:created>
  <dc:creator>lhj</dc:creator>
  <cp:lastModifiedBy>Colin</cp:lastModifiedBy>
  <cp:lastPrinted>2024-02-25T08:07:00Z</cp:lastPrinted>
  <dcterms:modified xsi:type="dcterms:W3CDTF">2026-08-05T08:06:34Z</dcterms:modified>
  <dc:title>附件2</dc:title>
  <cp:revision>133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C0E42D2CDCB34A3182742992BB1B1366_13</vt:lpwstr>
  </property>
  <property fmtid="{D5CDD505-2E9C-101B-9397-08002B2CF9AE}" pid="4" name="KSOTemplateDocerSaveRecord">
    <vt:lpwstr>eyJoZGlkIjoiN2ZkN2U0NTE2ZWZjNGNkOGYwMTY5ODIwZjEyYjUxNGMiLCJ1c2VySWQiOiI1NTQyNzYyNzIifQ==</vt:lpwstr>
  </property>
</Properties>
</file>