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2186"/>
        <w:gridCol w:w="5148"/>
      </w:tblGrid>
      <w:tr w:rsidR="00DC0759" w:rsidRPr="006E6AEF" w:rsidTr="001E091C">
        <w:trPr>
          <w:trHeight w:val="699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pt;margin-top:-31.7pt;width:397.4pt;height:39.15pt;z-index:251658240" strokecolor="white">
                  <v:textbox style="mso-next-textbox:#_x0000_s1026;mso-fit-shape-to-text:t">
                    <w:txbxContent>
                      <w:p w:rsidR="00DC0759" w:rsidRPr="008712F5" w:rsidRDefault="00DC0759" w:rsidP="001E091C">
                        <w:pPr>
                          <w:rPr>
                            <w:rFonts w:ascii="方正小标宋简体" w:eastAsia="方正小标宋简体"/>
                            <w:sz w:val="36"/>
                            <w:szCs w:val="36"/>
                          </w:rPr>
                        </w:pPr>
                        <w:r w:rsidRPr="00FC387C">
                          <w:rPr>
                            <w:rFonts w:ascii="方正小标宋简体" w:eastAsia="方正小标宋简体" w:hint="eastAsia"/>
                            <w:sz w:val="36"/>
                            <w:szCs w:val="36"/>
                          </w:rPr>
                          <w:t>福州高新区</w:t>
                        </w:r>
                        <w:r>
                          <w:rPr>
                            <w:rFonts w:ascii="方正小标宋简体" w:eastAsia="方正小标宋简体"/>
                            <w:sz w:val="36"/>
                            <w:szCs w:val="36"/>
                          </w:rPr>
                          <w:t>2017</w:t>
                        </w:r>
                        <w:r w:rsidRPr="00FC387C">
                          <w:rPr>
                            <w:rFonts w:ascii="方正小标宋简体" w:eastAsia="方正小标宋简体" w:hint="eastAsia"/>
                            <w:sz w:val="36"/>
                            <w:szCs w:val="36"/>
                          </w:rPr>
                          <w:t>年公立小学划片方案</w:t>
                        </w:r>
                      </w:p>
                    </w:txbxContent>
                  </v:textbox>
                </v:shape>
              </w:pict>
            </w:r>
            <w:r w:rsidRPr="006E6AE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b/>
                <w:sz w:val="28"/>
                <w:szCs w:val="28"/>
              </w:rPr>
            </w:pPr>
            <w:r w:rsidRPr="006E6AEF"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b/>
                <w:sz w:val="28"/>
                <w:szCs w:val="28"/>
              </w:rPr>
            </w:pPr>
            <w:r w:rsidRPr="006E6AEF">
              <w:rPr>
                <w:rFonts w:hint="eastAsia"/>
                <w:b/>
                <w:sz w:val="28"/>
                <w:szCs w:val="28"/>
              </w:rPr>
              <w:t>划片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高新区第一中心小学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五都村、南前村</w:t>
            </w:r>
            <w:r w:rsidRPr="006E6AEF">
              <w:rPr>
                <w:rFonts w:ascii="仿宋" w:eastAsia="仿宋" w:hAnsi="仿宋"/>
                <w:sz w:val="32"/>
                <w:szCs w:val="32"/>
              </w:rPr>
              <w:t>117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县道以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西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部分自然村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国营林场，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融侨宜家楼盘业主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入住并落户的适龄儿童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高新区第一中心小学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（旗山分校）（暂寄福州高新区第一中心小学）</w:t>
            </w:r>
          </w:p>
        </w:tc>
        <w:tc>
          <w:tcPr>
            <w:tcW w:w="5148" w:type="dxa"/>
            <w:vAlign w:val="center"/>
          </w:tcPr>
          <w:p w:rsidR="00DC0759" w:rsidRPr="00A94678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中溪村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，大屿香颂、</w:t>
            </w:r>
            <w:r w:rsidRPr="00A94678">
              <w:rPr>
                <w:rFonts w:ascii="仿宋" w:eastAsia="仿宋" w:hAnsi="仿宋" w:hint="eastAsia"/>
                <w:sz w:val="32"/>
                <w:szCs w:val="32"/>
              </w:rPr>
              <w:t>正祥林语墅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楼盘业主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入住并落户的适龄儿童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高新区第一中心小学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分校）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南井村的适龄儿童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高新区第一中心小学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（芝田分校）</w:t>
            </w:r>
          </w:p>
        </w:tc>
        <w:tc>
          <w:tcPr>
            <w:tcW w:w="5148" w:type="dxa"/>
            <w:vAlign w:val="center"/>
          </w:tcPr>
          <w:p w:rsidR="00DC0759" w:rsidRPr="00B37A95" w:rsidRDefault="00DC0759" w:rsidP="001E091C">
            <w:pPr>
              <w:jc w:val="center"/>
              <w:rPr>
                <w:noProof/>
              </w:rPr>
            </w:pPr>
            <w:r w:rsidRPr="00B37A95">
              <w:rPr>
                <w:rFonts w:ascii="仿宋" w:eastAsia="仿宋" w:hAnsi="仿宋" w:hint="eastAsia"/>
                <w:sz w:val="32"/>
                <w:szCs w:val="32"/>
              </w:rPr>
              <w:t>芝田村、茂田村的适龄儿童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南屿中心小学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、南前村</w:t>
            </w:r>
            <w:r w:rsidRPr="006E6AEF">
              <w:rPr>
                <w:rFonts w:ascii="仿宋" w:eastAsia="仿宋" w:hAnsi="仿宋"/>
                <w:sz w:val="32"/>
                <w:szCs w:val="32"/>
              </w:rPr>
              <w:t>117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县道以东部分自然村、后山村、流洲村、九都村、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玉田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、桐南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、葛岐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、晓岐村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、镇直单位、居民</w:t>
            </w:r>
            <w:r>
              <w:rPr>
                <w:rFonts w:ascii="仿宋" w:eastAsia="仿宋" w:hAnsi="仿宋"/>
                <w:sz w:val="32"/>
                <w:szCs w:val="32"/>
              </w:rPr>
              <w:t>,</w:t>
            </w:r>
            <w:r w:rsidRPr="005C534C">
              <w:rPr>
                <w:rFonts w:ascii="仿宋" w:eastAsia="仿宋" w:hAnsi="仿宋" w:hint="eastAsia"/>
                <w:sz w:val="32"/>
                <w:szCs w:val="32"/>
              </w:rPr>
              <w:t>旗山领秀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楼盘业主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入住并落户的适龄儿童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南屿第二中心小学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六十份村、柳浪村，龙旺、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顺华·世纪欧洲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泰禾红悦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阳光城翡丽湾（南屿滨江城）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楼盘业主入住并落户的适龄儿童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江口小学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江口村的适龄儿童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尧沙小学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尧沙村的适龄儿童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新联小学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新联村的适龄儿童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高岐小学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高岐村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CE5F2B">
              <w:rPr>
                <w:rFonts w:ascii="仿宋" w:eastAsia="仿宋" w:hAnsi="仿宋" w:hint="eastAsia"/>
                <w:sz w:val="32"/>
                <w:szCs w:val="32"/>
              </w:rPr>
              <w:t>三盛托斯卡纳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楼盘业主入住并落户的适龄儿童</w:t>
            </w:r>
            <w:r>
              <w:rPr>
                <w:rFonts w:ascii="仿宋" w:eastAsia="仿宋" w:hAnsi="仿宋"/>
                <w:sz w:val="32"/>
                <w:szCs w:val="32"/>
              </w:rPr>
              <w:t>(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可选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南屿第二中心小学</w:t>
            </w:r>
            <w:r>
              <w:rPr>
                <w:rFonts w:ascii="仿宋" w:eastAsia="仿宋" w:hAnsi="仿宋"/>
                <w:sz w:val="32"/>
                <w:szCs w:val="32"/>
              </w:rPr>
              <w:t>)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元峰小学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元峰村的适龄儿童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建平小学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建平村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815FF4">
              <w:rPr>
                <w:rFonts w:ascii="仿宋" w:eastAsia="仿宋" w:hAnsi="仿宋" w:hint="eastAsia"/>
                <w:sz w:val="32"/>
                <w:szCs w:val="32"/>
              </w:rPr>
              <w:t>中海寰宇天下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、万科又一城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楼盘业主入住并落户的适龄儿童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新洲小学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新洲村、厚庭村、马排村的适龄儿童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双龙小学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双龙村的适龄儿童</w:t>
            </w:r>
          </w:p>
        </w:tc>
      </w:tr>
      <w:tr w:rsidR="00DC0759" w:rsidRPr="006E6AEF" w:rsidTr="001E091C">
        <w:trPr>
          <w:trHeight w:val="74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窗厦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窗厦村的适龄儿童</w:t>
            </w:r>
          </w:p>
        </w:tc>
      </w:tr>
      <w:tr w:rsidR="00DC0759" w:rsidRPr="006E6AEF" w:rsidTr="001E091C">
        <w:trPr>
          <w:trHeight w:val="866"/>
        </w:trPr>
        <w:tc>
          <w:tcPr>
            <w:tcW w:w="118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16</w:t>
            </w:r>
          </w:p>
        </w:tc>
        <w:tc>
          <w:tcPr>
            <w:tcW w:w="2186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闽江师范高等专科学校附属实验小学</w:t>
            </w:r>
          </w:p>
        </w:tc>
        <w:tc>
          <w:tcPr>
            <w:tcW w:w="5148" w:type="dxa"/>
            <w:vAlign w:val="center"/>
          </w:tcPr>
          <w:p w:rsidR="00DC0759" w:rsidRPr="006E6AEF" w:rsidRDefault="00DC0759" w:rsidP="001E0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马保村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CC1731">
              <w:rPr>
                <w:rFonts w:ascii="仿宋" w:eastAsia="仿宋" w:hAnsi="仿宋" w:hint="eastAsia"/>
                <w:sz w:val="32"/>
                <w:szCs w:val="32"/>
              </w:rPr>
              <w:t>正荣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CC1731">
              <w:rPr>
                <w:rFonts w:ascii="仿宋" w:eastAsia="仿宋" w:hAnsi="仿宋" w:hint="eastAsia"/>
                <w:sz w:val="32"/>
                <w:szCs w:val="32"/>
              </w:rPr>
              <w:t>博仕后（悦府）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楼盘业主入住并落户的适龄儿童的适龄儿童</w:t>
            </w:r>
          </w:p>
        </w:tc>
      </w:tr>
    </w:tbl>
    <w:p w:rsidR="00DC0759" w:rsidRPr="00114015" w:rsidRDefault="00DC0759" w:rsidP="009E28C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备注：鉴于规划建设中的三岐小学（暂名）正在办理相关手续，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年无法建成投入使用，</w:t>
      </w:r>
      <w:r w:rsidRPr="00CC1731">
        <w:rPr>
          <w:rFonts w:ascii="仿宋" w:eastAsia="仿宋" w:hAnsi="仿宋" w:hint="eastAsia"/>
          <w:sz w:val="32"/>
          <w:szCs w:val="32"/>
        </w:rPr>
        <w:t>群升江山城</w:t>
      </w:r>
      <w:r w:rsidRPr="006E6AEF">
        <w:rPr>
          <w:rFonts w:ascii="仿宋" w:eastAsia="仿宋" w:hAnsi="仿宋" w:hint="eastAsia"/>
          <w:sz w:val="32"/>
          <w:szCs w:val="32"/>
        </w:rPr>
        <w:t>楼盘业主入住并落户的适龄儿童</w:t>
      </w:r>
      <w:r>
        <w:rPr>
          <w:rFonts w:ascii="仿宋" w:eastAsia="仿宋" w:hAnsi="仿宋" w:hint="eastAsia"/>
          <w:sz w:val="32"/>
          <w:szCs w:val="32"/>
        </w:rPr>
        <w:t>暂寄闽江师范高等专科学校附属实验小学</w:t>
      </w:r>
      <w:r w:rsidRPr="004F5527">
        <w:rPr>
          <w:rFonts w:ascii="仿宋" w:eastAsia="仿宋" w:hAnsi="仿宋" w:hint="eastAsia"/>
          <w:sz w:val="32"/>
          <w:szCs w:val="32"/>
        </w:rPr>
        <w:t>临时过渡就读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F5527">
        <w:rPr>
          <w:rFonts w:ascii="仿宋" w:eastAsia="仿宋" w:hAnsi="仿宋" w:hint="eastAsia"/>
          <w:sz w:val="32"/>
          <w:szCs w:val="32"/>
        </w:rPr>
        <w:t>待对口的三岐小学</w:t>
      </w:r>
      <w:r>
        <w:rPr>
          <w:rFonts w:ascii="仿宋" w:eastAsia="仿宋" w:hAnsi="仿宋" w:hint="eastAsia"/>
          <w:sz w:val="32"/>
          <w:szCs w:val="32"/>
        </w:rPr>
        <w:t>（暂名）建成并开班后，群升江山城楼盘的学生迁回</w:t>
      </w:r>
      <w:r w:rsidRPr="004F5527">
        <w:rPr>
          <w:rFonts w:ascii="仿宋" w:eastAsia="仿宋" w:hAnsi="仿宋" w:hint="eastAsia"/>
          <w:sz w:val="32"/>
          <w:szCs w:val="32"/>
        </w:rPr>
        <w:t>三岐小学</w:t>
      </w:r>
      <w:r>
        <w:rPr>
          <w:rFonts w:ascii="仿宋" w:eastAsia="仿宋" w:hAnsi="仿宋" w:hint="eastAsia"/>
          <w:sz w:val="32"/>
          <w:szCs w:val="32"/>
        </w:rPr>
        <w:t>（暂名）</w:t>
      </w:r>
      <w:r w:rsidRPr="004F5527">
        <w:rPr>
          <w:rFonts w:ascii="仿宋" w:eastAsia="仿宋" w:hAnsi="仿宋" w:hint="eastAsia"/>
          <w:sz w:val="32"/>
          <w:szCs w:val="32"/>
        </w:rPr>
        <w:t>。</w:t>
      </w:r>
    </w:p>
    <w:sectPr w:rsidR="00DC0759" w:rsidRPr="00114015" w:rsidSect="001E091C">
      <w:footerReference w:type="default" r:id="rId6"/>
      <w:pgSz w:w="11906" w:h="16838"/>
      <w:pgMar w:top="1440" w:right="1800" w:bottom="1440" w:left="1800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59" w:rsidRDefault="00DC0759" w:rsidP="003B6480">
      <w:r>
        <w:separator/>
      </w:r>
    </w:p>
  </w:endnote>
  <w:endnote w:type="continuationSeparator" w:id="0">
    <w:p w:rsidR="00DC0759" w:rsidRDefault="00DC0759" w:rsidP="003B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59" w:rsidRDefault="00DC0759">
    <w:pPr>
      <w:pStyle w:val="Footer"/>
      <w:jc w:val="center"/>
    </w:pPr>
    <w:fldSimple w:instr=" PAGE   \* MERGEFORMAT ">
      <w:r w:rsidRPr="00043649">
        <w:rPr>
          <w:noProof/>
          <w:lang w:val="zh-CN"/>
        </w:rPr>
        <w:t>11</w:t>
      </w:r>
    </w:fldSimple>
  </w:p>
  <w:p w:rsidR="00DC0759" w:rsidRDefault="00DC0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59" w:rsidRDefault="00DC0759" w:rsidP="003B6480">
      <w:r>
        <w:separator/>
      </w:r>
    </w:p>
  </w:footnote>
  <w:footnote w:type="continuationSeparator" w:id="0">
    <w:p w:rsidR="00DC0759" w:rsidRDefault="00DC0759" w:rsidP="003B6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80"/>
    <w:rsid w:val="00043649"/>
    <w:rsid w:val="00047A2B"/>
    <w:rsid w:val="00083C97"/>
    <w:rsid w:val="000D3D6C"/>
    <w:rsid w:val="00114015"/>
    <w:rsid w:val="00167620"/>
    <w:rsid w:val="001738E5"/>
    <w:rsid w:val="001E091C"/>
    <w:rsid w:val="00210D25"/>
    <w:rsid w:val="00217268"/>
    <w:rsid w:val="00285304"/>
    <w:rsid w:val="002C0D0F"/>
    <w:rsid w:val="002D3DE8"/>
    <w:rsid w:val="002F09CB"/>
    <w:rsid w:val="0032102B"/>
    <w:rsid w:val="00322E61"/>
    <w:rsid w:val="0033300F"/>
    <w:rsid w:val="00385118"/>
    <w:rsid w:val="0038654A"/>
    <w:rsid w:val="00396146"/>
    <w:rsid w:val="003B6480"/>
    <w:rsid w:val="00421E0F"/>
    <w:rsid w:val="004907FB"/>
    <w:rsid w:val="004B4AE8"/>
    <w:rsid w:val="004E3BB1"/>
    <w:rsid w:val="004F5527"/>
    <w:rsid w:val="005331DD"/>
    <w:rsid w:val="00544CED"/>
    <w:rsid w:val="00545EF7"/>
    <w:rsid w:val="00580D5F"/>
    <w:rsid w:val="00580FBE"/>
    <w:rsid w:val="005853FA"/>
    <w:rsid w:val="005C2E26"/>
    <w:rsid w:val="005C3CF9"/>
    <w:rsid w:val="005C534C"/>
    <w:rsid w:val="00613E78"/>
    <w:rsid w:val="006145BE"/>
    <w:rsid w:val="006D4E79"/>
    <w:rsid w:val="006E6AEF"/>
    <w:rsid w:val="006F5343"/>
    <w:rsid w:val="00700D0A"/>
    <w:rsid w:val="007100A1"/>
    <w:rsid w:val="007276E5"/>
    <w:rsid w:val="00736D4A"/>
    <w:rsid w:val="00784B6F"/>
    <w:rsid w:val="007A0C4C"/>
    <w:rsid w:val="007B7CDD"/>
    <w:rsid w:val="007D6209"/>
    <w:rsid w:val="00815FF4"/>
    <w:rsid w:val="008307F1"/>
    <w:rsid w:val="008712F5"/>
    <w:rsid w:val="00885032"/>
    <w:rsid w:val="008E5BC6"/>
    <w:rsid w:val="008F24DB"/>
    <w:rsid w:val="00926F29"/>
    <w:rsid w:val="009407F1"/>
    <w:rsid w:val="00941967"/>
    <w:rsid w:val="00975B09"/>
    <w:rsid w:val="009A4471"/>
    <w:rsid w:val="009C5782"/>
    <w:rsid w:val="009E28CF"/>
    <w:rsid w:val="00A20567"/>
    <w:rsid w:val="00A94678"/>
    <w:rsid w:val="00AE33E1"/>
    <w:rsid w:val="00B37A95"/>
    <w:rsid w:val="00B512B9"/>
    <w:rsid w:val="00B54E50"/>
    <w:rsid w:val="00B81927"/>
    <w:rsid w:val="00BE741E"/>
    <w:rsid w:val="00C41ABA"/>
    <w:rsid w:val="00C6220E"/>
    <w:rsid w:val="00C732B4"/>
    <w:rsid w:val="00CB1F7A"/>
    <w:rsid w:val="00CC1731"/>
    <w:rsid w:val="00CE5F2B"/>
    <w:rsid w:val="00D42F1D"/>
    <w:rsid w:val="00D6602C"/>
    <w:rsid w:val="00D73F14"/>
    <w:rsid w:val="00D758D0"/>
    <w:rsid w:val="00D87BC7"/>
    <w:rsid w:val="00DA3C5A"/>
    <w:rsid w:val="00DB713F"/>
    <w:rsid w:val="00DC0759"/>
    <w:rsid w:val="00DE6BCF"/>
    <w:rsid w:val="00E2045C"/>
    <w:rsid w:val="00E368A8"/>
    <w:rsid w:val="00E379EE"/>
    <w:rsid w:val="00E50377"/>
    <w:rsid w:val="00E62692"/>
    <w:rsid w:val="00E76C63"/>
    <w:rsid w:val="00E8498B"/>
    <w:rsid w:val="00EC30BF"/>
    <w:rsid w:val="00EE4281"/>
    <w:rsid w:val="00EF722B"/>
    <w:rsid w:val="00F02A1B"/>
    <w:rsid w:val="00F10D6C"/>
    <w:rsid w:val="00F32308"/>
    <w:rsid w:val="00F606EC"/>
    <w:rsid w:val="00F648FE"/>
    <w:rsid w:val="00F841BB"/>
    <w:rsid w:val="00F93A41"/>
    <w:rsid w:val="00FC387C"/>
    <w:rsid w:val="00FD4ECF"/>
    <w:rsid w:val="00FE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64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648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B648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38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87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3</Pages>
  <Words>111</Words>
  <Characters>637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50</cp:revision>
  <cp:lastPrinted>2017-05-11T02:34:00Z</cp:lastPrinted>
  <dcterms:created xsi:type="dcterms:W3CDTF">2016-05-27T02:20:00Z</dcterms:created>
  <dcterms:modified xsi:type="dcterms:W3CDTF">2017-05-22T02:07:00Z</dcterms:modified>
</cp:coreProperties>
</file>